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0C1D" w14:textId="5806B24E" w:rsidR="002648B0" w:rsidRPr="00EC067D" w:rsidRDefault="002648B0" w:rsidP="0008380B">
      <w:pPr>
        <w:pStyle w:val="Heading9"/>
      </w:pPr>
      <w:bookmarkStart w:id="0" w:name="_Toc262568021"/>
      <w:bookmarkStart w:id="1" w:name="_Toc295829847"/>
      <w:r w:rsidRPr="00A00EBD">
        <w:t xml:space="preserve">ANNEX </w:t>
      </w:r>
      <w:r w:rsidR="000D3636" w:rsidRPr="00A00EBD">
        <w:t>XX</w:t>
      </w:r>
      <w:r w:rsidR="00A671F5">
        <w:t>IX</w:t>
      </w:r>
    </w:p>
    <w:p w14:paraId="644BA8AC" w14:textId="6A264464" w:rsidR="002648B0" w:rsidRPr="00EC067D" w:rsidRDefault="002648B0" w:rsidP="00C87CEE">
      <w:pPr>
        <w:jc w:val="center"/>
        <w:rPr>
          <w:rFonts w:ascii="Times New Roman" w:hAnsi="Times New Roman"/>
          <w:b/>
          <w:sz w:val="24"/>
          <w:lang w:eastAsia="de-DE"/>
        </w:rPr>
      </w:pPr>
      <w:r w:rsidRPr="00EC067D">
        <w:rPr>
          <w:rFonts w:ascii="Times New Roman" w:hAnsi="Times New Roman"/>
          <w:b/>
          <w:sz w:val="24"/>
          <w:lang w:eastAsia="de-DE"/>
        </w:rPr>
        <w:t xml:space="preserve">REPORTING </w:t>
      </w:r>
      <w:r w:rsidR="00EC067D" w:rsidRPr="00EC067D">
        <w:rPr>
          <w:rFonts w:ascii="Times New Roman" w:hAnsi="Times New Roman"/>
          <w:b/>
          <w:sz w:val="24"/>
          <w:lang w:eastAsia="de-DE"/>
        </w:rPr>
        <w:t xml:space="preserve">INSTRUCTIONS </w:t>
      </w:r>
      <w:r w:rsidR="009C42F0" w:rsidRPr="00EC067D">
        <w:rPr>
          <w:rFonts w:ascii="Times New Roman" w:hAnsi="Times New Roman"/>
          <w:b/>
          <w:sz w:val="24"/>
          <w:lang w:eastAsia="de-DE"/>
        </w:rPr>
        <w:t xml:space="preserve">FOR THE PURPOSE OF </w:t>
      </w:r>
      <w:r w:rsidR="009E536A">
        <w:rPr>
          <w:rFonts w:ascii="Times New Roman" w:hAnsi="Times New Roman"/>
          <w:b/>
          <w:sz w:val="24"/>
          <w:lang w:eastAsia="de-DE"/>
        </w:rPr>
        <w:t>INTEREST RATING RISK IN THE BANKING BOOK</w:t>
      </w:r>
      <w:r w:rsidR="00087903" w:rsidRPr="00EC067D">
        <w:rPr>
          <w:rFonts w:ascii="Times New Roman" w:hAnsi="Times New Roman"/>
          <w:b/>
          <w:sz w:val="24"/>
          <w:lang w:eastAsia="de-DE"/>
        </w:rPr>
        <w:t xml:space="preserve"> </w:t>
      </w:r>
    </w:p>
    <w:p w14:paraId="4592BD27" w14:textId="77777777" w:rsidR="00436204" w:rsidRPr="00EC067D" w:rsidRDefault="00436204" w:rsidP="00C87CEE">
      <w:pPr>
        <w:jc w:val="center"/>
        <w:rPr>
          <w:rFonts w:ascii="Times New Roman" w:hAnsi="Times New Roman"/>
          <w:b/>
          <w:sz w:val="24"/>
          <w:lang w:eastAsia="de-DE"/>
        </w:rPr>
      </w:pPr>
    </w:p>
    <w:p w14:paraId="296F65E0" w14:textId="77777777" w:rsidR="00783881" w:rsidRPr="00EC067D" w:rsidRDefault="002648B0" w:rsidP="0001573B">
      <w:pPr>
        <w:pStyle w:val="InstructionsText"/>
      </w:pPr>
      <w:r w:rsidRPr="00EC067D">
        <w:t>Table of Contents</w:t>
      </w:r>
    </w:p>
    <w:p w14:paraId="5B4FAD4D" w14:textId="6DE63721" w:rsidR="00D71CFD" w:rsidRDefault="00745369" w:rsidP="00D71CFD">
      <w:pPr>
        <w:pStyle w:val="TOC2"/>
        <w:rPr>
          <w:rFonts w:asciiTheme="minorHAnsi" w:eastAsiaTheme="minorEastAsia" w:hAnsiTheme="minorHAnsi" w:cstheme="minorBidi"/>
          <w:kern w:val="2"/>
          <w:sz w:val="22"/>
          <w:lang w:eastAsia="en-GB"/>
          <w14:ligatures w14:val="standardContextual"/>
        </w:rPr>
      </w:pPr>
      <w:r w:rsidRPr="00EC067D">
        <w:rPr>
          <w:rFonts w:ascii="Times New Roman" w:hAnsi="Times New Roman"/>
          <w:noProof w:val="0"/>
          <w:color w:val="2B579A"/>
          <w:sz w:val="24"/>
          <w:szCs w:val="24"/>
          <w:shd w:val="clear" w:color="auto" w:fill="E6E6E6"/>
        </w:rPr>
        <w:fldChar w:fldCharType="begin"/>
      </w:r>
      <w:r w:rsidR="002648B0" w:rsidRPr="00EC067D">
        <w:rPr>
          <w:rFonts w:ascii="Times New Roman" w:hAnsi="Times New Roman"/>
          <w:noProof w:val="0"/>
          <w:sz w:val="24"/>
          <w:szCs w:val="24"/>
        </w:rPr>
        <w:instrText xml:space="preserve"> TOC \o "1-3" \h \z \u </w:instrText>
      </w:r>
      <w:r w:rsidRPr="00EC067D">
        <w:rPr>
          <w:rFonts w:ascii="Times New Roman" w:hAnsi="Times New Roman"/>
          <w:noProof w:val="0"/>
          <w:color w:val="2B579A"/>
          <w:sz w:val="24"/>
          <w:szCs w:val="24"/>
          <w:shd w:val="clear" w:color="auto" w:fill="E6E6E6"/>
        </w:rPr>
        <w:fldChar w:fldCharType="separate"/>
      </w:r>
      <w:hyperlink w:anchor="_Toc141362407" w:history="1">
        <w:r w:rsidR="00D71CFD" w:rsidRPr="00593C03">
          <w:rPr>
            <w:rStyle w:val="Hyperlink"/>
          </w:rPr>
          <w:t>PART I: GENERAL INSTRUCTIONS</w:t>
        </w:r>
        <w:r w:rsidR="00D71CFD">
          <w:rPr>
            <w:webHidden/>
          </w:rPr>
          <w:tab/>
        </w:r>
        <w:r w:rsidR="00D71CFD">
          <w:rPr>
            <w:webHidden/>
          </w:rPr>
          <w:fldChar w:fldCharType="begin"/>
        </w:r>
        <w:r w:rsidR="00D71CFD">
          <w:rPr>
            <w:webHidden/>
          </w:rPr>
          <w:instrText xml:space="preserve"> PAGEREF _Toc141362407 \h </w:instrText>
        </w:r>
        <w:r w:rsidR="00D71CFD">
          <w:rPr>
            <w:webHidden/>
          </w:rPr>
        </w:r>
        <w:r w:rsidR="00D71CFD">
          <w:rPr>
            <w:webHidden/>
          </w:rPr>
          <w:fldChar w:fldCharType="separate"/>
        </w:r>
        <w:r w:rsidR="00D71CFD">
          <w:rPr>
            <w:webHidden/>
          </w:rPr>
          <w:t>2</w:t>
        </w:r>
        <w:r w:rsidR="00D71CFD">
          <w:rPr>
            <w:webHidden/>
          </w:rPr>
          <w:fldChar w:fldCharType="end"/>
        </w:r>
      </w:hyperlink>
    </w:p>
    <w:p w14:paraId="1AB85B9C" w14:textId="401F7B2C"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08" w:history="1">
        <w:r w:rsidR="00D71CFD" w:rsidRPr="00593C03">
          <w:rPr>
            <w:rStyle w:val="Hyperlink"/>
          </w:rPr>
          <w:t>1.</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Structure</w:t>
        </w:r>
        <w:r w:rsidR="00D71CFD">
          <w:rPr>
            <w:webHidden/>
          </w:rPr>
          <w:tab/>
        </w:r>
        <w:r w:rsidR="00D71CFD">
          <w:rPr>
            <w:webHidden/>
          </w:rPr>
          <w:fldChar w:fldCharType="begin"/>
        </w:r>
        <w:r w:rsidR="00D71CFD">
          <w:rPr>
            <w:webHidden/>
          </w:rPr>
          <w:instrText xml:space="preserve"> PAGEREF _Toc141362408 \h </w:instrText>
        </w:r>
        <w:r w:rsidR="00D71CFD">
          <w:rPr>
            <w:webHidden/>
          </w:rPr>
        </w:r>
        <w:r w:rsidR="00D71CFD">
          <w:rPr>
            <w:webHidden/>
          </w:rPr>
          <w:fldChar w:fldCharType="separate"/>
        </w:r>
        <w:r w:rsidR="00D71CFD">
          <w:rPr>
            <w:webHidden/>
          </w:rPr>
          <w:t>2</w:t>
        </w:r>
        <w:r w:rsidR="00D71CFD">
          <w:rPr>
            <w:webHidden/>
          </w:rPr>
          <w:fldChar w:fldCharType="end"/>
        </w:r>
      </w:hyperlink>
    </w:p>
    <w:p w14:paraId="2D9F3415" w14:textId="1E5361A5"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09" w:history="1">
        <w:r w:rsidR="00D71CFD" w:rsidRPr="00593C03">
          <w:rPr>
            <w:rStyle w:val="Hyperlink"/>
          </w:rPr>
          <w:t>2.</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Scope of reporting</w:t>
        </w:r>
        <w:r w:rsidR="00D71CFD">
          <w:rPr>
            <w:webHidden/>
          </w:rPr>
          <w:tab/>
        </w:r>
        <w:r w:rsidR="00D71CFD">
          <w:rPr>
            <w:webHidden/>
          </w:rPr>
          <w:fldChar w:fldCharType="begin"/>
        </w:r>
        <w:r w:rsidR="00D71CFD">
          <w:rPr>
            <w:webHidden/>
          </w:rPr>
          <w:instrText xml:space="preserve"> PAGEREF _Toc141362409 \h </w:instrText>
        </w:r>
        <w:r w:rsidR="00D71CFD">
          <w:rPr>
            <w:webHidden/>
          </w:rPr>
        </w:r>
        <w:r w:rsidR="00D71CFD">
          <w:rPr>
            <w:webHidden/>
          </w:rPr>
          <w:fldChar w:fldCharType="separate"/>
        </w:r>
        <w:r w:rsidR="00D71CFD">
          <w:rPr>
            <w:webHidden/>
          </w:rPr>
          <w:t>2</w:t>
        </w:r>
        <w:r w:rsidR="00D71CFD">
          <w:rPr>
            <w:webHidden/>
          </w:rPr>
          <w:fldChar w:fldCharType="end"/>
        </w:r>
      </w:hyperlink>
    </w:p>
    <w:p w14:paraId="4F9DDD40" w14:textId="5D13DD64"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10" w:history="1">
        <w:r w:rsidR="00D71CFD" w:rsidRPr="00593C03">
          <w:rPr>
            <w:rStyle w:val="Hyperlink"/>
          </w:rPr>
          <w:t>3.</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Treatment of fixed/floating rate instruments</w:t>
        </w:r>
        <w:r w:rsidR="00D71CFD">
          <w:rPr>
            <w:webHidden/>
          </w:rPr>
          <w:tab/>
        </w:r>
        <w:r w:rsidR="00D71CFD">
          <w:rPr>
            <w:webHidden/>
          </w:rPr>
          <w:fldChar w:fldCharType="begin"/>
        </w:r>
        <w:r w:rsidR="00D71CFD">
          <w:rPr>
            <w:webHidden/>
          </w:rPr>
          <w:instrText xml:space="preserve"> PAGEREF _Toc141362410 \h </w:instrText>
        </w:r>
        <w:r w:rsidR="00D71CFD">
          <w:rPr>
            <w:webHidden/>
          </w:rPr>
        </w:r>
        <w:r w:rsidR="00D71CFD">
          <w:rPr>
            <w:webHidden/>
          </w:rPr>
          <w:fldChar w:fldCharType="separate"/>
        </w:r>
        <w:r w:rsidR="00D71CFD">
          <w:rPr>
            <w:webHidden/>
          </w:rPr>
          <w:t>3</w:t>
        </w:r>
        <w:r w:rsidR="00D71CFD">
          <w:rPr>
            <w:webHidden/>
          </w:rPr>
          <w:fldChar w:fldCharType="end"/>
        </w:r>
      </w:hyperlink>
    </w:p>
    <w:p w14:paraId="763DAEFF" w14:textId="5B692088"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11" w:history="1">
        <w:r w:rsidR="00D71CFD" w:rsidRPr="00593C03">
          <w:rPr>
            <w:rStyle w:val="Hyperlink"/>
          </w:rPr>
          <w:t>4.</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Treatment of options</w:t>
        </w:r>
        <w:r w:rsidR="00D71CFD">
          <w:rPr>
            <w:webHidden/>
          </w:rPr>
          <w:tab/>
        </w:r>
        <w:r w:rsidR="00D71CFD">
          <w:rPr>
            <w:webHidden/>
          </w:rPr>
          <w:fldChar w:fldCharType="begin"/>
        </w:r>
        <w:r w:rsidR="00D71CFD">
          <w:rPr>
            <w:webHidden/>
          </w:rPr>
          <w:instrText xml:space="preserve"> PAGEREF _Toc141362411 \h </w:instrText>
        </w:r>
        <w:r w:rsidR="00D71CFD">
          <w:rPr>
            <w:webHidden/>
          </w:rPr>
        </w:r>
        <w:r w:rsidR="00D71CFD">
          <w:rPr>
            <w:webHidden/>
          </w:rPr>
          <w:fldChar w:fldCharType="separate"/>
        </w:r>
        <w:r w:rsidR="00D71CFD">
          <w:rPr>
            <w:webHidden/>
          </w:rPr>
          <w:t>3</w:t>
        </w:r>
        <w:r w:rsidR="00D71CFD">
          <w:rPr>
            <w:webHidden/>
          </w:rPr>
          <w:fldChar w:fldCharType="end"/>
        </w:r>
      </w:hyperlink>
    </w:p>
    <w:p w14:paraId="376F692B" w14:textId="6AAB1ABE"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12" w:history="1">
        <w:r w:rsidR="00D71CFD" w:rsidRPr="00593C03">
          <w:rPr>
            <w:rStyle w:val="Hyperlink"/>
          </w:rPr>
          <w:t>5.</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Sign convention</w:t>
        </w:r>
        <w:r w:rsidR="00D71CFD">
          <w:rPr>
            <w:webHidden/>
          </w:rPr>
          <w:tab/>
        </w:r>
        <w:r w:rsidR="00D71CFD">
          <w:rPr>
            <w:webHidden/>
          </w:rPr>
          <w:fldChar w:fldCharType="begin"/>
        </w:r>
        <w:r w:rsidR="00D71CFD">
          <w:rPr>
            <w:webHidden/>
          </w:rPr>
          <w:instrText xml:space="preserve"> PAGEREF _Toc141362412 \h </w:instrText>
        </w:r>
        <w:r w:rsidR="00D71CFD">
          <w:rPr>
            <w:webHidden/>
          </w:rPr>
        </w:r>
        <w:r w:rsidR="00D71CFD">
          <w:rPr>
            <w:webHidden/>
          </w:rPr>
          <w:fldChar w:fldCharType="separate"/>
        </w:r>
        <w:r w:rsidR="00D71CFD">
          <w:rPr>
            <w:webHidden/>
          </w:rPr>
          <w:t>4</w:t>
        </w:r>
        <w:r w:rsidR="00D71CFD">
          <w:rPr>
            <w:webHidden/>
          </w:rPr>
          <w:fldChar w:fldCharType="end"/>
        </w:r>
      </w:hyperlink>
    </w:p>
    <w:p w14:paraId="48226C44" w14:textId="64EE7263"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13" w:history="1">
        <w:r w:rsidR="00D71CFD" w:rsidRPr="00593C03">
          <w:rPr>
            <w:rStyle w:val="Hyperlink"/>
          </w:rPr>
          <w:t>6.</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Abbreviations</w:t>
        </w:r>
        <w:r w:rsidR="00D71CFD">
          <w:rPr>
            <w:webHidden/>
          </w:rPr>
          <w:tab/>
        </w:r>
        <w:r w:rsidR="00D71CFD">
          <w:rPr>
            <w:webHidden/>
          </w:rPr>
          <w:fldChar w:fldCharType="begin"/>
        </w:r>
        <w:r w:rsidR="00D71CFD">
          <w:rPr>
            <w:webHidden/>
          </w:rPr>
          <w:instrText xml:space="preserve"> PAGEREF _Toc141362413 \h </w:instrText>
        </w:r>
        <w:r w:rsidR="00D71CFD">
          <w:rPr>
            <w:webHidden/>
          </w:rPr>
        </w:r>
        <w:r w:rsidR="00D71CFD">
          <w:rPr>
            <w:webHidden/>
          </w:rPr>
          <w:fldChar w:fldCharType="separate"/>
        </w:r>
        <w:r w:rsidR="00D71CFD">
          <w:rPr>
            <w:webHidden/>
          </w:rPr>
          <w:t>4</w:t>
        </w:r>
        <w:r w:rsidR="00D71CFD">
          <w:rPr>
            <w:webHidden/>
          </w:rPr>
          <w:fldChar w:fldCharType="end"/>
        </w:r>
      </w:hyperlink>
    </w:p>
    <w:p w14:paraId="6BA037C7" w14:textId="172E0F7F"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14" w:history="1">
        <w:r w:rsidR="00D71CFD" w:rsidRPr="00593C03">
          <w:rPr>
            <w:rStyle w:val="Hyperlink"/>
          </w:rPr>
          <w:t>7.</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Other conventions</w:t>
        </w:r>
        <w:r w:rsidR="00D71CFD">
          <w:rPr>
            <w:webHidden/>
          </w:rPr>
          <w:tab/>
        </w:r>
        <w:r w:rsidR="00D71CFD">
          <w:rPr>
            <w:webHidden/>
          </w:rPr>
          <w:fldChar w:fldCharType="begin"/>
        </w:r>
        <w:r w:rsidR="00D71CFD">
          <w:rPr>
            <w:webHidden/>
          </w:rPr>
          <w:instrText xml:space="preserve"> PAGEREF _Toc141362414 \h </w:instrText>
        </w:r>
        <w:r w:rsidR="00D71CFD">
          <w:rPr>
            <w:webHidden/>
          </w:rPr>
        </w:r>
        <w:r w:rsidR="00D71CFD">
          <w:rPr>
            <w:webHidden/>
          </w:rPr>
          <w:fldChar w:fldCharType="separate"/>
        </w:r>
        <w:r w:rsidR="00D71CFD">
          <w:rPr>
            <w:webHidden/>
          </w:rPr>
          <w:t>5</w:t>
        </w:r>
        <w:r w:rsidR="00D71CFD">
          <w:rPr>
            <w:webHidden/>
          </w:rPr>
          <w:fldChar w:fldCharType="end"/>
        </w:r>
      </w:hyperlink>
    </w:p>
    <w:p w14:paraId="7C88CDA4" w14:textId="3F64C37A"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15" w:history="1">
        <w:r w:rsidR="00D71CFD" w:rsidRPr="00593C03">
          <w:rPr>
            <w:rStyle w:val="Hyperlink"/>
          </w:rPr>
          <w:t>PART II: EVALUATION OF THE IRRBB: EVE/NII SOT AND MV CHANGES (J 01.00)</w:t>
        </w:r>
        <w:r w:rsidR="00D71CFD">
          <w:rPr>
            <w:webHidden/>
          </w:rPr>
          <w:tab/>
        </w:r>
        <w:r w:rsidR="00D71CFD">
          <w:rPr>
            <w:webHidden/>
          </w:rPr>
          <w:fldChar w:fldCharType="begin"/>
        </w:r>
        <w:r w:rsidR="00D71CFD">
          <w:rPr>
            <w:webHidden/>
          </w:rPr>
          <w:instrText xml:space="preserve"> PAGEREF _Toc141362415 \h </w:instrText>
        </w:r>
        <w:r w:rsidR="00D71CFD">
          <w:rPr>
            <w:webHidden/>
          </w:rPr>
        </w:r>
        <w:r w:rsidR="00D71CFD">
          <w:rPr>
            <w:webHidden/>
          </w:rPr>
          <w:fldChar w:fldCharType="separate"/>
        </w:r>
        <w:r w:rsidR="00D71CFD">
          <w:rPr>
            <w:webHidden/>
          </w:rPr>
          <w:t>6</w:t>
        </w:r>
        <w:r w:rsidR="00D71CFD">
          <w:rPr>
            <w:webHidden/>
          </w:rPr>
          <w:fldChar w:fldCharType="end"/>
        </w:r>
      </w:hyperlink>
    </w:p>
    <w:p w14:paraId="274612A0" w14:textId="7DD813A7"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16" w:history="1">
        <w:r w:rsidR="00D71CFD" w:rsidRPr="00593C03">
          <w:rPr>
            <w:rStyle w:val="Hyperlink"/>
          </w:rPr>
          <w:t>8.</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General remarks</w:t>
        </w:r>
        <w:r w:rsidR="00D71CFD">
          <w:rPr>
            <w:webHidden/>
          </w:rPr>
          <w:tab/>
        </w:r>
        <w:r w:rsidR="00D71CFD">
          <w:rPr>
            <w:webHidden/>
          </w:rPr>
          <w:fldChar w:fldCharType="begin"/>
        </w:r>
        <w:r w:rsidR="00D71CFD">
          <w:rPr>
            <w:webHidden/>
          </w:rPr>
          <w:instrText xml:space="preserve"> PAGEREF _Toc141362416 \h </w:instrText>
        </w:r>
        <w:r w:rsidR="00D71CFD">
          <w:rPr>
            <w:webHidden/>
          </w:rPr>
        </w:r>
        <w:r w:rsidR="00D71CFD">
          <w:rPr>
            <w:webHidden/>
          </w:rPr>
          <w:fldChar w:fldCharType="separate"/>
        </w:r>
        <w:r w:rsidR="00D71CFD">
          <w:rPr>
            <w:webHidden/>
          </w:rPr>
          <w:t>6</w:t>
        </w:r>
        <w:r w:rsidR="00D71CFD">
          <w:rPr>
            <w:webHidden/>
          </w:rPr>
          <w:fldChar w:fldCharType="end"/>
        </w:r>
      </w:hyperlink>
    </w:p>
    <w:p w14:paraId="46455C51" w14:textId="74A881A1"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17" w:history="1">
        <w:r w:rsidR="00D71CFD" w:rsidRPr="00593C03">
          <w:rPr>
            <w:rStyle w:val="Hyperlink"/>
          </w:rPr>
          <w:t>9.</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Instructions concerning specific positions</w:t>
        </w:r>
        <w:r w:rsidR="00D71CFD">
          <w:rPr>
            <w:webHidden/>
          </w:rPr>
          <w:tab/>
        </w:r>
        <w:r w:rsidR="00D71CFD">
          <w:rPr>
            <w:webHidden/>
          </w:rPr>
          <w:fldChar w:fldCharType="begin"/>
        </w:r>
        <w:r w:rsidR="00D71CFD">
          <w:rPr>
            <w:webHidden/>
          </w:rPr>
          <w:instrText xml:space="preserve"> PAGEREF _Toc141362417 \h </w:instrText>
        </w:r>
        <w:r w:rsidR="00D71CFD">
          <w:rPr>
            <w:webHidden/>
          </w:rPr>
        </w:r>
        <w:r w:rsidR="00D71CFD">
          <w:rPr>
            <w:webHidden/>
          </w:rPr>
          <w:fldChar w:fldCharType="separate"/>
        </w:r>
        <w:r w:rsidR="00D71CFD">
          <w:rPr>
            <w:webHidden/>
          </w:rPr>
          <w:t>6</w:t>
        </w:r>
        <w:r w:rsidR="00D71CFD">
          <w:rPr>
            <w:webHidden/>
          </w:rPr>
          <w:fldChar w:fldCharType="end"/>
        </w:r>
      </w:hyperlink>
    </w:p>
    <w:p w14:paraId="6DF3613F" w14:textId="0FB4EA63"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18" w:history="1">
        <w:r w:rsidR="00D71CFD" w:rsidRPr="00593C03">
          <w:rPr>
            <w:rStyle w:val="Hyperlink"/>
          </w:rPr>
          <w:t>PART III: BREAKDOWN OF SENSITIVITY ESTIMATES (J 02.00, J 03.00 and J 04.00)</w:t>
        </w:r>
        <w:r w:rsidR="00D71CFD">
          <w:rPr>
            <w:webHidden/>
          </w:rPr>
          <w:tab/>
        </w:r>
        <w:r w:rsidR="00D71CFD">
          <w:rPr>
            <w:webHidden/>
          </w:rPr>
          <w:fldChar w:fldCharType="begin"/>
        </w:r>
        <w:r w:rsidR="00D71CFD">
          <w:rPr>
            <w:webHidden/>
          </w:rPr>
          <w:instrText xml:space="preserve"> PAGEREF _Toc141362418 \h </w:instrText>
        </w:r>
        <w:r w:rsidR="00D71CFD">
          <w:rPr>
            <w:webHidden/>
          </w:rPr>
        </w:r>
        <w:r w:rsidR="00D71CFD">
          <w:rPr>
            <w:webHidden/>
          </w:rPr>
          <w:fldChar w:fldCharType="separate"/>
        </w:r>
        <w:r w:rsidR="00D71CFD">
          <w:rPr>
            <w:webHidden/>
          </w:rPr>
          <w:t>10</w:t>
        </w:r>
        <w:r w:rsidR="00D71CFD">
          <w:rPr>
            <w:webHidden/>
          </w:rPr>
          <w:fldChar w:fldCharType="end"/>
        </w:r>
      </w:hyperlink>
    </w:p>
    <w:p w14:paraId="2CE69537" w14:textId="6775FB5E"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19" w:history="1">
        <w:r w:rsidR="00D71CFD" w:rsidRPr="00593C03">
          <w:rPr>
            <w:rStyle w:val="Hyperlink"/>
          </w:rPr>
          <w:t>10.</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General remarks</w:t>
        </w:r>
        <w:r w:rsidR="00D71CFD">
          <w:rPr>
            <w:webHidden/>
          </w:rPr>
          <w:tab/>
        </w:r>
        <w:r w:rsidR="00D71CFD">
          <w:rPr>
            <w:webHidden/>
          </w:rPr>
          <w:fldChar w:fldCharType="begin"/>
        </w:r>
        <w:r w:rsidR="00D71CFD">
          <w:rPr>
            <w:webHidden/>
          </w:rPr>
          <w:instrText xml:space="preserve"> PAGEREF _Toc141362419 \h </w:instrText>
        </w:r>
        <w:r w:rsidR="00D71CFD">
          <w:rPr>
            <w:webHidden/>
          </w:rPr>
        </w:r>
        <w:r w:rsidR="00D71CFD">
          <w:rPr>
            <w:webHidden/>
          </w:rPr>
          <w:fldChar w:fldCharType="separate"/>
        </w:r>
        <w:r w:rsidR="00D71CFD">
          <w:rPr>
            <w:webHidden/>
          </w:rPr>
          <w:t>10</w:t>
        </w:r>
        <w:r w:rsidR="00D71CFD">
          <w:rPr>
            <w:webHidden/>
          </w:rPr>
          <w:fldChar w:fldCharType="end"/>
        </w:r>
      </w:hyperlink>
    </w:p>
    <w:p w14:paraId="24F7250A" w14:textId="3548624F"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20" w:history="1">
        <w:r w:rsidR="00D71CFD" w:rsidRPr="00593C03">
          <w:rPr>
            <w:rStyle w:val="Hyperlink"/>
          </w:rPr>
          <w:t>11.</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Instructions concerning specific positions</w:t>
        </w:r>
        <w:r w:rsidR="00D71CFD">
          <w:rPr>
            <w:webHidden/>
          </w:rPr>
          <w:tab/>
        </w:r>
        <w:r w:rsidR="00D71CFD">
          <w:rPr>
            <w:webHidden/>
          </w:rPr>
          <w:fldChar w:fldCharType="begin"/>
        </w:r>
        <w:r w:rsidR="00D71CFD">
          <w:rPr>
            <w:webHidden/>
          </w:rPr>
          <w:instrText xml:space="preserve"> PAGEREF _Toc141362420 \h </w:instrText>
        </w:r>
        <w:r w:rsidR="00D71CFD">
          <w:rPr>
            <w:webHidden/>
          </w:rPr>
        </w:r>
        <w:r w:rsidR="00D71CFD">
          <w:rPr>
            <w:webHidden/>
          </w:rPr>
          <w:fldChar w:fldCharType="separate"/>
        </w:r>
        <w:r w:rsidR="00D71CFD">
          <w:rPr>
            <w:webHidden/>
          </w:rPr>
          <w:t>10</w:t>
        </w:r>
        <w:r w:rsidR="00D71CFD">
          <w:rPr>
            <w:webHidden/>
          </w:rPr>
          <w:fldChar w:fldCharType="end"/>
        </w:r>
      </w:hyperlink>
    </w:p>
    <w:p w14:paraId="3854C41B" w14:textId="6D04DF16"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21" w:history="1">
        <w:r w:rsidR="00D71CFD" w:rsidRPr="00593C03">
          <w:rPr>
            <w:rStyle w:val="Hyperlink"/>
          </w:rPr>
          <w:t>PART IV: REPRICING CASH FLOWS (J 05.00, J 06.00 and J 07.00)</w:t>
        </w:r>
        <w:r w:rsidR="00D71CFD">
          <w:rPr>
            <w:webHidden/>
          </w:rPr>
          <w:tab/>
        </w:r>
        <w:r w:rsidR="00D71CFD">
          <w:rPr>
            <w:webHidden/>
          </w:rPr>
          <w:fldChar w:fldCharType="begin"/>
        </w:r>
        <w:r w:rsidR="00D71CFD">
          <w:rPr>
            <w:webHidden/>
          </w:rPr>
          <w:instrText xml:space="preserve"> PAGEREF _Toc141362421 \h </w:instrText>
        </w:r>
        <w:r w:rsidR="00D71CFD">
          <w:rPr>
            <w:webHidden/>
          </w:rPr>
        </w:r>
        <w:r w:rsidR="00D71CFD">
          <w:rPr>
            <w:webHidden/>
          </w:rPr>
          <w:fldChar w:fldCharType="separate"/>
        </w:r>
        <w:r w:rsidR="00D71CFD">
          <w:rPr>
            <w:webHidden/>
          </w:rPr>
          <w:t>19</w:t>
        </w:r>
        <w:r w:rsidR="00D71CFD">
          <w:rPr>
            <w:webHidden/>
          </w:rPr>
          <w:fldChar w:fldCharType="end"/>
        </w:r>
      </w:hyperlink>
    </w:p>
    <w:p w14:paraId="26F400A0" w14:textId="7223C9BF"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22" w:history="1">
        <w:r w:rsidR="00D71CFD" w:rsidRPr="00593C03">
          <w:rPr>
            <w:rStyle w:val="Hyperlink"/>
          </w:rPr>
          <w:t>12.</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General remarks</w:t>
        </w:r>
        <w:r w:rsidR="00D71CFD">
          <w:rPr>
            <w:webHidden/>
          </w:rPr>
          <w:tab/>
        </w:r>
        <w:r w:rsidR="00D71CFD">
          <w:rPr>
            <w:webHidden/>
          </w:rPr>
          <w:fldChar w:fldCharType="begin"/>
        </w:r>
        <w:r w:rsidR="00D71CFD">
          <w:rPr>
            <w:webHidden/>
          </w:rPr>
          <w:instrText xml:space="preserve"> PAGEREF _Toc141362422 \h </w:instrText>
        </w:r>
        <w:r w:rsidR="00D71CFD">
          <w:rPr>
            <w:webHidden/>
          </w:rPr>
        </w:r>
        <w:r w:rsidR="00D71CFD">
          <w:rPr>
            <w:webHidden/>
          </w:rPr>
          <w:fldChar w:fldCharType="separate"/>
        </w:r>
        <w:r w:rsidR="00D71CFD">
          <w:rPr>
            <w:webHidden/>
          </w:rPr>
          <w:t>19</w:t>
        </w:r>
        <w:r w:rsidR="00D71CFD">
          <w:rPr>
            <w:webHidden/>
          </w:rPr>
          <w:fldChar w:fldCharType="end"/>
        </w:r>
      </w:hyperlink>
    </w:p>
    <w:p w14:paraId="79C8B22B" w14:textId="0CC79906"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23" w:history="1">
        <w:r w:rsidR="00D71CFD" w:rsidRPr="00593C03">
          <w:rPr>
            <w:rStyle w:val="Hyperlink"/>
          </w:rPr>
          <w:t>13.</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Instructions concerning specific positions:</w:t>
        </w:r>
        <w:r w:rsidR="00D71CFD">
          <w:rPr>
            <w:webHidden/>
          </w:rPr>
          <w:tab/>
        </w:r>
        <w:r w:rsidR="00D71CFD">
          <w:rPr>
            <w:webHidden/>
          </w:rPr>
          <w:fldChar w:fldCharType="begin"/>
        </w:r>
        <w:r w:rsidR="00D71CFD">
          <w:rPr>
            <w:webHidden/>
          </w:rPr>
          <w:instrText xml:space="preserve"> PAGEREF _Toc141362423 \h </w:instrText>
        </w:r>
        <w:r w:rsidR="00D71CFD">
          <w:rPr>
            <w:webHidden/>
          </w:rPr>
        </w:r>
        <w:r w:rsidR="00D71CFD">
          <w:rPr>
            <w:webHidden/>
          </w:rPr>
          <w:fldChar w:fldCharType="separate"/>
        </w:r>
        <w:r w:rsidR="00D71CFD">
          <w:rPr>
            <w:webHidden/>
          </w:rPr>
          <w:t>20</w:t>
        </w:r>
        <w:r w:rsidR="00D71CFD">
          <w:rPr>
            <w:webHidden/>
          </w:rPr>
          <w:fldChar w:fldCharType="end"/>
        </w:r>
      </w:hyperlink>
    </w:p>
    <w:p w14:paraId="236816BB" w14:textId="59037356"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24" w:history="1">
        <w:r w:rsidR="00D71CFD" w:rsidRPr="00593C03">
          <w:rPr>
            <w:rStyle w:val="Hyperlink"/>
          </w:rPr>
          <w:t>PART V: RELEVANT PARAMETERS (J 08.00 and J 09.00)</w:t>
        </w:r>
        <w:r w:rsidR="00D71CFD">
          <w:rPr>
            <w:webHidden/>
          </w:rPr>
          <w:tab/>
        </w:r>
        <w:r w:rsidR="00D71CFD">
          <w:rPr>
            <w:webHidden/>
          </w:rPr>
          <w:fldChar w:fldCharType="begin"/>
        </w:r>
        <w:r w:rsidR="00D71CFD">
          <w:rPr>
            <w:webHidden/>
          </w:rPr>
          <w:instrText xml:space="preserve"> PAGEREF _Toc141362424 \h </w:instrText>
        </w:r>
        <w:r w:rsidR="00D71CFD">
          <w:rPr>
            <w:webHidden/>
          </w:rPr>
        </w:r>
        <w:r w:rsidR="00D71CFD">
          <w:rPr>
            <w:webHidden/>
          </w:rPr>
          <w:fldChar w:fldCharType="separate"/>
        </w:r>
        <w:r w:rsidR="00D71CFD">
          <w:rPr>
            <w:webHidden/>
          </w:rPr>
          <w:t>23</w:t>
        </w:r>
        <w:r w:rsidR="00D71CFD">
          <w:rPr>
            <w:webHidden/>
          </w:rPr>
          <w:fldChar w:fldCharType="end"/>
        </w:r>
      </w:hyperlink>
    </w:p>
    <w:p w14:paraId="6B3CC831" w14:textId="29F5CE04"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25" w:history="1">
        <w:r w:rsidR="00D71CFD" w:rsidRPr="00593C03">
          <w:rPr>
            <w:rStyle w:val="Hyperlink"/>
          </w:rPr>
          <w:t>14.</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General remarks</w:t>
        </w:r>
        <w:r w:rsidR="00D71CFD">
          <w:rPr>
            <w:webHidden/>
          </w:rPr>
          <w:tab/>
        </w:r>
        <w:r w:rsidR="00D71CFD">
          <w:rPr>
            <w:webHidden/>
          </w:rPr>
          <w:fldChar w:fldCharType="begin"/>
        </w:r>
        <w:r w:rsidR="00D71CFD">
          <w:rPr>
            <w:webHidden/>
          </w:rPr>
          <w:instrText xml:space="preserve"> PAGEREF _Toc141362425 \h </w:instrText>
        </w:r>
        <w:r w:rsidR="00D71CFD">
          <w:rPr>
            <w:webHidden/>
          </w:rPr>
        </w:r>
        <w:r w:rsidR="00D71CFD">
          <w:rPr>
            <w:webHidden/>
          </w:rPr>
          <w:fldChar w:fldCharType="separate"/>
        </w:r>
        <w:r w:rsidR="00D71CFD">
          <w:rPr>
            <w:webHidden/>
          </w:rPr>
          <w:t>23</w:t>
        </w:r>
        <w:r w:rsidR="00D71CFD">
          <w:rPr>
            <w:webHidden/>
          </w:rPr>
          <w:fldChar w:fldCharType="end"/>
        </w:r>
      </w:hyperlink>
    </w:p>
    <w:p w14:paraId="15D8EBDA" w14:textId="27DA992F"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26" w:history="1">
        <w:r w:rsidR="00D71CFD" w:rsidRPr="00593C03">
          <w:rPr>
            <w:rStyle w:val="Hyperlink"/>
          </w:rPr>
          <w:t>15.</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Instructions concerning specific positions</w:t>
        </w:r>
        <w:r w:rsidR="00D71CFD">
          <w:rPr>
            <w:webHidden/>
          </w:rPr>
          <w:tab/>
        </w:r>
        <w:r w:rsidR="00D71CFD">
          <w:rPr>
            <w:webHidden/>
          </w:rPr>
          <w:fldChar w:fldCharType="begin"/>
        </w:r>
        <w:r w:rsidR="00D71CFD">
          <w:rPr>
            <w:webHidden/>
          </w:rPr>
          <w:instrText xml:space="preserve"> PAGEREF _Toc141362426 \h </w:instrText>
        </w:r>
        <w:r w:rsidR="00D71CFD">
          <w:rPr>
            <w:webHidden/>
          </w:rPr>
        </w:r>
        <w:r w:rsidR="00D71CFD">
          <w:rPr>
            <w:webHidden/>
          </w:rPr>
          <w:fldChar w:fldCharType="separate"/>
        </w:r>
        <w:r w:rsidR="00D71CFD">
          <w:rPr>
            <w:webHidden/>
          </w:rPr>
          <w:t>23</w:t>
        </w:r>
        <w:r w:rsidR="00D71CFD">
          <w:rPr>
            <w:webHidden/>
          </w:rPr>
          <w:fldChar w:fldCharType="end"/>
        </w:r>
      </w:hyperlink>
    </w:p>
    <w:p w14:paraId="3DDCBAF9" w14:textId="3DB90307"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27" w:history="1">
        <w:r w:rsidR="00D71CFD" w:rsidRPr="00593C03">
          <w:rPr>
            <w:rStyle w:val="Hyperlink"/>
            <w:lang w:val="fr-FR"/>
          </w:rPr>
          <w:t>PART VI: QUALITATIVE INFORMATION (J 10.00 and J 11.00)</w:t>
        </w:r>
        <w:r w:rsidR="00D71CFD">
          <w:rPr>
            <w:webHidden/>
          </w:rPr>
          <w:tab/>
        </w:r>
        <w:r w:rsidR="00D71CFD">
          <w:rPr>
            <w:webHidden/>
          </w:rPr>
          <w:fldChar w:fldCharType="begin"/>
        </w:r>
        <w:r w:rsidR="00D71CFD">
          <w:rPr>
            <w:webHidden/>
          </w:rPr>
          <w:instrText xml:space="preserve"> PAGEREF _Toc141362427 \h </w:instrText>
        </w:r>
        <w:r w:rsidR="00D71CFD">
          <w:rPr>
            <w:webHidden/>
          </w:rPr>
        </w:r>
        <w:r w:rsidR="00D71CFD">
          <w:rPr>
            <w:webHidden/>
          </w:rPr>
          <w:fldChar w:fldCharType="separate"/>
        </w:r>
        <w:r w:rsidR="00D71CFD">
          <w:rPr>
            <w:webHidden/>
          </w:rPr>
          <w:t>27</w:t>
        </w:r>
        <w:r w:rsidR="00D71CFD">
          <w:rPr>
            <w:webHidden/>
          </w:rPr>
          <w:fldChar w:fldCharType="end"/>
        </w:r>
      </w:hyperlink>
    </w:p>
    <w:p w14:paraId="57FDC5D0" w14:textId="682AFD06"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28" w:history="1">
        <w:r w:rsidR="00D71CFD" w:rsidRPr="00593C03">
          <w:rPr>
            <w:rStyle w:val="Hyperlink"/>
          </w:rPr>
          <w:t>16.</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General remarks</w:t>
        </w:r>
        <w:r w:rsidR="00D71CFD">
          <w:rPr>
            <w:webHidden/>
          </w:rPr>
          <w:tab/>
        </w:r>
        <w:r w:rsidR="00D71CFD">
          <w:rPr>
            <w:webHidden/>
          </w:rPr>
          <w:fldChar w:fldCharType="begin"/>
        </w:r>
        <w:r w:rsidR="00D71CFD">
          <w:rPr>
            <w:webHidden/>
          </w:rPr>
          <w:instrText xml:space="preserve"> PAGEREF _Toc141362428 \h </w:instrText>
        </w:r>
        <w:r w:rsidR="00D71CFD">
          <w:rPr>
            <w:webHidden/>
          </w:rPr>
        </w:r>
        <w:r w:rsidR="00D71CFD">
          <w:rPr>
            <w:webHidden/>
          </w:rPr>
          <w:fldChar w:fldCharType="separate"/>
        </w:r>
        <w:r w:rsidR="00D71CFD">
          <w:rPr>
            <w:webHidden/>
          </w:rPr>
          <w:t>27</w:t>
        </w:r>
        <w:r w:rsidR="00D71CFD">
          <w:rPr>
            <w:webHidden/>
          </w:rPr>
          <w:fldChar w:fldCharType="end"/>
        </w:r>
      </w:hyperlink>
    </w:p>
    <w:p w14:paraId="3D9A90DB" w14:textId="6B5B5A4B" w:rsidR="00D71CFD" w:rsidRDefault="003F1AC7" w:rsidP="00D71CFD">
      <w:pPr>
        <w:pStyle w:val="TOC2"/>
        <w:rPr>
          <w:rFonts w:asciiTheme="minorHAnsi" w:eastAsiaTheme="minorEastAsia" w:hAnsiTheme="minorHAnsi" w:cstheme="minorBidi"/>
          <w:kern w:val="2"/>
          <w:sz w:val="22"/>
          <w:lang w:eastAsia="en-GB"/>
          <w14:ligatures w14:val="standardContextual"/>
        </w:rPr>
      </w:pPr>
      <w:hyperlink w:anchor="_Toc141362429" w:history="1">
        <w:r w:rsidR="00D71CFD" w:rsidRPr="00593C03">
          <w:rPr>
            <w:rStyle w:val="Hyperlink"/>
          </w:rPr>
          <w:t>17.</w:t>
        </w:r>
        <w:r w:rsidR="00D71CFD">
          <w:rPr>
            <w:rFonts w:asciiTheme="minorHAnsi" w:eastAsiaTheme="minorEastAsia" w:hAnsiTheme="minorHAnsi" w:cstheme="minorBidi"/>
            <w:kern w:val="2"/>
            <w:sz w:val="22"/>
            <w:lang w:eastAsia="en-GB"/>
            <w14:ligatures w14:val="standardContextual"/>
          </w:rPr>
          <w:tab/>
        </w:r>
        <w:r w:rsidR="00D71CFD" w:rsidRPr="00593C03">
          <w:rPr>
            <w:rStyle w:val="Hyperlink"/>
          </w:rPr>
          <w:t>Instructions concerning specific positions</w:t>
        </w:r>
        <w:r w:rsidR="00D71CFD">
          <w:rPr>
            <w:webHidden/>
          </w:rPr>
          <w:tab/>
        </w:r>
        <w:r w:rsidR="00D71CFD">
          <w:rPr>
            <w:webHidden/>
          </w:rPr>
          <w:fldChar w:fldCharType="begin"/>
        </w:r>
        <w:r w:rsidR="00D71CFD">
          <w:rPr>
            <w:webHidden/>
          </w:rPr>
          <w:instrText xml:space="preserve"> PAGEREF _Toc141362429 \h </w:instrText>
        </w:r>
        <w:r w:rsidR="00D71CFD">
          <w:rPr>
            <w:webHidden/>
          </w:rPr>
        </w:r>
        <w:r w:rsidR="00D71CFD">
          <w:rPr>
            <w:webHidden/>
          </w:rPr>
          <w:fldChar w:fldCharType="separate"/>
        </w:r>
        <w:r w:rsidR="00D71CFD">
          <w:rPr>
            <w:webHidden/>
          </w:rPr>
          <w:t>27</w:t>
        </w:r>
        <w:r w:rsidR="00D71CFD">
          <w:rPr>
            <w:webHidden/>
          </w:rPr>
          <w:fldChar w:fldCharType="end"/>
        </w:r>
      </w:hyperlink>
    </w:p>
    <w:p w14:paraId="7AC7042C" w14:textId="6DB408A8" w:rsidR="002648B0" w:rsidRPr="00EC067D" w:rsidRDefault="00745369" w:rsidP="00005FFC">
      <w:pPr>
        <w:rPr>
          <w:rFonts w:ascii="Times New Roman" w:hAnsi="Times New Roman"/>
          <w:sz w:val="24"/>
        </w:rPr>
        <w:sectPr w:rsidR="002648B0" w:rsidRPr="00EC067D" w:rsidSect="004D4419">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7" w:right="1417" w:bottom="1134" w:left="1417" w:header="708" w:footer="708" w:gutter="0"/>
          <w:cols w:space="708"/>
          <w:titlePg/>
          <w:docGrid w:linePitch="360"/>
        </w:sectPr>
      </w:pPr>
      <w:r w:rsidRPr="00EC067D">
        <w:rPr>
          <w:rFonts w:ascii="Times New Roman" w:hAnsi="Times New Roman"/>
          <w:color w:val="2B579A"/>
          <w:sz w:val="24"/>
          <w:shd w:val="clear" w:color="auto" w:fill="E6E6E6"/>
        </w:rPr>
        <w:fldChar w:fldCharType="end"/>
      </w:r>
    </w:p>
    <w:p w14:paraId="2820F465" w14:textId="77777777" w:rsidR="002648B0" w:rsidRPr="00EC067D" w:rsidRDefault="002648B0" w:rsidP="00FE1304">
      <w:pPr>
        <w:pStyle w:val="Heading2"/>
      </w:pPr>
      <w:bookmarkStart w:id="2" w:name="_Toc264038394"/>
      <w:bookmarkStart w:id="3" w:name="_Toc360188317"/>
      <w:bookmarkStart w:id="4" w:name="_Toc473560865"/>
      <w:bookmarkStart w:id="5" w:name="_Toc141362407"/>
      <w:r w:rsidRPr="00EC067D">
        <w:lastRenderedPageBreak/>
        <w:t>PART I:</w:t>
      </w:r>
      <w:bookmarkEnd w:id="2"/>
      <w:r w:rsidRPr="00EC067D">
        <w:t xml:space="preserve"> GENERAL INSTRUCTIONS</w:t>
      </w:r>
      <w:bookmarkEnd w:id="3"/>
      <w:bookmarkEnd w:id="4"/>
      <w:bookmarkEnd w:id="5"/>
    </w:p>
    <w:p w14:paraId="7C7E012C" w14:textId="553E4C56" w:rsidR="002648B0" w:rsidRPr="005B50C3" w:rsidRDefault="51815D13" w:rsidP="00FE1304">
      <w:pPr>
        <w:pStyle w:val="Instructionsberschrift2"/>
        <w:rPr>
          <w:sz w:val="24"/>
        </w:rPr>
      </w:pPr>
      <w:bookmarkStart w:id="6" w:name="_Toc360188319"/>
      <w:bookmarkStart w:id="7" w:name="_Toc473560867"/>
      <w:bookmarkStart w:id="8" w:name="_Toc141362408"/>
      <w:r w:rsidRPr="005B50C3">
        <w:rPr>
          <w:sz w:val="24"/>
        </w:rPr>
        <w:t>Structure</w:t>
      </w:r>
      <w:bookmarkEnd w:id="6"/>
      <w:bookmarkEnd w:id="7"/>
      <w:bookmarkEnd w:id="8"/>
    </w:p>
    <w:p w14:paraId="6C67B776" w14:textId="799CB3A1" w:rsidR="005643EA" w:rsidRDefault="00EF446C" w:rsidP="0001573B">
      <w:pPr>
        <w:pStyle w:val="InstructionsText2"/>
      </w:pPr>
      <w:r w:rsidRPr="00EF446C">
        <w:t xml:space="preserve">This annex </w:t>
      </w:r>
      <w:r w:rsidR="00FD780D">
        <w:t>contains the</w:t>
      </w:r>
      <w:r w:rsidR="00FD780D" w:rsidRPr="00EF446C">
        <w:t xml:space="preserve"> </w:t>
      </w:r>
      <w:r w:rsidRPr="00EF446C">
        <w:t>instructions for</w:t>
      </w:r>
      <w:r w:rsidR="00DB4A25">
        <w:t xml:space="preserve"> the reporting of the</w:t>
      </w:r>
      <w:r w:rsidRPr="00EF446C">
        <w:t xml:space="preserve"> </w:t>
      </w:r>
      <w:r w:rsidR="00D67D0D">
        <w:t>Interest Rate Risk in the Banking Book</w:t>
      </w:r>
      <w:r w:rsidR="003F5FB4">
        <w:t xml:space="preserve"> (IRRBB) templates</w:t>
      </w:r>
      <w:r w:rsidR="00D67D0D">
        <w:t>.</w:t>
      </w:r>
    </w:p>
    <w:p w14:paraId="18B4338F" w14:textId="07369EA8" w:rsidR="00EE1EB4" w:rsidRDefault="00A00835" w:rsidP="0001573B">
      <w:pPr>
        <w:pStyle w:val="InstructionsText2"/>
      </w:pPr>
      <w:r>
        <w:t>Annex XX</w:t>
      </w:r>
      <w:r w:rsidR="00D31B5E">
        <w:t>VIII</w:t>
      </w:r>
      <w:r w:rsidR="47F3724A">
        <w:t xml:space="preserve"> consists of five different </w:t>
      </w:r>
      <w:r w:rsidR="00960EF7">
        <w:t>sets</w:t>
      </w:r>
      <w:r w:rsidR="456EE21D">
        <w:t xml:space="preserve"> of </w:t>
      </w:r>
      <w:r w:rsidR="47F3724A">
        <w:t>templates:</w:t>
      </w:r>
    </w:p>
    <w:p w14:paraId="40EF6142" w14:textId="03C467D3" w:rsidR="00B25EC5" w:rsidRDefault="00DB4A25" w:rsidP="0001573B">
      <w:pPr>
        <w:pStyle w:val="InstructionsText2"/>
        <w:numPr>
          <w:ilvl w:val="1"/>
          <w:numId w:val="20"/>
        </w:numPr>
      </w:pPr>
      <w:r>
        <w:t xml:space="preserve">Evaluation of the </w:t>
      </w:r>
      <w:r w:rsidR="34EAE31D">
        <w:t>IRRBB</w:t>
      </w:r>
      <w:r w:rsidR="007C50A3">
        <w:t>: Economic Value of Equity (</w:t>
      </w:r>
      <w:r w:rsidR="00C24D70">
        <w:t>EVE</w:t>
      </w:r>
      <w:r w:rsidR="007C50A3">
        <w:t>)</w:t>
      </w:r>
      <w:r>
        <w:t xml:space="preserve"> and </w:t>
      </w:r>
      <w:r w:rsidR="007C50A3">
        <w:t>Net Interest Income (</w:t>
      </w:r>
      <w:r w:rsidR="00C24D70">
        <w:t>NII</w:t>
      </w:r>
      <w:r w:rsidR="007C50A3">
        <w:t>)</w:t>
      </w:r>
      <w:r w:rsidR="00C24D70">
        <w:t xml:space="preserve"> </w:t>
      </w:r>
      <w:r w:rsidR="007C50A3">
        <w:t>Supervisory Outlier Tests (</w:t>
      </w:r>
      <w:r w:rsidR="00C24D70">
        <w:t>SOT</w:t>
      </w:r>
      <w:r w:rsidR="007C50A3">
        <w:t>)</w:t>
      </w:r>
      <w:r w:rsidR="00C24D70">
        <w:t xml:space="preserve"> and </w:t>
      </w:r>
      <w:r w:rsidR="712ED96E">
        <w:t xml:space="preserve">Market </w:t>
      </w:r>
      <w:r w:rsidR="007C50A3">
        <w:t>Value (</w:t>
      </w:r>
      <w:r w:rsidR="2287F1AA">
        <w:t>M</w:t>
      </w:r>
      <w:r w:rsidR="00C24D70">
        <w:t>V</w:t>
      </w:r>
      <w:r w:rsidR="007C50A3">
        <w:t>)</w:t>
      </w:r>
      <w:r w:rsidR="00C24D70">
        <w:t xml:space="preserve"> changes (</w:t>
      </w:r>
      <w:r w:rsidR="00C54643">
        <w:t>J 01.00</w:t>
      </w:r>
      <w:r w:rsidR="00C24D70">
        <w:t>)</w:t>
      </w:r>
    </w:p>
    <w:p w14:paraId="14B9FEC9" w14:textId="4D285BDC" w:rsidR="00C24D70" w:rsidRDefault="007C50A3" w:rsidP="0001573B">
      <w:pPr>
        <w:pStyle w:val="InstructionsText2"/>
        <w:numPr>
          <w:ilvl w:val="1"/>
          <w:numId w:val="20"/>
        </w:numPr>
      </w:pPr>
      <w:r>
        <w:t xml:space="preserve">Breakdown of </w:t>
      </w:r>
      <w:r w:rsidR="60E03744">
        <w:t xml:space="preserve">IRRBB </w:t>
      </w:r>
      <w:r>
        <w:t>sensitivity estimates (</w:t>
      </w:r>
      <w:r w:rsidR="00C54643">
        <w:t>J 0</w:t>
      </w:r>
      <w:r w:rsidR="00673B73">
        <w:t>2</w:t>
      </w:r>
      <w:r w:rsidR="00C54643">
        <w:t>.00</w:t>
      </w:r>
      <w:r w:rsidR="004A5A9B">
        <w:t>,</w:t>
      </w:r>
      <w:r w:rsidR="000A7D79">
        <w:t xml:space="preserve"> </w:t>
      </w:r>
      <w:r w:rsidR="001A134A">
        <w:t>J 0</w:t>
      </w:r>
      <w:r w:rsidR="00AA1E93">
        <w:t>3</w:t>
      </w:r>
      <w:r w:rsidR="001A134A">
        <w:t>.00</w:t>
      </w:r>
      <w:r w:rsidR="004A5A9B">
        <w:t xml:space="preserve"> and J 04.00</w:t>
      </w:r>
      <w:r>
        <w:t>)</w:t>
      </w:r>
    </w:p>
    <w:p w14:paraId="1CE26B54" w14:textId="113CC07B" w:rsidR="007C50A3" w:rsidRDefault="29B73ACB" w:rsidP="0001573B">
      <w:pPr>
        <w:pStyle w:val="InstructionsText2"/>
        <w:numPr>
          <w:ilvl w:val="1"/>
          <w:numId w:val="20"/>
        </w:numPr>
      </w:pPr>
      <w:r>
        <w:t>IRRBB r</w:t>
      </w:r>
      <w:r w:rsidR="007C50A3">
        <w:t>epricing cash flows (</w:t>
      </w:r>
      <w:r w:rsidR="00C54643">
        <w:t>J 0</w:t>
      </w:r>
      <w:r w:rsidR="004A5A9B">
        <w:t>5</w:t>
      </w:r>
      <w:r w:rsidR="00C54643">
        <w:t>.00</w:t>
      </w:r>
      <w:r w:rsidR="00AA1E93">
        <w:t>, J</w:t>
      </w:r>
      <w:r w:rsidR="004A5A9B">
        <w:t xml:space="preserve"> </w:t>
      </w:r>
      <w:r w:rsidR="00AA1E93">
        <w:t>0</w:t>
      </w:r>
      <w:r w:rsidR="004A5A9B">
        <w:t>6</w:t>
      </w:r>
      <w:r w:rsidR="00C54643">
        <w:t>.00</w:t>
      </w:r>
      <w:r w:rsidR="000A7D79">
        <w:t xml:space="preserve"> and </w:t>
      </w:r>
      <w:r w:rsidR="001A134A">
        <w:t>J 0</w:t>
      </w:r>
      <w:r w:rsidR="004A5A9B">
        <w:t>7</w:t>
      </w:r>
      <w:r w:rsidR="001A134A">
        <w:t>.00</w:t>
      </w:r>
      <w:r w:rsidR="007C50A3">
        <w:t>)</w:t>
      </w:r>
    </w:p>
    <w:p w14:paraId="0C48DAD9" w14:textId="39175717" w:rsidR="007C50A3" w:rsidRDefault="007C50A3" w:rsidP="0001573B">
      <w:pPr>
        <w:pStyle w:val="InstructionsText2"/>
        <w:numPr>
          <w:ilvl w:val="1"/>
          <w:numId w:val="20"/>
        </w:numPr>
      </w:pPr>
      <w:r>
        <w:t xml:space="preserve">Relevant parameters </w:t>
      </w:r>
      <w:r w:rsidR="7518CD2E">
        <w:t xml:space="preserve">on behavioural modelling </w:t>
      </w:r>
      <w:r>
        <w:t>(</w:t>
      </w:r>
      <w:r w:rsidR="00C54643">
        <w:t>J 0</w:t>
      </w:r>
      <w:r w:rsidR="004A5A9B">
        <w:t>8</w:t>
      </w:r>
      <w:r w:rsidR="00C54643">
        <w:t>.00</w:t>
      </w:r>
      <w:r w:rsidR="000A7D79">
        <w:t xml:space="preserve"> and </w:t>
      </w:r>
      <w:r w:rsidR="001A134A">
        <w:t>J 0</w:t>
      </w:r>
      <w:r w:rsidR="004A5A9B">
        <w:t>9</w:t>
      </w:r>
      <w:r w:rsidR="001A134A">
        <w:t>.00</w:t>
      </w:r>
      <w:r>
        <w:t>)</w:t>
      </w:r>
      <w:r w:rsidR="00C90FE0">
        <w:t xml:space="preserve"> </w:t>
      </w:r>
    </w:p>
    <w:p w14:paraId="6D80FE95" w14:textId="29212CDD" w:rsidR="00C90FE0" w:rsidRDefault="00C90FE0" w:rsidP="0001573B">
      <w:pPr>
        <w:pStyle w:val="InstructionsText2"/>
        <w:numPr>
          <w:ilvl w:val="1"/>
          <w:numId w:val="20"/>
        </w:numPr>
      </w:pPr>
      <w:r>
        <w:t xml:space="preserve">Qualitative information (J </w:t>
      </w:r>
      <w:r w:rsidR="004A5A9B">
        <w:t>10</w:t>
      </w:r>
      <w:r>
        <w:t>.0</w:t>
      </w:r>
      <w:r w:rsidR="00673B73">
        <w:t>0</w:t>
      </w:r>
      <w:r w:rsidR="00AA1E93">
        <w:t xml:space="preserve"> and J 1</w:t>
      </w:r>
      <w:r w:rsidR="004A5A9B">
        <w:t>1</w:t>
      </w:r>
      <w:r>
        <w:t>.0</w:t>
      </w:r>
      <w:r w:rsidR="00673B73">
        <w:t>0</w:t>
      </w:r>
      <w:r>
        <w:t>)</w:t>
      </w:r>
    </w:p>
    <w:p w14:paraId="0AFC5B98" w14:textId="6DAD5ECB" w:rsidR="00EB220B" w:rsidRDefault="00F143AD" w:rsidP="0001573B">
      <w:pPr>
        <w:pStyle w:val="InstructionsText2"/>
      </w:pPr>
      <w:bookmarkStart w:id="9" w:name="_Toc360188320"/>
      <w:bookmarkStart w:id="10" w:name="_Toc473560868"/>
      <w:r w:rsidRPr="00F143AD">
        <w:t>For each template, legal references are provided. Further detailed information regarding more general aspects of the reporting of each block of templates and instructions concerning specific positions are included in this</w:t>
      </w:r>
      <w:r w:rsidR="001B1D17">
        <w:t xml:space="preserve"> </w:t>
      </w:r>
      <w:r w:rsidR="00976E8F">
        <w:t>part</w:t>
      </w:r>
      <w:r w:rsidRPr="00F143AD">
        <w:t xml:space="preserve"> of the </w:t>
      </w:r>
      <w:r w:rsidR="00EB220B">
        <w:t>ITS</w:t>
      </w:r>
      <w:r w:rsidRPr="00F143AD">
        <w:t>.</w:t>
      </w:r>
    </w:p>
    <w:p w14:paraId="26820BED" w14:textId="68098D11" w:rsidR="006D3733" w:rsidRPr="0085004B" w:rsidRDefault="72DC83FA" w:rsidP="0001573B">
      <w:pPr>
        <w:pStyle w:val="InstructionsText2"/>
        <w:rPr>
          <w:lang w:val="en-US"/>
        </w:rPr>
      </w:pPr>
      <w:r w:rsidRPr="63452C95">
        <w:rPr>
          <w:rFonts w:eastAsia="Verdana"/>
          <w:lang w:val="en-US"/>
        </w:rPr>
        <w:t>Institutions shall report the template</w:t>
      </w:r>
      <w:r w:rsidR="1553D9CC" w:rsidRPr="63452C95">
        <w:rPr>
          <w:rFonts w:eastAsia="Verdana"/>
          <w:lang w:val="en-US"/>
        </w:rPr>
        <w:t>s</w:t>
      </w:r>
      <w:r w:rsidRPr="63452C95">
        <w:rPr>
          <w:rFonts w:eastAsia="Verdana"/>
          <w:lang w:val="en-US"/>
        </w:rPr>
        <w:t xml:space="preserve"> in the reporting currency, regardless of the actual denomination of assets, liabilities and off-balance sheet items.</w:t>
      </w:r>
      <w:r w:rsidR="60897EE9" w:rsidRPr="63452C95">
        <w:rPr>
          <w:rFonts w:eastAsia="Verdana"/>
          <w:lang w:val="en-US"/>
        </w:rPr>
        <w:t xml:space="preserve"> </w:t>
      </w:r>
      <w:r w:rsidR="60897EE9" w:rsidRPr="008B3266">
        <w:rPr>
          <w:lang w:val="en-US"/>
        </w:rPr>
        <w:t xml:space="preserve">Currencies other than the reporting currency shall be converted to the reporting currency at the ECB FX </w:t>
      </w:r>
      <w:r w:rsidR="009668B9">
        <w:rPr>
          <w:lang w:val="en-US"/>
        </w:rPr>
        <w:t xml:space="preserve">reference </w:t>
      </w:r>
      <w:r w:rsidR="60897EE9" w:rsidRPr="008B3266">
        <w:rPr>
          <w:lang w:val="en-US"/>
        </w:rPr>
        <w:t>rate on the reference date.</w:t>
      </w:r>
      <w:r w:rsidRPr="63452C95">
        <w:rPr>
          <w:rFonts w:eastAsia="Verdana"/>
          <w:lang w:val="en-US"/>
        </w:rPr>
        <w:t xml:space="preserve"> I</w:t>
      </w:r>
      <w:r w:rsidR="23E34D34" w:rsidRPr="63452C95">
        <w:rPr>
          <w:rFonts w:eastAsia="Verdana"/>
          <w:lang w:val="en-US"/>
        </w:rPr>
        <w:t>nstitutions shall separately report the template</w:t>
      </w:r>
      <w:r w:rsidR="145BF75C" w:rsidRPr="63452C95">
        <w:rPr>
          <w:rFonts w:eastAsia="Verdana"/>
          <w:lang w:val="en-US"/>
        </w:rPr>
        <w:t>s</w:t>
      </w:r>
      <w:r w:rsidR="23E34D34" w:rsidRPr="63452C95">
        <w:rPr>
          <w:rFonts w:eastAsia="Verdana"/>
          <w:lang w:val="en-US"/>
        </w:rPr>
        <w:t xml:space="preserve"> </w:t>
      </w:r>
      <w:r w:rsidR="0021658B">
        <w:rPr>
          <w:rFonts w:eastAsia="Verdana"/>
          <w:lang w:val="en-US"/>
        </w:rPr>
        <w:t>broken down by</w:t>
      </w:r>
      <w:r w:rsidR="0021658B" w:rsidRPr="63452C95">
        <w:rPr>
          <w:rFonts w:eastAsia="Verdana"/>
          <w:lang w:val="en-US"/>
        </w:rPr>
        <w:t xml:space="preserve"> </w:t>
      </w:r>
      <w:r w:rsidR="23E34D34" w:rsidRPr="63452C95">
        <w:rPr>
          <w:rFonts w:eastAsia="Verdana"/>
          <w:lang w:val="en-US"/>
        </w:rPr>
        <w:t xml:space="preserve">the corresponding currencies in accordance with </w:t>
      </w:r>
      <w:r w:rsidR="00940746" w:rsidRPr="0A122BEC">
        <w:t>EBA/RTS/2022/10</w:t>
      </w:r>
      <w:r w:rsidR="00940746">
        <w:rPr>
          <w:rStyle w:val="FootnoteReference"/>
        </w:rPr>
        <w:footnoteReference w:id="2"/>
      </w:r>
      <w:r w:rsidR="00940746">
        <w:t xml:space="preserve"> </w:t>
      </w:r>
      <w:r w:rsidR="005937D1">
        <w:t>(</w:t>
      </w:r>
      <w:r w:rsidR="00940746">
        <w:t>’the</w:t>
      </w:r>
      <w:r w:rsidR="005937D1">
        <w:t xml:space="preserve"> </w:t>
      </w:r>
      <w:r w:rsidR="005937D1" w:rsidRPr="63452C95">
        <w:rPr>
          <w:highlight w:val="lightGray"/>
        </w:rPr>
        <w:t>EBA RTS on SOT</w:t>
      </w:r>
      <w:r w:rsidR="00940746" w:rsidRPr="003F7FA8">
        <w:rPr>
          <w:highlight w:val="lightGray"/>
        </w:rPr>
        <w:t>’</w:t>
      </w:r>
      <w:r w:rsidR="00940746" w:rsidRPr="000F1693">
        <w:t>)</w:t>
      </w:r>
      <w:r w:rsidRPr="000F1693">
        <w:rPr>
          <w:rFonts w:eastAsia="Verdana"/>
          <w:lang w:val="en-US"/>
        </w:rPr>
        <w:t>.</w:t>
      </w:r>
      <w:bookmarkStart w:id="11" w:name="_@_8F13D57BB9CD4FF0A0FE7B37689B022CZ"/>
      <w:bookmarkEnd w:id="11"/>
    </w:p>
    <w:p w14:paraId="0DEADD70" w14:textId="043584C5" w:rsidR="002E61DB" w:rsidRDefault="39A56A61" w:rsidP="0001573B">
      <w:pPr>
        <w:pStyle w:val="InstructionsText2"/>
        <w:rPr>
          <w:lang w:val="en-US"/>
        </w:rPr>
      </w:pPr>
      <w:r w:rsidRPr="763F32FC">
        <w:rPr>
          <w:rFonts w:eastAsia="Verdana"/>
          <w:lang w:val="en-US"/>
        </w:rPr>
        <w:t xml:space="preserve">In accordance with Article 4(d) of the </w:t>
      </w:r>
      <w:r w:rsidRPr="763F32FC">
        <w:rPr>
          <w:highlight w:val="lightGray"/>
        </w:rPr>
        <w:t>EBA RTS on SOT</w:t>
      </w:r>
      <w:r>
        <w:t xml:space="preserve">, institutions </w:t>
      </w:r>
      <w:r w:rsidR="444B332D">
        <w:t>shall reflect automatic and behavioural options in their calculation</w:t>
      </w:r>
      <w:r w:rsidR="5ACA7661">
        <w:t>s</w:t>
      </w:r>
      <w:r w:rsidR="001B1D17">
        <w:t xml:space="preserve">, </w:t>
      </w:r>
      <w:r w:rsidR="26A4F0CC">
        <w:t>where applicable</w:t>
      </w:r>
      <w:r w:rsidR="0064767A">
        <w:t>,</w:t>
      </w:r>
      <w:r w:rsidR="26A4F0CC">
        <w:t xml:space="preserve"> </w:t>
      </w:r>
      <w:r w:rsidR="46B13528">
        <w:t>except in cases where otherwise specified</w:t>
      </w:r>
      <w:r w:rsidR="00BA6B9E">
        <w:t>.</w:t>
      </w:r>
    </w:p>
    <w:p w14:paraId="53A7CDF1" w14:textId="261546A6" w:rsidR="001B1D17" w:rsidRPr="005B50C3" w:rsidRDefault="001B1D17" w:rsidP="00FE1304">
      <w:pPr>
        <w:pStyle w:val="Instructionsberschrift2"/>
        <w:rPr>
          <w:sz w:val="24"/>
        </w:rPr>
      </w:pPr>
      <w:bookmarkStart w:id="12" w:name="_Toc141362409"/>
      <w:r w:rsidRPr="005B50C3">
        <w:rPr>
          <w:sz w:val="24"/>
        </w:rPr>
        <w:t xml:space="preserve">Scope of </w:t>
      </w:r>
      <w:r w:rsidR="00EF1DEB" w:rsidRPr="005B50C3">
        <w:rPr>
          <w:sz w:val="24"/>
        </w:rPr>
        <w:t>reporting</w:t>
      </w:r>
      <w:bookmarkEnd w:id="12"/>
    </w:p>
    <w:p w14:paraId="67947B67" w14:textId="3921607D" w:rsidR="001B1D17" w:rsidRPr="00954BFA" w:rsidRDefault="001B1D17" w:rsidP="0001573B">
      <w:pPr>
        <w:pStyle w:val="InstructionsText2"/>
      </w:pPr>
      <w:r w:rsidRPr="00264692">
        <w:t xml:space="preserve">For the purpose of </w:t>
      </w:r>
      <w:r w:rsidR="00527EF6">
        <w:t>this Annex</w:t>
      </w:r>
      <w:r w:rsidRPr="00954BFA">
        <w:t xml:space="preserve">, </w:t>
      </w:r>
      <w:r w:rsidR="00EC2356">
        <w:t>institutions</w:t>
      </w:r>
      <w:r w:rsidRPr="00954BFA">
        <w:t xml:space="preserve"> </w:t>
      </w:r>
      <w:r w:rsidR="00527EF6">
        <w:t>shall</w:t>
      </w:r>
      <w:r w:rsidRPr="00954BFA">
        <w:t xml:space="preserve"> project their IRRBB estimates and provide information on their </w:t>
      </w:r>
      <w:r w:rsidR="00527EF6">
        <w:t>interest rate</w:t>
      </w:r>
      <w:r w:rsidRPr="00954BFA">
        <w:t xml:space="preserve"> exposures arising from the interest rate-sensitive positions in the banking book </w:t>
      </w:r>
      <w:r>
        <w:t xml:space="preserve">in scope of </w:t>
      </w:r>
      <w:r w:rsidRPr="00954BFA">
        <w:t>the SOTs (</w:t>
      </w:r>
      <w:r w:rsidR="00527EF6">
        <w:t>A</w:t>
      </w:r>
      <w:r w:rsidRPr="00954BFA">
        <w:t>rti</w:t>
      </w:r>
      <w:r w:rsidRPr="00264692">
        <w:t>cle 4</w:t>
      </w:r>
      <w:r w:rsidR="007D652B">
        <w:t xml:space="preserve"> and 5</w:t>
      </w:r>
      <w:r w:rsidRPr="00264692">
        <w:t xml:space="preserve"> </w:t>
      </w:r>
      <w:r w:rsidR="00527EF6">
        <w:t xml:space="preserve">of the </w:t>
      </w:r>
      <w:r w:rsidRPr="00954BFA">
        <w:rPr>
          <w:highlight w:val="lightGray"/>
        </w:rPr>
        <w:t>EBA RTS on SOT</w:t>
      </w:r>
      <w:r w:rsidRPr="00264692">
        <w:t xml:space="preserve">). </w:t>
      </w:r>
      <w:r>
        <w:t>I</w:t>
      </w:r>
      <w:r w:rsidRPr="00954BFA">
        <w:t>n particular</w:t>
      </w:r>
      <w:r w:rsidR="009A0900">
        <w:t xml:space="preserve">, institutions shall </w:t>
      </w:r>
      <w:r w:rsidR="007F28A2">
        <w:t>consider</w:t>
      </w:r>
      <w:r w:rsidR="008F0FD7">
        <w:t xml:space="preserve"> all instru</w:t>
      </w:r>
      <w:r w:rsidR="006D7A5E">
        <w:t>ments in accordance with</w:t>
      </w:r>
      <w:r w:rsidR="000F5488">
        <w:t xml:space="preserve"> </w:t>
      </w:r>
      <w:r w:rsidR="00E85090">
        <w:t>Article 4</w:t>
      </w:r>
      <w:r w:rsidR="006016BB">
        <w:t>, points a) to i)</w:t>
      </w:r>
      <w:r w:rsidR="00E85090">
        <w:t xml:space="preserve"> </w:t>
      </w:r>
      <w:r w:rsidR="00CD6D31">
        <w:t xml:space="preserve">of the </w:t>
      </w:r>
      <w:r w:rsidR="00CD6D31" w:rsidRPr="00954BFA">
        <w:rPr>
          <w:highlight w:val="lightGray"/>
        </w:rPr>
        <w:t>EBA RTS on SOT</w:t>
      </w:r>
      <w:r w:rsidR="00CD6D31">
        <w:t>.</w:t>
      </w:r>
      <w:r w:rsidRPr="00954BFA">
        <w:t xml:space="preserve"> </w:t>
      </w:r>
    </w:p>
    <w:p w14:paraId="258198B8" w14:textId="0DE6B55B" w:rsidR="001B1D17" w:rsidRPr="005B50C3" w:rsidRDefault="0039144F" w:rsidP="00FE1304">
      <w:pPr>
        <w:pStyle w:val="Instructionsberschrift2"/>
        <w:rPr>
          <w:sz w:val="24"/>
        </w:rPr>
      </w:pPr>
      <w:bookmarkStart w:id="13" w:name="_Ref125115357"/>
      <w:bookmarkStart w:id="14" w:name="_Ref122265153"/>
      <w:bookmarkStart w:id="15" w:name="_Toc141362410"/>
      <w:r w:rsidRPr="005B50C3">
        <w:rPr>
          <w:sz w:val="24"/>
        </w:rPr>
        <w:lastRenderedPageBreak/>
        <w:t>Treatment of fixed/floating rate instruments</w:t>
      </w:r>
      <w:bookmarkEnd w:id="13"/>
      <w:bookmarkEnd w:id="14"/>
      <w:bookmarkEnd w:id="15"/>
    </w:p>
    <w:p w14:paraId="77CC8D4D" w14:textId="5EC5FF54" w:rsidR="001B1D17" w:rsidRDefault="001B1D17" w:rsidP="0001573B">
      <w:pPr>
        <w:pStyle w:val="InstructionsText2"/>
      </w:pPr>
      <w:r w:rsidRPr="00E61125">
        <w:t xml:space="preserve">For the purpose of </w:t>
      </w:r>
      <w:r w:rsidR="00291B04">
        <w:t>this Annex</w:t>
      </w:r>
      <w:r>
        <w:t xml:space="preserve">, and where separate information is requested for fixed and/or floating rate instruments, the following definitions apply: </w:t>
      </w:r>
    </w:p>
    <w:p w14:paraId="4A89838D" w14:textId="60FB54D3" w:rsidR="00922BF8" w:rsidRDefault="00922BF8" w:rsidP="0001573B">
      <w:pPr>
        <w:pStyle w:val="InstructionsText2"/>
        <w:numPr>
          <w:ilvl w:val="1"/>
          <w:numId w:val="20"/>
        </w:numPr>
      </w:pPr>
      <w:r>
        <w:t xml:space="preserve">Fixed rate instrument </w:t>
      </w:r>
      <w:r w:rsidR="007A2776">
        <w:t xml:space="preserve">according to </w:t>
      </w:r>
      <w:r w:rsidR="003B7776">
        <w:t xml:space="preserve">Article </w:t>
      </w:r>
      <w:r w:rsidR="00213CB2">
        <w:t>1(</w:t>
      </w:r>
      <w:r w:rsidR="000D399F">
        <w:t>1</w:t>
      </w:r>
      <w:r w:rsidR="00213CB2">
        <w:t>)</w:t>
      </w:r>
      <w:r w:rsidR="006016BB">
        <w:t>, point (4</w:t>
      </w:r>
      <w:r w:rsidR="00213CB2">
        <w:t xml:space="preserve">) of the </w:t>
      </w:r>
      <w:r w:rsidR="00212817" w:rsidRPr="00B137C4">
        <w:rPr>
          <w:lang w:val="en-US"/>
        </w:rPr>
        <w:t>EBA/RTS/2022/09</w:t>
      </w:r>
      <w:r w:rsidR="00212817">
        <w:rPr>
          <w:lang w:val="en-US"/>
        </w:rPr>
        <w:t xml:space="preserve"> (the ‘</w:t>
      </w:r>
      <w:r w:rsidR="00212817" w:rsidRPr="00B137C4">
        <w:rPr>
          <w:shd w:val="clear" w:color="auto" w:fill="D3D3D3"/>
          <w:lang w:val="en-US"/>
        </w:rPr>
        <w:t>EBA RTS on SA</w:t>
      </w:r>
      <w:r w:rsidR="00212817">
        <w:rPr>
          <w:shd w:val="clear" w:color="auto" w:fill="D3D3D3"/>
          <w:lang w:val="en-US"/>
        </w:rPr>
        <w:t>’)</w:t>
      </w:r>
      <w:r w:rsidR="00212817">
        <w:rPr>
          <w:rFonts w:ascii="Arial" w:eastAsia="Arial" w:hAnsi="Arial" w:cs="Arial"/>
          <w:vertAlign w:val="superscript"/>
        </w:rPr>
        <w:footnoteReference w:id="3"/>
      </w:r>
      <w:r>
        <w:t xml:space="preserve">. </w:t>
      </w:r>
      <w:r w:rsidR="008454E7">
        <w:t>Specifically</w:t>
      </w:r>
      <w:r>
        <w:t>:</w:t>
      </w:r>
    </w:p>
    <w:p w14:paraId="5ED6FF8A" w14:textId="09B5CFE4" w:rsidR="001B1D17" w:rsidRPr="00264692" w:rsidRDefault="0021658B" w:rsidP="0001573B">
      <w:pPr>
        <w:pStyle w:val="InstructionsText2"/>
        <w:numPr>
          <w:ilvl w:val="2"/>
          <w:numId w:val="20"/>
        </w:numPr>
      </w:pPr>
      <w:r>
        <w:t xml:space="preserve">Instruments </w:t>
      </w:r>
      <w:r w:rsidR="001B1D17">
        <w:t xml:space="preserve">without a specific contractual maturity (i.e., non-maturity products), </w:t>
      </w:r>
      <w:r w:rsidR="00AE4C83">
        <w:t>whose cash flows of interest payments are</w:t>
      </w:r>
      <w:r w:rsidR="001B1D17">
        <w:t xml:space="preserve"> not contractually/ legally linked to movements on an external benchmark or </w:t>
      </w:r>
      <w:r w:rsidR="00AE4C83">
        <w:t xml:space="preserve">an </w:t>
      </w:r>
      <w:r w:rsidR="001B1D17" w:rsidRPr="00264692">
        <w:t xml:space="preserve">institution’s internally managed index, but instead, are </w:t>
      </w:r>
      <w:r w:rsidR="00AE4C83">
        <w:t>at the discretion of</w:t>
      </w:r>
      <w:r w:rsidR="001B1D17" w:rsidRPr="00264692">
        <w:t xml:space="preserve"> the institution or a government agency</w:t>
      </w:r>
      <w:r w:rsidR="006B77CA">
        <w:t>.</w:t>
      </w:r>
    </w:p>
    <w:p w14:paraId="54833A4C" w14:textId="573D30EF" w:rsidR="008454E7" w:rsidRPr="00264692" w:rsidRDefault="0021658B" w:rsidP="0001573B">
      <w:pPr>
        <w:pStyle w:val="InstructionsText2"/>
        <w:numPr>
          <w:ilvl w:val="2"/>
          <w:numId w:val="20"/>
        </w:numPr>
      </w:pPr>
      <w:r>
        <w:t>Instruments</w:t>
      </w:r>
      <w:r w:rsidRPr="00264692">
        <w:t xml:space="preserve"> </w:t>
      </w:r>
      <w:r w:rsidR="001B1D17" w:rsidRPr="00264692">
        <w:t xml:space="preserve">with a specific contractual maturity, </w:t>
      </w:r>
      <w:r w:rsidR="00AE4C83">
        <w:t xml:space="preserve">whose cash flows of interest payments are </w:t>
      </w:r>
      <w:r w:rsidR="001B1D17" w:rsidRPr="00264692">
        <w:t xml:space="preserve">fixed </w:t>
      </w:r>
      <w:r w:rsidR="00AE4C83">
        <w:t>from the</w:t>
      </w:r>
      <w:r w:rsidR="00AE4C83" w:rsidRPr="00264692">
        <w:t xml:space="preserve"> </w:t>
      </w:r>
      <w:r w:rsidR="001B1D17" w:rsidRPr="00264692">
        <w:t xml:space="preserve">inception and until the maturity of the instrument, or </w:t>
      </w:r>
      <w:r w:rsidR="001B1D17" w:rsidRPr="00744C12">
        <w:t>where the contractual repricing is above 1 yea</w:t>
      </w:r>
      <w:r w:rsidR="001B1D17" w:rsidRPr="00264692">
        <w:t xml:space="preserve">r; or where changes in its remuneration – at any time during the life of the contract </w:t>
      </w:r>
      <w:r w:rsidR="006B77CA">
        <w:t>–</w:t>
      </w:r>
      <w:r w:rsidR="001B1D17" w:rsidRPr="00264692">
        <w:t xml:space="preserve"> are discretional to the institution or a government agency.</w:t>
      </w:r>
    </w:p>
    <w:p w14:paraId="270FB2E9" w14:textId="779A83F4" w:rsidR="00922BF8" w:rsidRDefault="00922BF8" w:rsidP="0001573B">
      <w:pPr>
        <w:pStyle w:val="InstructionsText2"/>
        <w:numPr>
          <w:ilvl w:val="1"/>
          <w:numId w:val="20"/>
        </w:numPr>
      </w:pPr>
      <w:r>
        <w:t>‘Floating rate instrument</w:t>
      </w:r>
      <w:r w:rsidR="007A2776">
        <w:t xml:space="preserve"> according to </w:t>
      </w:r>
      <w:r w:rsidR="00213CB2">
        <w:t xml:space="preserve">Article </w:t>
      </w:r>
      <w:r w:rsidR="009273BF">
        <w:t>1(</w:t>
      </w:r>
      <w:r w:rsidR="00CE4152">
        <w:t>1</w:t>
      </w:r>
      <w:r w:rsidR="009273BF">
        <w:t>)</w:t>
      </w:r>
      <w:r w:rsidR="006016BB">
        <w:t>, point (5</w:t>
      </w:r>
      <w:r w:rsidR="009273BF">
        <w:t xml:space="preserve">) of the </w:t>
      </w:r>
      <w:r w:rsidR="009273BF" w:rsidRPr="00C40D23">
        <w:rPr>
          <w:highlight w:val="lightGray"/>
        </w:rPr>
        <w:t>EBA RTS on SA</w:t>
      </w:r>
      <w:r>
        <w:t xml:space="preserve">. </w:t>
      </w:r>
      <w:r w:rsidR="008454E7">
        <w:t>Specifically</w:t>
      </w:r>
      <w:r>
        <w:t>:</w:t>
      </w:r>
    </w:p>
    <w:p w14:paraId="1784E8D4" w14:textId="6E33E421" w:rsidR="00AB1BC3" w:rsidRDefault="0021658B" w:rsidP="0001573B">
      <w:pPr>
        <w:pStyle w:val="InstructionsText2"/>
        <w:numPr>
          <w:ilvl w:val="2"/>
          <w:numId w:val="20"/>
        </w:numPr>
      </w:pPr>
      <w:r>
        <w:t xml:space="preserve">Instruments </w:t>
      </w:r>
      <w:r w:rsidR="00AB1BC3">
        <w:t>without a specific contractual maturity (i.e</w:t>
      </w:r>
      <w:r w:rsidR="00C75665">
        <w:t>.,</w:t>
      </w:r>
      <w:r w:rsidR="00AB1BC3">
        <w:t xml:space="preserve"> non-maturity products), where </w:t>
      </w:r>
      <w:r>
        <w:t>the cash flows of interest payments are</w:t>
      </w:r>
      <w:r w:rsidR="00AB1BC3">
        <w:t xml:space="preserve"> not discretional to the institution or a government agency, but instead contractually/legally linked to movements o</w:t>
      </w:r>
      <w:r>
        <w:t>f</w:t>
      </w:r>
      <w:r w:rsidR="00AB1BC3">
        <w:t xml:space="preserve"> an external benchmark or institution’s internally managed index</w:t>
      </w:r>
      <w:r w:rsidR="006B77CA">
        <w:t>.</w:t>
      </w:r>
    </w:p>
    <w:p w14:paraId="2BEB21B8" w14:textId="50D4F20F" w:rsidR="001B1D17" w:rsidRDefault="0021658B" w:rsidP="0001573B">
      <w:pPr>
        <w:pStyle w:val="InstructionsText2"/>
        <w:numPr>
          <w:ilvl w:val="2"/>
          <w:numId w:val="20"/>
        </w:numPr>
      </w:pPr>
      <w:r>
        <w:t xml:space="preserve">Instruments </w:t>
      </w:r>
      <w:r w:rsidR="001B1D17">
        <w:t xml:space="preserve">with a specific contractual maturity, </w:t>
      </w:r>
      <w:r w:rsidR="00AE4C83">
        <w:t xml:space="preserve">whose cash flows of interest payments are </w:t>
      </w:r>
      <w:r w:rsidR="001B1D17">
        <w:t xml:space="preserve">not fixed </w:t>
      </w:r>
      <w:r w:rsidR="00AE4C83">
        <w:t xml:space="preserve">from the </w:t>
      </w:r>
      <w:r w:rsidR="001B1D17">
        <w:t xml:space="preserve">inception and until the maturity of the instrument, where its contractual repricing is below or equal to 1 year, and where changes in its remuneration during the life of the contract are not </w:t>
      </w:r>
      <w:r w:rsidR="00AE4C83">
        <w:t>at the discretion of</w:t>
      </w:r>
      <w:r w:rsidR="001B1D17">
        <w:t xml:space="preserve"> the institution or a government agency.</w:t>
      </w:r>
    </w:p>
    <w:p w14:paraId="18A5F9AF" w14:textId="2B3B0753" w:rsidR="001B1D17" w:rsidRPr="005B50C3" w:rsidRDefault="00AB232D" w:rsidP="00FE1304">
      <w:pPr>
        <w:pStyle w:val="Instructionsberschrift2"/>
        <w:rPr>
          <w:sz w:val="24"/>
        </w:rPr>
      </w:pPr>
      <w:bookmarkStart w:id="16" w:name="_Toc141362411"/>
      <w:r w:rsidRPr="005B50C3">
        <w:rPr>
          <w:sz w:val="24"/>
        </w:rPr>
        <w:t>Treatment of o</w:t>
      </w:r>
      <w:r w:rsidR="001B1D17" w:rsidRPr="005B50C3">
        <w:rPr>
          <w:sz w:val="24"/>
        </w:rPr>
        <w:t>ptions</w:t>
      </w:r>
      <w:bookmarkEnd w:id="16"/>
    </w:p>
    <w:p w14:paraId="32686ECA" w14:textId="4FB231DF" w:rsidR="001B1D17" w:rsidRPr="00F872E8" w:rsidRDefault="001B1D17" w:rsidP="0001573B">
      <w:pPr>
        <w:pStyle w:val="InstructionsText2"/>
      </w:pPr>
      <w:r>
        <w:t>F</w:t>
      </w:r>
      <w:r w:rsidRPr="00E61125">
        <w:t xml:space="preserve">or the purpose of </w:t>
      </w:r>
      <w:r w:rsidR="00553A57">
        <w:t>this Annex</w:t>
      </w:r>
      <w:r>
        <w:t xml:space="preserve">, and where separate information on options is </w:t>
      </w:r>
      <w:r w:rsidRPr="00264692">
        <w:t xml:space="preserve">requested, the following treatment </w:t>
      </w:r>
      <w:r w:rsidR="00553A57">
        <w:t>shall apply</w:t>
      </w:r>
      <w:r w:rsidRPr="00F872E8">
        <w:t xml:space="preserve">: </w:t>
      </w:r>
    </w:p>
    <w:p w14:paraId="6B6F0868" w14:textId="6F966BC0" w:rsidR="001B1D17" w:rsidRPr="00F872E8" w:rsidRDefault="001B1D17" w:rsidP="0001573B">
      <w:pPr>
        <w:pStyle w:val="InstructionsText2"/>
        <w:numPr>
          <w:ilvl w:val="1"/>
          <w:numId w:val="20"/>
        </w:numPr>
      </w:pPr>
      <w:r w:rsidRPr="00F872E8">
        <w:t xml:space="preserve">Embedded options </w:t>
      </w:r>
      <w:r w:rsidR="00553A57">
        <w:t>shall</w:t>
      </w:r>
      <w:r w:rsidRPr="00F872E8">
        <w:t xml:space="preserve"> be reported together with </w:t>
      </w:r>
      <w:r w:rsidR="000E4320">
        <w:t>their</w:t>
      </w:r>
      <w:r w:rsidR="000E4320" w:rsidRPr="00F872E8">
        <w:t xml:space="preserve"> </w:t>
      </w:r>
      <w:r w:rsidRPr="00F872E8">
        <w:t>relevant host instrument.</w:t>
      </w:r>
    </w:p>
    <w:p w14:paraId="1DA2737F" w14:textId="687CC060" w:rsidR="001B1D17" w:rsidRPr="00264692" w:rsidRDefault="001B1D17" w:rsidP="0001573B">
      <w:pPr>
        <w:pStyle w:val="InstructionsText2"/>
        <w:numPr>
          <w:ilvl w:val="1"/>
          <w:numId w:val="20"/>
        </w:numPr>
      </w:pPr>
      <w:r>
        <w:t xml:space="preserve">Explicit/standalone options shall be reported separately to any other kind of balance sheet items </w:t>
      </w:r>
      <w:r w:rsidR="00C447D2" w:rsidRPr="579D23CD">
        <w:rPr>
          <w:lang w:val="en-US"/>
        </w:rPr>
        <w:t xml:space="preserve">as derivative instruments </w:t>
      </w:r>
      <w:r>
        <w:t>(</w:t>
      </w:r>
      <w:r w:rsidR="00C447D2">
        <w:t>i.e.</w:t>
      </w:r>
      <w:r>
        <w:t xml:space="preserve"> they </w:t>
      </w:r>
      <w:r w:rsidR="00EC2356">
        <w:t>shall</w:t>
      </w:r>
      <w:r>
        <w:t xml:space="preserve"> not be reported together with the hedged item)</w:t>
      </w:r>
      <w:r w:rsidR="00162D32">
        <w:t>.</w:t>
      </w:r>
    </w:p>
    <w:p w14:paraId="273A8B8C" w14:textId="25530713" w:rsidR="002648B0" w:rsidRPr="005B50C3" w:rsidRDefault="51815D13" w:rsidP="00FE1304">
      <w:pPr>
        <w:pStyle w:val="Instructionsberschrift2"/>
        <w:rPr>
          <w:sz w:val="24"/>
        </w:rPr>
      </w:pPr>
      <w:bookmarkStart w:id="17" w:name="_Toc264038399"/>
      <w:bookmarkStart w:id="18" w:name="_Toc294018834"/>
      <w:bookmarkStart w:id="19" w:name="_Toc360188321"/>
      <w:bookmarkStart w:id="20" w:name="_Toc473560869"/>
      <w:bookmarkStart w:id="21" w:name="_Toc141362412"/>
      <w:bookmarkEnd w:id="9"/>
      <w:bookmarkEnd w:id="10"/>
      <w:r w:rsidRPr="005B50C3">
        <w:rPr>
          <w:sz w:val="24"/>
        </w:rPr>
        <w:lastRenderedPageBreak/>
        <w:t>Sign convention</w:t>
      </w:r>
      <w:bookmarkEnd w:id="17"/>
      <w:bookmarkEnd w:id="18"/>
      <w:bookmarkEnd w:id="19"/>
      <w:bookmarkEnd w:id="20"/>
      <w:bookmarkEnd w:id="21"/>
    </w:p>
    <w:p w14:paraId="6633F0CF" w14:textId="7040FCD7" w:rsidR="001E63FC" w:rsidRPr="001E63FC" w:rsidRDefault="001E63FC" w:rsidP="0001573B">
      <w:pPr>
        <w:pStyle w:val="InstructionsText2"/>
      </w:pPr>
      <w:bookmarkStart w:id="22" w:name="_Hlk140593002"/>
      <w:r w:rsidRPr="001E63FC">
        <w:t xml:space="preserve">Generally, values shall be reported positively across the templates. Figures expressed in monetary units referring to the level of EVE, level of NII and MV level shall in general be reported as a positive figure, irrespective of whether it refers to an asset or a liability, although exceptions </w:t>
      </w:r>
      <w:r w:rsidR="001A247C">
        <w:t>shall</w:t>
      </w:r>
      <w:r w:rsidR="001A247C" w:rsidRPr="001E63FC">
        <w:t xml:space="preserve"> </w:t>
      </w:r>
      <w:r w:rsidRPr="001E63FC">
        <w:t>be observed : it is the case when the NII level is negative if the interest expenses are bigger than the interest incomes in the baseline scenario, or</w:t>
      </w:r>
      <w:r w:rsidRPr="007C40B0">
        <w:t xml:space="preserve"> the case of derivatives where net</w:t>
      </w:r>
      <w:r w:rsidRPr="001E63FC">
        <w:t>ted</w:t>
      </w:r>
      <w:r w:rsidRPr="007C40B0">
        <w:t xml:space="preserve"> values </w:t>
      </w:r>
      <w:r w:rsidRPr="001E63FC">
        <w:t>of the derivative legs need to be</w:t>
      </w:r>
      <w:r w:rsidRPr="007C40B0">
        <w:t xml:space="preserve"> </w:t>
      </w:r>
      <w:r w:rsidRPr="001E63FC">
        <w:t>reported</w:t>
      </w:r>
      <w:r w:rsidRPr="007C40B0">
        <w:t xml:space="preserve">. </w:t>
      </w:r>
    </w:p>
    <w:bookmarkEnd w:id="22"/>
    <w:p w14:paraId="71AA1747" w14:textId="3CF256BA" w:rsidR="001E63FC" w:rsidRPr="007C40B0" w:rsidRDefault="001E63FC" w:rsidP="0001573B">
      <w:pPr>
        <w:pStyle w:val="InstructionsText2"/>
      </w:pPr>
      <w:r w:rsidRPr="001E63FC">
        <w:t>. The changes (</w:t>
      </w:r>
      <w:r w:rsidRPr="00D92E9B">
        <w:t>Δ</w:t>
      </w:r>
      <w:r w:rsidRPr="001E63FC">
        <w:t xml:space="preserve">) of EVE, NII and MV shall be reported with positive or negative values, depending on the variation. The </w:t>
      </w:r>
      <w:r w:rsidRPr="00D92E9B">
        <w:t>Δ</w:t>
      </w:r>
      <w:r w:rsidRPr="001E63FC">
        <w:t xml:space="preserve"> shall be calculated as the difference between the EVE/NII/MV under the shock scenarios minus baseline scenario. EVE (and MV) sensitivities of a specific asset or liability </w:t>
      </w:r>
      <w:r>
        <w:t>shall</w:t>
      </w:r>
      <w:r w:rsidRPr="001E63FC">
        <w:t xml:space="preserve"> be reported as positive if the EVE (and MV) of that asset or liability increases under a </w:t>
      </w:r>
      <w:r w:rsidR="00276CA2">
        <w:t>specific</w:t>
      </w:r>
      <w:r w:rsidRPr="001E63FC">
        <w:t xml:space="preserve"> IR scenario. Similarly, NII sensitivities of a specific asset, or liability, </w:t>
      </w:r>
      <w:r w:rsidR="00276CA2">
        <w:t>shall</w:t>
      </w:r>
      <w:r w:rsidRPr="001E63FC">
        <w:t xml:space="preserve"> be reported as positive when the interest income of that asset, or the interest expense of that liability, increases under a concrete IR scenario.</w:t>
      </w:r>
    </w:p>
    <w:p w14:paraId="254BF615" w14:textId="1DB9D7AA" w:rsidR="001E63FC" w:rsidRPr="001E63FC" w:rsidRDefault="001E63FC" w:rsidP="0001573B">
      <w:pPr>
        <w:pStyle w:val="InstructionsText2"/>
      </w:pPr>
      <w:r w:rsidRPr="001E63FC">
        <w:t>In data points related to notional exposures or carrying amounts, the same rule applies, values shall be reported positively for assets and liabilities.</w:t>
      </w:r>
    </w:p>
    <w:p w14:paraId="6E2C3DB2" w14:textId="1E09297F" w:rsidR="001E63FC" w:rsidRPr="001E63FC" w:rsidRDefault="001E63FC" w:rsidP="0001573B">
      <w:pPr>
        <w:pStyle w:val="InstructionsText2"/>
      </w:pPr>
      <w:r w:rsidRPr="001E63FC">
        <w:t xml:space="preserve">Parameters shall be reported positively irrespective of whether they refer to an asset or liability, and irrespective of whether they increase or decrease the value of the IRRBB metrics. There might be some exceptional cases where institutions report negative figures for parameters, such as the average yield of assets/liabilities if the last interest rate reset was based on a negative market interest rate environment. </w:t>
      </w:r>
    </w:p>
    <w:p w14:paraId="318F1B9B" w14:textId="46FA30F6" w:rsidR="00304CA5" w:rsidRPr="005B50C3" w:rsidRDefault="6B10FFE8" w:rsidP="00FE1304">
      <w:pPr>
        <w:pStyle w:val="Instructionsberschrift2"/>
        <w:rPr>
          <w:sz w:val="24"/>
        </w:rPr>
      </w:pPr>
      <w:bookmarkStart w:id="23" w:name="_Toc141362413"/>
      <w:r w:rsidRPr="005B50C3">
        <w:rPr>
          <w:sz w:val="24"/>
        </w:rPr>
        <w:t>Abbreviations</w:t>
      </w:r>
      <w:bookmarkEnd w:id="23"/>
    </w:p>
    <w:p w14:paraId="5A22E3D2" w14:textId="780EBFC9" w:rsidR="00304CA5" w:rsidRDefault="6ACA0CA0" w:rsidP="0001573B">
      <w:pPr>
        <w:pStyle w:val="InstructionsText2"/>
      </w:pPr>
      <w:r w:rsidRPr="00EC067D">
        <w:t xml:space="preserve">For the purposes of this Annex, Regulation (EU) No 575/2013 </w:t>
      </w:r>
      <w:r w:rsidR="57B0DF52" w:rsidRPr="00EC067D">
        <w:t>of the European Parliament and of the Council</w:t>
      </w:r>
      <w:r w:rsidR="00C7103D" w:rsidRPr="00EC067D">
        <w:rPr>
          <w:rStyle w:val="FootnoteReference"/>
          <w:rFonts w:ascii="Times New Roman" w:hAnsi="Times New Roman"/>
          <w:sz w:val="24"/>
          <w:szCs w:val="24"/>
          <w:vertAlign w:val="superscript"/>
        </w:rPr>
        <w:footnoteReference w:id="4"/>
      </w:r>
      <w:r w:rsidR="57B0DF52" w:rsidRPr="00EC067D">
        <w:t xml:space="preserve"> </w:t>
      </w:r>
      <w:r w:rsidRPr="00EC067D">
        <w:t>is referred to as ‘CRR’</w:t>
      </w:r>
      <w:r w:rsidR="00A32103">
        <w:t>,</w:t>
      </w:r>
      <w:r w:rsidRPr="00EC067D">
        <w:t xml:space="preserve"> Directive 2013/36/EU of the European Parliament and </w:t>
      </w:r>
      <w:r w:rsidR="044094C4" w:rsidRPr="00EC067D">
        <w:t xml:space="preserve">of </w:t>
      </w:r>
      <w:r w:rsidRPr="00EC067D">
        <w:t>the Council</w:t>
      </w:r>
      <w:r w:rsidR="00C7103D" w:rsidRPr="00EC067D">
        <w:rPr>
          <w:rStyle w:val="FootnoteReference"/>
          <w:rFonts w:ascii="Times New Roman" w:hAnsi="Times New Roman"/>
          <w:sz w:val="24"/>
          <w:szCs w:val="24"/>
          <w:vertAlign w:val="superscript"/>
        </w:rPr>
        <w:footnoteReference w:id="5"/>
      </w:r>
      <w:r w:rsidRPr="00EC067D">
        <w:t xml:space="preserve"> is referred to as ‘CRD’</w:t>
      </w:r>
      <w:r w:rsidR="00A32103">
        <w:t xml:space="preserve"> and</w:t>
      </w:r>
      <w:r w:rsidR="00D723FC" w:rsidRPr="00F302B4">
        <w:rPr>
          <w:rStyle w:val="InstructionsTabelleberschrift"/>
          <w:rFonts w:ascii="Times New Roman" w:hAnsi="Times New Roman"/>
          <w:b w:val="0"/>
          <w:sz w:val="24"/>
          <w:u w:val="none"/>
        </w:rPr>
        <w:t xml:space="preserve"> the </w:t>
      </w:r>
      <w:r w:rsidR="00D723FC" w:rsidRPr="00DE7076">
        <w:rPr>
          <w:rStyle w:val="InstructionsTabelleberschrift"/>
          <w:rFonts w:ascii="Times New Roman" w:hAnsi="Times New Roman"/>
          <w:b w:val="0"/>
          <w:sz w:val="24"/>
          <w:u w:val="none"/>
        </w:rPr>
        <w:t>Commission Implementing Regulation (EU) 2021/451</w:t>
      </w:r>
      <w:r w:rsidR="00D723FC">
        <w:rPr>
          <w:rStyle w:val="FootnoteReference"/>
          <w:bCs/>
        </w:rPr>
        <w:footnoteReference w:id="6"/>
      </w:r>
      <w:r w:rsidR="00D723FC" w:rsidRPr="00F302B4">
        <w:rPr>
          <w:rStyle w:val="InstructionsTabelleberschrift"/>
          <w:rFonts w:ascii="Times New Roman" w:hAnsi="Times New Roman"/>
          <w:b w:val="0"/>
          <w:sz w:val="24"/>
          <w:u w:val="none"/>
        </w:rPr>
        <w:t xml:space="preserve"> </w:t>
      </w:r>
      <w:r w:rsidR="00A32103">
        <w:rPr>
          <w:rStyle w:val="InstructionsTabelleberschrift"/>
          <w:rFonts w:ascii="Times New Roman" w:hAnsi="Times New Roman"/>
          <w:b w:val="0"/>
          <w:sz w:val="24"/>
          <w:u w:val="none"/>
        </w:rPr>
        <w:t xml:space="preserve"> as ‘</w:t>
      </w:r>
      <w:r w:rsidR="00D723FC" w:rsidRPr="00F302B4">
        <w:rPr>
          <w:rStyle w:val="InstructionsTabelleberschrift"/>
          <w:rFonts w:ascii="Times New Roman" w:hAnsi="Times New Roman"/>
          <w:b w:val="0"/>
          <w:sz w:val="24"/>
          <w:u w:val="none"/>
        </w:rPr>
        <w:t>ITS</w:t>
      </w:r>
      <w:r w:rsidR="00D723FC">
        <w:rPr>
          <w:rStyle w:val="InstructionsTabelleberschrift"/>
          <w:rFonts w:ascii="Times New Roman" w:hAnsi="Times New Roman"/>
          <w:b w:val="0"/>
          <w:sz w:val="24"/>
          <w:u w:val="none"/>
        </w:rPr>
        <w:t xml:space="preserve"> on supervisory reporting</w:t>
      </w:r>
      <w:r w:rsidR="00A32103">
        <w:rPr>
          <w:rStyle w:val="InstructionsTabelleberschrift"/>
          <w:rFonts w:ascii="Times New Roman" w:hAnsi="Times New Roman"/>
          <w:b w:val="0"/>
          <w:sz w:val="24"/>
          <w:u w:val="none"/>
        </w:rPr>
        <w:t>’</w:t>
      </w:r>
      <w:r w:rsidR="00D723FC" w:rsidRPr="00F302B4">
        <w:rPr>
          <w:rStyle w:val="InstructionsTabelleberschrift"/>
          <w:rFonts w:ascii="Times New Roman" w:hAnsi="Times New Roman"/>
          <w:b w:val="0"/>
          <w:sz w:val="24"/>
          <w:u w:val="none"/>
        </w:rPr>
        <w:t>.</w:t>
      </w:r>
      <w:r w:rsidR="00D723FC">
        <w:rPr>
          <w:rStyle w:val="InstructionsTabelleberschrift"/>
          <w:rFonts w:ascii="Times New Roman" w:hAnsi="Times New Roman"/>
          <w:b w:val="0"/>
          <w:sz w:val="24"/>
          <w:u w:val="none"/>
        </w:rPr>
        <w:t xml:space="preserve"> </w:t>
      </w:r>
    </w:p>
    <w:p w14:paraId="78A799F6" w14:textId="4B568DB6" w:rsidR="0089002A" w:rsidRDefault="0089002A" w:rsidP="0001573B">
      <w:pPr>
        <w:pStyle w:val="InstructionsText2"/>
      </w:pPr>
      <w:r>
        <w:t>Moreover, Economic Value of Equity is referred to as ‘EVE’, Net Interest Income as ‘NII’</w:t>
      </w:r>
      <w:r w:rsidR="0073320D">
        <w:t>,</w:t>
      </w:r>
      <w:r>
        <w:t xml:space="preserve"> Market Value as ‘MV’</w:t>
      </w:r>
      <w:r w:rsidR="003B3552">
        <w:t>,</w:t>
      </w:r>
      <w:r w:rsidR="0073320D">
        <w:t xml:space="preserve"> Supervisory Outlier Test as ‘SOT’</w:t>
      </w:r>
      <w:r w:rsidR="003B3552">
        <w:t xml:space="preserve"> </w:t>
      </w:r>
      <w:r w:rsidR="00C47B79">
        <w:t xml:space="preserve">, Non-Maturity Deposits as ‘NMDs’ </w:t>
      </w:r>
      <w:r w:rsidR="003B3552">
        <w:t xml:space="preserve">and Internal </w:t>
      </w:r>
      <w:r w:rsidR="00E27490">
        <w:t>Measurement</w:t>
      </w:r>
      <w:r w:rsidR="003B3552">
        <w:t xml:space="preserve"> System as ‘IMS’</w:t>
      </w:r>
      <w:r>
        <w:t>.</w:t>
      </w:r>
    </w:p>
    <w:p w14:paraId="7DD577D3" w14:textId="2001DBC3" w:rsidR="009A03CD" w:rsidRPr="005B50C3" w:rsidRDefault="009A03CD" w:rsidP="00FE1304">
      <w:pPr>
        <w:pStyle w:val="Instructionsberschrift2"/>
        <w:rPr>
          <w:sz w:val="24"/>
        </w:rPr>
      </w:pPr>
      <w:bookmarkStart w:id="24" w:name="_Toc141362414"/>
      <w:r w:rsidRPr="005B50C3">
        <w:rPr>
          <w:sz w:val="24"/>
        </w:rPr>
        <w:lastRenderedPageBreak/>
        <w:t>Other</w:t>
      </w:r>
      <w:r w:rsidR="00275B99" w:rsidRPr="005B50C3">
        <w:rPr>
          <w:sz w:val="24"/>
        </w:rPr>
        <w:t xml:space="preserve"> conventions</w:t>
      </w:r>
      <w:bookmarkEnd w:id="24"/>
    </w:p>
    <w:p w14:paraId="345BE7C5" w14:textId="6BD0F858" w:rsidR="009A03CD" w:rsidRDefault="63E65662" w:rsidP="0001573B">
      <w:pPr>
        <w:pStyle w:val="InstructionsText2"/>
      </w:pPr>
      <w:r>
        <w:t xml:space="preserve">Throughout this Annex, references are made to the </w:t>
      </w:r>
      <w:r w:rsidRPr="763F32FC">
        <w:rPr>
          <w:highlight w:val="lightGray"/>
        </w:rPr>
        <w:t>EBA RTS on SOT</w:t>
      </w:r>
      <w:r>
        <w:t xml:space="preserve"> and </w:t>
      </w:r>
      <w:r w:rsidR="00901571">
        <w:t xml:space="preserve">the </w:t>
      </w:r>
      <w:r w:rsidRPr="763F32FC">
        <w:rPr>
          <w:highlight w:val="lightGray"/>
        </w:rPr>
        <w:t>EBA RTS on SA</w:t>
      </w:r>
      <w:r w:rsidR="00901571">
        <w:t>’</w:t>
      </w:r>
      <w:r>
        <w:t xml:space="preserve">. </w:t>
      </w:r>
      <w:r w:rsidR="49D9B97F">
        <w:t xml:space="preserve">In the case where the text refers to definitions in the </w:t>
      </w:r>
      <w:r w:rsidR="49D9B97F" w:rsidRPr="763F32FC">
        <w:rPr>
          <w:highlight w:val="lightGray"/>
        </w:rPr>
        <w:t>EBA RTS on SA</w:t>
      </w:r>
      <w:r w:rsidR="204A08A1">
        <w:t xml:space="preserve">, this definition shall be applied to all reporting institutions (and not only the ones applying SA). </w:t>
      </w:r>
    </w:p>
    <w:p w14:paraId="6E98BFAD" w14:textId="532C5171" w:rsidR="000F5488" w:rsidRPr="00275B99" w:rsidRDefault="000F5488" w:rsidP="0001573B">
      <w:pPr>
        <w:pStyle w:val="InstructionsText2"/>
      </w:pPr>
      <w:r>
        <w:t>The d</w:t>
      </w:r>
      <w:r w:rsidRPr="007869D0">
        <w:t>efinitions</w:t>
      </w:r>
      <w:r>
        <w:t xml:space="preserve"> provided in Article 1 of the </w:t>
      </w:r>
      <w:r w:rsidRPr="007869D0">
        <w:rPr>
          <w:highlight w:val="lightGray"/>
        </w:rPr>
        <w:t>EBA RTS on SA</w:t>
      </w:r>
      <w:r>
        <w:t xml:space="preserve"> shall be applicable to this Annex.  </w:t>
      </w:r>
    </w:p>
    <w:p w14:paraId="3E52DFA5" w14:textId="77777777" w:rsidR="00194120" w:rsidRDefault="00194120">
      <w:pPr>
        <w:spacing w:before="0" w:after="0"/>
        <w:jc w:val="left"/>
        <w:rPr>
          <w:rFonts w:ascii="Times New Roman" w:eastAsia="Arial" w:hAnsi="Times New Roman"/>
          <w:b/>
          <w:sz w:val="24"/>
          <w:lang w:eastAsia="x-none"/>
        </w:rPr>
      </w:pPr>
      <w:bookmarkStart w:id="25" w:name="_Toc360188322"/>
      <w:bookmarkStart w:id="26" w:name="_Toc473560870"/>
      <w:r>
        <w:br w:type="page"/>
      </w:r>
    </w:p>
    <w:p w14:paraId="039B9D1F" w14:textId="5E746D18" w:rsidR="002648B0" w:rsidRPr="00EC067D" w:rsidRDefault="002648B0" w:rsidP="00FE1304">
      <w:pPr>
        <w:pStyle w:val="Heading2"/>
      </w:pPr>
      <w:bookmarkStart w:id="27" w:name="_Toc141362415"/>
      <w:r w:rsidRPr="00EC067D">
        <w:lastRenderedPageBreak/>
        <w:t xml:space="preserve">PART II: </w:t>
      </w:r>
      <w:r w:rsidR="006A7DF0" w:rsidRPr="006A7DF0">
        <w:t>EVALUATION OF THE IRRBB: EVE/NII SOT AND MV CHANGES</w:t>
      </w:r>
      <w:bookmarkEnd w:id="25"/>
      <w:bookmarkEnd w:id="26"/>
      <w:r w:rsidR="00261AD1">
        <w:t xml:space="preserve"> (J 01.00)</w:t>
      </w:r>
      <w:bookmarkEnd w:id="27"/>
    </w:p>
    <w:p w14:paraId="5E8C221B" w14:textId="677F4A7B" w:rsidR="002648B0" w:rsidRPr="005B50C3" w:rsidRDefault="51815D13" w:rsidP="00FE1304">
      <w:pPr>
        <w:pStyle w:val="Instructionsberschrift2"/>
        <w:rPr>
          <w:sz w:val="24"/>
        </w:rPr>
      </w:pPr>
      <w:bookmarkStart w:id="28" w:name="_Toc308175819"/>
      <w:bookmarkStart w:id="29" w:name="_Toc360188324"/>
      <w:bookmarkStart w:id="30" w:name="_Toc473560872"/>
      <w:bookmarkStart w:id="31" w:name="_Toc141362416"/>
      <w:r w:rsidRPr="005B50C3">
        <w:rPr>
          <w:sz w:val="24"/>
        </w:rPr>
        <w:t>General remarks</w:t>
      </w:r>
      <w:bookmarkEnd w:id="28"/>
      <w:bookmarkEnd w:id="29"/>
      <w:bookmarkEnd w:id="30"/>
      <w:bookmarkEnd w:id="31"/>
    </w:p>
    <w:p w14:paraId="058939E3" w14:textId="1F4A0E86" w:rsidR="009E536A" w:rsidRPr="00D42298" w:rsidRDefault="00261AD1" w:rsidP="0001573B">
      <w:pPr>
        <w:pStyle w:val="InstructionsText2"/>
      </w:pPr>
      <w:r>
        <w:t>T</w:t>
      </w:r>
      <w:r w:rsidR="2821050C">
        <w:t>emplate</w:t>
      </w:r>
      <w:r>
        <w:t xml:space="preserve"> J 01.00</w:t>
      </w:r>
      <w:r w:rsidR="2821050C">
        <w:t xml:space="preserve"> </w:t>
      </w:r>
      <w:r w:rsidR="1B9507C5">
        <w:t xml:space="preserve">contains the </w:t>
      </w:r>
      <w:r w:rsidR="00E66705">
        <w:t>levels</w:t>
      </w:r>
      <w:r w:rsidR="00853CE0">
        <w:t xml:space="preserve"> </w:t>
      </w:r>
      <w:r w:rsidR="00E66705">
        <w:t>and changes</w:t>
      </w:r>
      <w:r w:rsidR="1B9507C5">
        <w:t xml:space="preserve"> of EVE </w:t>
      </w:r>
      <w:r w:rsidR="00853CE0">
        <w:t xml:space="preserve">(ΔEVE) </w:t>
      </w:r>
      <w:r w:rsidR="1B9507C5">
        <w:t xml:space="preserve">and </w:t>
      </w:r>
      <w:r w:rsidR="00853CE0">
        <w:t xml:space="preserve">levels and changes of </w:t>
      </w:r>
      <w:r w:rsidR="1B9507C5">
        <w:t>NII</w:t>
      </w:r>
      <w:r w:rsidR="00853CE0">
        <w:t xml:space="preserve"> (ΔNII),</w:t>
      </w:r>
      <w:r w:rsidR="00E66705">
        <w:t xml:space="preserve"> calculated </w:t>
      </w:r>
      <w:r w:rsidR="0D5603A8">
        <w:t xml:space="preserve">as described in the </w:t>
      </w:r>
      <w:r w:rsidR="0D5603A8" w:rsidRPr="763F32FC">
        <w:rPr>
          <w:highlight w:val="lightGray"/>
        </w:rPr>
        <w:t>EBA RTS on SOT</w:t>
      </w:r>
      <w:r w:rsidR="00853CE0">
        <w:t xml:space="preserve">, </w:t>
      </w:r>
      <w:r w:rsidR="24F67432">
        <w:t>and</w:t>
      </w:r>
      <w:r w:rsidR="00E66705">
        <w:t xml:space="preserve"> also</w:t>
      </w:r>
      <w:r w:rsidR="00910030">
        <w:t xml:space="preserve"> </w:t>
      </w:r>
      <w:r w:rsidR="61EBC19F">
        <w:t>the</w:t>
      </w:r>
      <w:r w:rsidR="00E66705">
        <w:t xml:space="preserve"> level and changes </w:t>
      </w:r>
      <w:r w:rsidR="61EBC19F">
        <w:t>of</w:t>
      </w:r>
      <w:r w:rsidR="24F67432">
        <w:t xml:space="preserve"> </w:t>
      </w:r>
      <w:r w:rsidR="2B815FB7">
        <w:t>M</w:t>
      </w:r>
      <w:r w:rsidR="24F67432">
        <w:t>V</w:t>
      </w:r>
      <w:r w:rsidR="00853CE0">
        <w:t>,</w:t>
      </w:r>
      <w:r w:rsidR="00E66705">
        <w:t xml:space="preserve"> computed</w:t>
      </w:r>
      <w:r w:rsidR="02701E2E">
        <w:t xml:space="preserve"> according to the internal risk management criteria, considering</w:t>
      </w:r>
      <w:r w:rsidR="2185E6FE">
        <w:t xml:space="preserve"> </w:t>
      </w:r>
      <w:r w:rsidR="0E34A177">
        <w:t>a</w:t>
      </w:r>
      <w:r w:rsidR="02701E2E">
        <w:t xml:space="preserve"> </w:t>
      </w:r>
      <w:r w:rsidR="106776BD">
        <w:t>one</w:t>
      </w:r>
      <w:r w:rsidR="00356E89">
        <w:t>-</w:t>
      </w:r>
      <w:r w:rsidR="02701E2E">
        <w:t>year horizon</w:t>
      </w:r>
      <w:r w:rsidR="677C80F7">
        <w:t xml:space="preserve"> and a constant balance sheet assumption</w:t>
      </w:r>
      <w:r w:rsidR="4D44DC96">
        <w:t>.</w:t>
      </w:r>
      <w:r w:rsidR="584F4266">
        <w:t xml:space="preserve"> It contains</w:t>
      </w:r>
      <w:r w:rsidR="415C2F7B">
        <w:t>, among others,</w:t>
      </w:r>
      <w:r w:rsidR="584F4266">
        <w:t xml:space="preserve"> the specified size of interest rate shocks</w:t>
      </w:r>
      <w:r w:rsidR="00853CE0">
        <w:t xml:space="preserve"> for currencies not referred in Annex I of </w:t>
      </w:r>
      <w:r w:rsidR="00853CE0" w:rsidRPr="00C40D23">
        <w:rPr>
          <w:highlight w:val="lightGray"/>
        </w:rPr>
        <w:t>EBA RTS on SOT</w:t>
      </w:r>
      <w:r w:rsidR="00853CE0">
        <w:t xml:space="preserve"> and ratios of ΔEVE and ΔNII to</w:t>
      </w:r>
      <w:r w:rsidR="00C17E95">
        <w:t xml:space="preserve"> Tier 1 Capi</w:t>
      </w:r>
      <w:r w:rsidR="6A378015">
        <w:t>t</w:t>
      </w:r>
      <w:r w:rsidR="00C17E95">
        <w:t>al</w:t>
      </w:r>
      <w:r w:rsidR="00041815" w:rsidRPr="00041815">
        <w:t xml:space="preserve"> </w:t>
      </w:r>
      <w:r w:rsidR="00041815">
        <w:t>according to Art</w:t>
      </w:r>
      <w:r w:rsidR="00CD2603">
        <w:t>icle</w:t>
      </w:r>
      <w:r w:rsidR="00041815">
        <w:t xml:space="preserve"> 25 of CRR</w:t>
      </w:r>
      <w:r w:rsidR="00C17E95">
        <w:t xml:space="preserve">, </w:t>
      </w:r>
      <w:r w:rsidR="008A6EC9">
        <w:t xml:space="preserve">the </w:t>
      </w:r>
      <w:r w:rsidR="00853CE0">
        <w:t xml:space="preserve">ΔEVE and ΔNII under the </w:t>
      </w:r>
      <w:r w:rsidR="008A6EC9" w:rsidRPr="008A6EC9">
        <w:t xml:space="preserve">worst </w:t>
      </w:r>
      <w:r w:rsidR="00853CE0">
        <w:t xml:space="preserve">scenarios and the level of EVE and NII under </w:t>
      </w:r>
      <w:r w:rsidR="63D1B153">
        <w:t xml:space="preserve">baseline </w:t>
      </w:r>
      <w:r w:rsidR="00853CE0">
        <w:t>scenario</w:t>
      </w:r>
      <w:r w:rsidR="63D1B153">
        <w:t xml:space="preserve"> as well as</w:t>
      </w:r>
      <w:r w:rsidR="00853CE0">
        <w:t xml:space="preserve"> Δ</w:t>
      </w:r>
      <w:r w:rsidR="584F4266">
        <w:t>EVE</w:t>
      </w:r>
      <w:r w:rsidR="002E6401">
        <w:t>,</w:t>
      </w:r>
      <w:r w:rsidR="584F4266">
        <w:t xml:space="preserve"> </w:t>
      </w:r>
      <w:r w:rsidR="00853CE0">
        <w:t>Δ</w:t>
      </w:r>
      <w:r w:rsidR="584F4266">
        <w:t xml:space="preserve">NII </w:t>
      </w:r>
      <w:r w:rsidR="002E6401">
        <w:t xml:space="preserve">and ΔMV </w:t>
      </w:r>
      <w:r w:rsidR="00D71CFD">
        <w:t>under</w:t>
      </w:r>
      <w:r w:rsidR="00163749">
        <w:t xml:space="preserve"> </w:t>
      </w:r>
      <w:r w:rsidR="00853CE0">
        <w:t>certain</w:t>
      </w:r>
      <w:r w:rsidR="00ED43B5">
        <w:t xml:space="preserve"> </w:t>
      </w:r>
      <w:r w:rsidR="08D89F97">
        <w:t xml:space="preserve">regulatory interest rate </w:t>
      </w:r>
      <w:r w:rsidR="584F4266">
        <w:t>shock scenario</w:t>
      </w:r>
      <w:r w:rsidR="00334118">
        <w:t>s</w:t>
      </w:r>
      <w:r w:rsidR="10DCDD24">
        <w:t>.</w:t>
      </w:r>
      <w:r w:rsidR="002E6401">
        <w:t xml:space="preserve"> </w:t>
      </w:r>
    </w:p>
    <w:p w14:paraId="6EACD58F" w14:textId="13053AE5" w:rsidR="003F1439" w:rsidRDefault="007000CF" w:rsidP="0001573B">
      <w:pPr>
        <w:pStyle w:val="InstructionsText2"/>
      </w:pPr>
      <w:r>
        <w:t>T</w:t>
      </w:r>
      <w:r w:rsidR="03498EE2">
        <w:t>his template shall be reported</w:t>
      </w:r>
      <w:r w:rsidR="32319656">
        <w:t xml:space="preserve"> separately</w:t>
      </w:r>
      <w:r w:rsidR="03498EE2">
        <w:t xml:space="preserve"> for </w:t>
      </w:r>
      <w:r w:rsidR="00BB0243">
        <w:t>each</w:t>
      </w:r>
      <w:r w:rsidR="009C20E1">
        <w:t xml:space="preserve"> currenc</w:t>
      </w:r>
      <w:r w:rsidR="00BB0243">
        <w:t>y</w:t>
      </w:r>
      <w:r w:rsidR="00795018">
        <w:t xml:space="preserve"> included in the calculation of the SOT</w:t>
      </w:r>
      <w:r w:rsidR="7F58AA06">
        <w:t xml:space="preserve"> </w:t>
      </w:r>
      <w:r w:rsidR="009C20E1" w:rsidRPr="007E629E">
        <w:t xml:space="preserve">in accordance with Article 1(3) of the </w:t>
      </w:r>
      <w:r w:rsidR="00C54643" w:rsidRPr="007E629E">
        <w:rPr>
          <w:highlight w:val="lightGray"/>
        </w:rPr>
        <w:t>EBA RTS on SOT</w:t>
      </w:r>
      <w:r w:rsidR="00A31FB5">
        <w:t>,</w:t>
      </w:r>
      <w:r w:rsidR="00C54643">
        <w:t xml:space="preserve"> </w:t>
      </w:r>
      <w:r w:rsidR="3FA945DE">
        <w:t xml:space="preserve">as well as for the aggregate </w:t>
      </w:r>
      <w:r w:rsidR="03498EE2">
        <w:t>of all currencies</w:t>
      </w:r>
      <w:r w:rsidR="002F0937">
        <w:t xml:space="preserve"> </w:t>
      </w:r>
      <w:r w:rsidR="00685C3A">
        <w:t xml:space="preserve">for which Article 1(3) </w:t>
      </w:r>
      <w:r w:rsidR="00685C3A" w:rsidRPr="007E629E">
        <w:t xml:space="preserve">of the </w:t>
      </w:r>
      <w:r w:rsidR="00685C3A" w:rsidRPr="007E629E">
        <w:rPr>
          <w:highlight w:val="lightGray"/>
        </w:rPr>
        <w:t>EBA RTS on SOT</w:t>
      </w:r>
      <w:r w:rsidR="00685C3A">
        <w:t xml:space="preserve"> applies</w:t>
      </w:r>
      <w:r w:rsidR="002C5525">
        <w:t>. When calculating the aggregate changes (for all currencies) for each interest rate shock scenario</w:t>
      </w:r>
      <w:r w:rsidR="00F971B9">
        <w:t>,</w:t>
      </w:r>
      <w:r w:rsidR="002F0937" w:rsidRPr="007E629E">
        <w:t xml:space="preserve"> Article 4(l) of the </w:t>
      </w:r>
      <w:r w:rsidR="00C54643" w:rsidRPr="007E629E">
        <w:rPr>
          <w:highlight w:val="lightGray"/>
        </w:rPr>
        <w:t>EBA RTS on SOT</w:t>
      </w:r>
      <w:r w:rsidR="002C5525">
        <w:t xml:space="preserve"> sh</w:t>
      </w:r>
      <w:r w:rsidR="00A31FB5">
        <w:t>all</w:t>
      </w:r>
      <w:r w:rsidR="002C5525">
        <w:t xml:space="preserve"> be considered</w:t>
      </w:r>
      <w:r w:rsidR="1FAFCAE6" w:rsidRPr="007E629E">
        <w:t>.</w:t>
      </w:r>
      <w:r w:rsidR="00C54643">
        <w:t xml:space="preserve"> </w:t>
      </w:r>
    </w:p>
    <w:p w14:paraId="1640AAF5" w14:textId="7F8CDA0E" w:rsidR="002648B0" w:rsidRPr="005B50C3" w:rsidRDefault="0F0AD2A7" w:rsidP="00FE1304">
      <w:pPr>
        <w:pStyle w:val="Instructionsberschrift2"/>
        <w:rPr>
          <w:sz w:val="24"/>
        </w:rPr>
      </w:pPr>
      <w:bookmarkStart w:id="32" w:name="_Toc120119047"/>
      <w:bookmarkStart w:id="33" w:name="_Toc120185008"/>
      <w:bookmarkStart w:id="34" w:name="_Toc120119048"/>
      <w:bookmarkStart w:id="35" w:name="_Toc120185009"/>
      <w:bookmarkStart w:id="36" w:name="_Toc117022065"/>
      <w:bookmarkStart w:id="37" w:name="_Toc119940195"/>
      <w:bookmarkStart w:id="38" w:name="_Toc120119049"/>
      <w:bookmarkStart w:id="39" w:name="_Toc120185010"/>
      <w:bookmarkStart w:id="40" w:name="_Toc308175821"/>
      <w:bookmarkStart w:id="41" w:name="_Toc310414968"/>
      <w:bookmarkStart w:id="42" w:name="_Toc360188326"/>
      <w:bookmarkStart w:id="43" w:name="_Toc473560874"/>
      <w:bookmarkStart w:id="44" w:name="_Toc141362417"/>
      <w:bookmarkEnd w:id="32"/>
      <w:bookmarkEnd w:id="33"/>
      <w:bookmarkEnd w:id="34"/>
      <w:bookmarkEnd w:id="35"/>
      <w:bookmarkEnd w:id="36"/>
      <w:bookmarkEnd w:id="37"/>
      <w:bookmarkEnd w:id="38"/>
      <w:bookmarkEnd w:id="39"/>
      <w:r w:rsidRPr="005B50C3">
        <w:rPr>
          <w:sz w:val="24"/>
        </w:rPr>
        <w:t xml:space="preserve">Instructions concerning specific </w:t>
      </w:r>
      <w:bookmarkEnd w:id="40"/>
      <w:bookmarkEnd w:id="41"/>
      <w:r w:rsidR="0EE19A1C" w:rsidRPr="005B50C3">
        <w:rPr>
          <w:sz w:val="24"/>
        </w:rPr>
        <w:t>positions</w:t>
      </w:r>
      <w:bookmarkEnd w:id="42"/>
      <w:bookmarkEnd w:id="43"/>
      <w:bookmarkEnd w:id="44"/>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9F50A3" w:rsidRPr="00EC067D" w14:paraId="0146FE7A" w14:textId="77777777" w:rsidTr="63452C95">
        <w:tc>
          <w:tcPr>
            <w:tcW w:w="1129" w:type="dxa"/>
            <w:shd w:val="clear" w:color="auto" w:fill="D9D9D9" w:themeFill="background1" w:themeFillShade="D9"/>
          </w:tcPr>
          <w:bookmarkEnd w:id="0"/>
          <w:bookmarkEnd w:id="1"/>
          <w:p w14:paraId="285A3474" w14:textId="77777777" w:rsidR="009F50A3" w:rsidRPr="00EC067D" w:rsidRDefault="009F50A3" w:rsidP="0001573B">
            <w:pPr>
              <w:pStyle w:val="InstructionsText"/>
              <w:rPr>
                <w:rStyle w:val="InstructionsTabelleText"/>
                <w:rFonts w:ascii="Times New Roman" w:eastAsia="Arial" w:hAnsi="Times New Roman"/>
                <w:sz w:val="24"/>
                <w:lang w:eastAsia="en-US"/>
              </w:rPr>
            </w:pPr>
            <w:r w:rsidRPr="00EC067D">
              <w:rPr>
                <w:rStyle w:val="InstructionsTabelleText"/>
                <w:rFonts w:ascii="Times New Roman" w:hAnsi="Times New Roman"/>
                <w:sz w:val="24"/>
              </w:rPr>
              <w:t>Row</w:t>
            </w:r>
          </w:p>
        </w:tc>
        <w:tc>
          <w:tcPr>
            <w:tcW w:w="7620" w:type="dxa"/>
            <w:shd w:val="clear" w:color="auto" w:fill="D9D9D9" w:themeFill="background1" w:themeFillShade="D9"/>
          </w:tcPr>
          <w:p w14:paraId="279B0622" w14:textId="438CF73E" w:rsidR="009F50A3" w:rsidRPr="00EC067D" w:rsidRDefault="009F50A3" w:rsidP="0001573B">
            <w:pPr>
              <w:pStyle w:val="InstructionsText"/>
              <w:rPr>
                <w:rStyle w:val="InstructionsTabelleText"/>
                <w:rFonts w:ascii="Times New Roman" w:hAnsi="Times New Roman"/>
                <w:bCs/>
                <w:sz w:val="24"/>
                <w:lang w:eastAsia="en-US"/>
              </w:rPr>
            </w:pPr>
            <w:r w:rsidRPr="00EC067D">
              <w:rPr>
                <w:rStyle w:val="InstructionsTabelleText"/>
                <w:rFonts w:ascii="Times New Roman" w:hAnsi="Times New Roman"/>
                <w:sz w:val="24"/>
              </w:rPr>
              <w:t>Legal references and instructions</w:t>
            </w:r>
          </w:p>
        </w:tc>
      </w:tr>
      <w:tr w:rsidR="009F50A3" w:rsidRPr="00EC067D" w14:paraId="7FD2A05C" w14:textId="77777777" w:rsidTr="63452C95">
        <w:tc>
          <w:tcPr>
            <w:tcW w:w="1129" w:type="dxa"/>
          </w:tcPr>
          <w:p w14:paraId="007928D7" w14:textId="440B3C20" w:rsidR="009F50A3" w:rsidRPr="00EC067D" w:rsidRDefault="6AA5F513" w:rsidP="0001573B">
            <w:pPr>
              <w:pStyle w:val="InstructionsText"/>
              <w:rPr>
                <w:rStyle w:val="FormatvorlageInstructionsTabelleText"/>
                <w:rFonts w:ascii="Times New Roman" w:hAnsi="Times New Roman"/>
                <w:sz w:val="24"/>
                <w:lang w:eastAsia="en-US"/>
              </w:rPr>
            </w:pPr>
            <w:r w:rsidRPr="63452C95">
              <w:rPr>
                <w:rStyle w:val="FormatvorlageInstructionsTabelleText"/>
                <w:rFonts w:ascii="Times New Roman" w:hAnsi="Times New Roman"/>
                <w:sz w:val="24"/>
              </w:rPr>
              <w:t>00</w:t>
            </w:r>
            <w:r w:rsidR="00584AD6">
              <w:rPr>
                <w:rStyle w:val="FormatvorlageInstructionsTabelleText"/>
                <w:rFonts w:ascii="Times New Roman" w:hAnsi="Times New Roman"/>
                <w:sz w:val="24"/>
              </w:rPr>
              <w:t>1</w:t>
            </w:r>
            <w:r w:rsidRPr="63452C95">
              <w:rPr>
                <w:rStyle w:val="FormatvorlageInstructionsTabelleText"/>
                <w:rFonts w:ascii="Times New Roman" w:hAnsi="Times New Roman"/>
                <w:sz w:val="24"/>
              </w:rPr>
              <w:t>0-0</w:t>
            </w:r>
            <w:r w:rsidR="007E2D0F">
              <w:rPr>
                <w:rStyle w:val="FormatvorlageInstructionsTabelleText"/>
                <w:rFonts w:ascii="Times New Roman" w:hAnsi="Times New Roman"/>
                <w:sz w:val="24"/>
              </w:rPr>
              <w:t>09</w:t>
            </w:r>
            <w:r w:rsidRPr="63452C95">
              <w:rPr>
                <w:rStyle w:val="FormatvorlageInstructionsTabelleText"/>
                <w:rFonts w:ascii="Times New Roman" w:hAnsi="Times New Roman"/>
                <w:sz w:val="24"/>
              </w:rPr>
              <w:t>0</w:t>
            </w:r>
          </w:p>
        </w:tc>
        <w:tc>
          <w:tcPr>
            <w:tcW w:w="7620" w:type="dxa"/>
          </w:tcPr>
          <w:p w14:paraId="25526098" w14:textId="34B3230C" w:rsidR="00D75F04" w:rsidRDefault="00D75F04"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Economic value of equity</w:t>
            </w:r>
          </w:p>
          <w:p w14:paraId="4C6CAA6B" w14:textId="72402562" w:rsidR="009F50A3" w:rsidRPr="009D5546" w:rsidRDefault="700069C0" w:rsidP="0001573B">
            <w:pPr>
              <w:pStyle w:val="InstructionsText"/>
              <w:rPr>
                <w:rStyle w:val="FormatvorlageInstructionsTabelleText"/>
                <w:rFonts w:ascii="Times New Roman" w:hAnsi="Times New Roman"/>
                <w:sz w:val="24"/>
              </w:rPr>
            </w:pPr>
            <w:r w:rsidRPr="63452C95">
              <w:rPr>
                <w:rStyle w:val="InstructionsTabelleberschrift"/>
                <w:rFonts w:ascii="Times New Roman" w:hAnsi="Times New Roman"/>
                <w:b w:val="0"/>
                <w:bCs w:val="0"/>
                <w:sz w:val="24"/>
                <w:u w:val="none"/>
              </w:rPr>
              <w:t>EVE</w:t>
            </w:r>
            <w:r w:rsidR="0CC83610" w:rsidRPr="63452C95">
              <w:rPr>
                <w:rStyle w:val="InstructionsTabelleberschrift"/>
                <w:rFonts w:ascii="Times New Roman" w:hAnsi="Times New Roman"/>
                <w:b w:val="0"/>
                <w:bCs w:val="0"/>
                <w:sz w:val="24"/>
                <w:u w:val="none"/>
              </w:rPr>
              <w:t xml:space="preserve"> estimates</w:t>
            </w:r>
            <w:r w:rsidR="00B1337C" w:rsidRPr="63452C95">
              <w:rPr>
                <w:rStyle w:val="InstructionsTabelleberschrift"/>
                <w:rFonts w:ascii="Times New Roman" w:hAnsi="Times New Roman"/>
                <w:b w:val="0"/>
                <w:bCs w:val="0"/>
                <w:sz w:val="24"/>
                <w:u w:val="none"/>
              </w:rPr>
              <w:t xml:space="preserve"> calculated in accordance with </w:t>
            </w:r>
            <w:r w:rsidR="415B1813" w:rsidRPr="00954BFA">
              <w:t xml:space="preserve">Article 98 (5), point (a) of </w:t>
            </w:r>
            <w:r w:rsidR="006F2761" w:rsidRPr="00954BFA">
              <w:t>CRD</w:t>
            </w:r>
            <w:r w:rsidR="415B1813">
              <w:t xml:space="preserve"> and </w:t>
            </w:r>
            <w:r w:rsidR="00987FC0">
              <w:t>Article 1 to</w:t>
            </w:r>
            <w:r w:rsidR="415B1813">
              <w:t xml:space="preserve"> 4 of </w:t>
            </w:r>
            <w:r w:rsidR="2B21D013" w:rsidRPr="63452C95">
              <w:rPr>
                <w:rStyle w:val="FormatvorlageInstructionsTabelleText"/>
                <w:rFonts w:ascii="Times New Roman" w:hAnsi="Times New Roman"/>
                <w:sz w:val="24"/>
                <w:highlight w:val="lightGray"/>
              </w:rPr>
              <w:t>EBA RTS on SOT</w:t>
            </w:r>
            <w:r w:rsidR="3B9960DB">
              <w:t>.</w:t>
            </w:r>
            <w:r w:rsidR="754A78C0" w:rsidRPr="63452C95">
              <w:rPr>
                <w:rStyle w:val="InstructionsTabelleberschrift"/>
                <w:rFonts w:ascii="Times New Roman" w:hAnsi="Times New Roman"/>
                <w:b w:val="0"/>
                <w:bCs w:val="0"/>
                <w:sz w:val="24"/>
                <w:u w:val="none"/>
              </w:rPr>
              <w:t xml:space="preserve"> </w:t>
            </w:r>
            <w:r w:rsidR="3B9960DB">
              <w:t>W</w:t>
            </w:r>
            <w:r w:rsidR="37E5A851">
              <w:t>i</w:t>
            </w:r>
            <w:r w:rsidR="37E5A851" w:rsidRPr="63452C95">
              <w:rPr>
                <w:rStyle w:val="InstructionsTabelleberschrift"/>
                <w:rFonts w:ascii="Times New Roman" w:hAnsi="Times New Roman"/>
                <w:b w:val="0"/>
                <w:bCs w:val="0"/>
                <w:sz w:val="24"/>
                <w:u w:val="none"/>
              </w:rPr>
              <w:t xml:space="preserve">th regard to the modelling and parametric assumptions that are not specified in Article 4 of </w:t>
            </w:r>
            <w:r w:rsidR="00C11B21" w:rsidRPr="00954BFA">
              <w:rPr>
                <w:rStyle w:val="InstructionsTabelleberschrift"/>
                <w:rFonts w:ascii="Times New Roman" w:hAnsi="Times New Roman"/>
                <w:b w:val="0"/>
                <w:bCs w:val="0"/>
                <w:sz w:val="24"/>
                <w:highlight w:val="lightGray"/>
                <w:u w:val="none"/>
              </w:rPr>
              <w:t xml:space="preserve">EBA </w:t>
            </w:r>
            <w:r w:rsidR="37E5A851" w:rsidRPr="00954BFA">
              <w:rPr>
                <w:rStyle w:val="InstructionsTabelleberschrift"/>
                <w:rFonts w:ascii="Times New Roman" w:hAnsi="Times New Roman"/>
                <w:b w:val="0"/>
                <w:bCs w:val="0"/>
                <w:sz w:val="24"/>
                <w:highlight w:val="lightGray"/>
                <w:u w:val="none"/>
              </w:rPr>
              <w:t>RTS on SOT</w:t>
            </w:r>
            <w:r w:rsidR="37E5A851" w:rsidRPr="63452C95">
              <w:rPr>
                <w:rStyle w:val="InstructionsTabelleberschrift"/>
                <w:rFonts w:ascii="Times New Roman" w:hAnsi="Times New Roman"/>
                <w:b w:val="0"/>
                <w:bCs w:val="0"/>
                <w:sz w:val="24"/>
                <w:u w:val="none"/>
              </w:rPr>
              <w:t>, institutions shall use those that they employ in their IRRBB measurement and management, i.e. their internal measurement methodologies, the standardised approach or the simplified standardised approach, whatever is applicable.</w:t>
            </w:r>
            <w:r w:rsidR="3273039C" w:rsidRPr="63452C95">
              <w:rPr>
                <w:rStyle w:val="InstructionsTabelleberschrift"/>
                <w:rFonts w:ascii="Times New Roman" w:hAnsi="Times New Roman"/>
                <w:b w:val="0"/>
                <w:bCs w:val="0"/>
                <w:sz w:val="24"/>
                <w:u w:val="none"/>
              </w:rPr>
              <w:t xml:space="preserve"> </w:t>
            </w:r>
          </w:p>
        </w:tc>
      </w:tr>
      <w:tr w:rsidR="009F50A3" w:rsidRPr="00EC067D" w14:paraId="051654EF" w14:textId="77777777" w:rsidTr="63452C95">
        <w:tc>
          <w:tcPr>
            <w:tcW w:w="1129" w:type="dxa"/>
          </w:tcPr>
          <w:p w14:paraId="4E5EF34A" w14:textId="2237A75A" w:rsidR="009F50A3" w:rsidRPr="00EC067D" w:rsidRDefault="009F50A3"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w:t>
            </w:r>
            <w:r w:rsidR="00464898">
              <w:rPr>
                <w:rStyle w:val="FormatvorlageInstructionsTabelleText"/>
                <w:rFonts w:ascii="Times New Roman" w:hAnsi="Times New Roman"/>
                <w:sz w:val="24"/>
              </w:rPr>
              <w:t>1</w:t>
            </w:r>
            <w:r>
              <w:rPr>
                <w:rStyle w:val="FormatvorlageInstructionsTabelleText"/>
                <w:rFonts w:ascii="Times New Roman" w:hAnsi="Times New Roman"/>
                <w:sz w:val="24"/>
              </w:rPr>
              <w:t>0</w:t>
            </w:r>
          </w:p>
        </w:tc>
        <w:tc>
          <w:tcPr>
            <w:tcW w:w="7620" w:type="dxa"/>
          </w:tcPr>
          <w:p w14:paraId="029A2F02" w14:textId="382C8285" w:rsidR="00AB2DDE" w:rsidRDefault="00AB2DDE"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EVE</w:t>
            </w:r>
            <w:r w:rsidR="00915179">
              <w:rPr>
                <w:rStyle w:val="InstructionsTabelleberschrift"/>
                <w:rFonts w:ascii="Times New Roman" w:hAnsi="Times New Roman"/>
                <w:sz w:val="24"/>
              </w:rPr>
              <w:t xml:space="preserve"> under </w:t>
            </w:r>
            <w:r>
              <w:rPr>
                <w:rStyle w:val="InstructionsTabelleberschrift"/>
                <w:rFonts w:ascii="Times New Roman" w:hAnsi="Times New Roman"/>
                <w:sz w:val="24"/>
              </w:rPr>
              <w:t>worst scenario</w:t>
            </w:r>
          </w:p>
          <w:p w14:paraId="26DCF100" w14:textId="775A0DC7" w:rsidR="009F50A3" w:rsidRPr="000E5E10" w:rsidRDefault="7E74698B" w:rsidP="0001573B">
            <w:pPr>
              <w:pStyle w:val="InstructionsText"/>
              <w:rPr>
                <w:rStyle w:val="InstructionsTabelleberschrift"/>
                <w:rFonts w:ascii="Times New Roman" w:hAnsi="Times New Roman"/>
                <w:b w:val="0"/>
                <w:bCs w:val="0"/>
                <w:sz w:val="24"/>
                <w:u w:val="none"/>
                <w:lang w:eastAsia="en-US"/>
              </w:rPr>
            </w:pPr>
            <w:r w:rsidRPr="63452C95">
              <w:rPr>
                <w:rStyle w:val="InstructionsTabelleberschrift"/>
                <w:rFonts w:ascii="Times New Roman" w:hAnsi="Times New Roman"/>
                <w:b w:val="0"/>
                <w:bCs w:val="0"/>
                <w:sz w:val="24"/>
                <w:u w:val="none"/>
              </w:rPr>
              <w:t xml:space="preserve">The </w:t>
            </w:r>
            <w:r w:rsidR="00A0371C">
              <w:rPr>
                <w:rStyle w:val="InstructionsTabelleberschrift"/>
                <w:rFonts w:ascii="Times New Roman" w:hAnsi="Times New Roman"/>
                <w:b w:val="0"/>
                <w:bCs w:val="0"/>
                <w:sz w:val="24"/>
                <w:u w:val="none"/>
              </w:rPr>
              <w:t>change of the</w:t>
            </w:r>
            <w:r w:rsidR="002D1AB0">
              <w:rPr>
                <w:rStyle w:val="InstructionsTabelleberschrift"/>
                <w:rFonts w:ascii="Times New Roman" w:hAnsi="Times New Roman"/>
                <w:b w:val="0"/>
                <w:bCs w:val="0"/>
                <w:sz w:val="24"/>
                <w:u w:val="none"/>
              </w:rPr>
              <w:t xml:space="preserve"> </w:t>
            </w:r>
            <w:r w:rsidR="6AA5F513" w:rsidRPr="63452C95">
              <w:rPr>
                <w:rStyle w:val="InstructionsTabelleberschrift"/>
                <w:rFonts w:ascii="Times New Roman" w:hAnsi="Times New Roman"/>
                <w:b w:val="0"/>
                <w:bCs w:val="0"/>
                <w:sz w:val="24"/>
                <w:u w:val="none"/>
              </w:rPr>
              <w:t>EVE</w:t>
            </w:r>
            <w:r w:rsidR="00166184">
              <w:rPr>
                <w:rStyle w:val="InstructionsTabelleberschrift"/>
                <w:rFonts w:ascii="Times New Roman" w:hAnsi="Times New Roman"/>
                <w:b w:val="0"/>
                <w:bCs w:val="0"/>
                <w:sz w:val="24"/>
                <w:u w:val="none"/>
              </w:rPr>
              <w:t xml:space="preserve"> </w:t>
            </w:r>
            <w:r w:rsidRPr="63452C95">
              <w:rPr>
                <w:rStyle w:val="InstructionsTabelleberschrift"/>
                <w:rFonts w:ascii="Times New Roman" w:hAnsi="Times New Roman"/>
                <w:b w:val="0"/>
                <w:bCs w:val="0"/>
                <w:sz w:val="24"/>
                <w:u w:val="none"/>
              </w:rPr>
              <w:t>under</w:t>
            </w:r>
            <w:r w:rsidR="6AA5F513" w:rsidRPr="63452C95">
              <w:rPr>
                <w:rStyle w:val="InstructionsTabelleberschrift"/>
                <w:rFonts w:ascii="Times New Roman" w:hAnsi="Times New Roman"/>
                <w:b w:val="0"/>
                <w:bCs w:val="0"/>
                <w:sz w:val="24"/>
                <w:u w:val="none"/>
              </w:rPr>
              <w:t xml:space="preserve"> the supervisory shock scenario</w:t>
            </w:r>
            <w:r w:rsidR="48796065" w:rsidRPr="63452C95">
              <w:rPr>
                <w:rStyle w:val="InstructionsTabelleberschrift"/>
                <w:rFonts w:ascii="Times New Roman" w:hAnsi="Times New Roman"/>
                <w:b w:val="0"/>
                <w:bCs w:val="0"/>
                <w:sz w:val="24"/>
                <w:u w:val="none"/>
              </w:rPr>
              <w:t>s</w:t>
            </w:r>
            <w:r w:rsidR="6AA5F513" w:rsidRPr="63452C95">
              <w:rPr>
                <w:rStyle w:val="InstructionsTabelleberschrift"/>
                <w:rFonts w:ascii="Times New Roman" w:hAnsi="Times New Roman"/>
                <w:b w:val="0"/>
                <w:bCs w:val="0"/>
                <w:sz w:val="24"/>
                <w:u w:val="none"/>
              </w:rPr>
              <w:t xml:space="preserve"> </w:t>
            </w:r>
            <w:r w:rsidR="005132CD">
              <w:rPr>
                <w:rStyle w:val="InstructionsTabelleberschrift"/>
                <w:rFonts w:ascii="Times New Roman" w:hAnsi="Times New Roman"/>
                <w:b w:val="0"/>
                <w:bCs w:val="0"/>
                <w:sz w:val="24"/>
                <w:u w:val="none"/>
              </w:rPr>
              <w:t>from</w:t>
            </w:r>
            <w:r w:rsidR="005132CD" w:rsidRPr="63452C95">
              <w:rPr>
                <w:rStyle w:val="InstructionsTabelleberschrift"/>
                <w:rFonts w:ascii="Times New Roman" w:hAnsi="Times New Roman"/>
                <w:b w:val="0"/>
                <w:bCs w:val="0"/>
                <w:sz w:val="24"/>
                <w:u w:val="none"/>
              </w:rPr>
              <w:t xml:space="preserve"> </w:t>
            </w:r>
            <w:r w:rsidR="005132CD" w:rsidRPr="63452C95">
              <w:rPr>
                <w:rStyle w:val="FormatvorlageInstructionsTabelleText"/>
                <w:rFonts w:ascii="Times New Roman" w:hAnsi="Times New Roman"/>
                <w:sz w:val="24"/>
              </w:rPr>
              <w:t xml:space="preserve">Article 1(1) of </w:t>
            </w:r>
            <w:r w:rsidR="005132CD" w:rsidRPr="63452C95">
              <w:rPr>
                <w:rStyle w:val="FormatvorlageInstructionsTabelleText"/>
                <w:rFonts w:ascii="Times New Roman" w:hAnsi="Times New Roman"/>
                <w:sz w:val="24"/>
                <w:highlight w:val="lightGray"/>
              </w:rPr>
              <w:t>EBA RTS on SOT</w:t>
            </w:r>
            <w:r w:rsidR="005132CD" w:rsidRPr="63452C95">
              <w:rPr>
                <w:rStyle w:val="FormatvorlageInstructionsTabelleText"/>
                <w:rFonts w:ascii="Times New Roman" w:hAnsi="Times New Roman"/>
                <w:sz w:val="24"/>
              </w:rPr>
              <w:t xml:space="preserve"> causing the la</w:t>
            </w:r>
            <w:r w:rsidR="005132CD">
              <w:rPr>
                <w:rStyle w:val="FormatvorlageInstructionsTabelleText"/>
                <w:rFonts w:ascii="Times New Roman" w:hAnsi="Times New Roman"/>
                <w:sz w:val="24"/>
              </w:rPr>
              <w:t xml:space="preserve">rgest decline of </w:t>
            </w:r>
            <w:r w:rsidR="000B487B">
              <w:rPr>
                <w:rStyle w:val="FormatvorlageInstructionsTabelleText"/>
                <w:rFonts w:ascii="Times New Roman" w:hAnsi="Times New Roman"/>
                <w:sz w:val="24"/>
              </w:rPr>
              <w:t>EVE</w:t>
            </w:r>
            <w:r w:rsidR="00A37FDF">
              <w:rPr>
                <w:rStyle w:val="FormatvorlageInstructionsTabelleText"/>
                <w:rFonts w:ascii="Times New Roman" w:hAnsi="Times New Roman"/>
                <w:sz w:val="24"/>
              </w:rPr>
              <w:t xml:space="preserve">. </w:t>
            </w:r>
            <w:r w:rsidR="007513C2" w:rsidRPr="003F3D6D">
              <w:rPr>
                <w:rStyle w:val="FormatvorlageInstructionsTabelleText"/>
                <w:rFonts w:ascii="Times New Roman" w:hAnsi="Times New Roman"/>
                <w:sz w:val="24"/>
              </w:rPr>
              <w:t xml:space="preserve">The worst outcome from the values in rows 0040 to 0090 </w:t>
            </w:r>
            <w:r w:rsidR="002D1AB0">
              <w:rPr>
                <w:rStyle w:val="FormatvorlageInstructionsTabelleText"/>
                <w:rFonts w:ascii="Times New Roman" w:hAnsi="Times New Roman"/>
                <w:sz w:val="24"/>
              </w:rPr>
              <w:t>shall be</w:t>
            </w:r>
            <w:r w:rsidR="004162FF" w:rsidRPr="004162FF">
              <w:rPr>
                <w:rStyle w:val="FormatvorlageInstructionsTabelleText"/>
                <w:rFonts w:ascii="Times New Roman" w:hAnsi="Times New Roman"/>
                <w:sz w:val="24"/>
              </w:rPr>
              <w:t xml:space="preserve"> reported </w:t>
            </w:r>
            <w:r w:rsidR="0088619E">
              <w:rPr>
                <w:rStyle w:val="FormatvorlageInstructionsTabelleText"/>
                <w:rFonts w:ascii="Times New Roman" w:hAnsi="Times New Roman"/>
                <w:sz w:val="24"/>
              </w:rPr>
              <w:t>in this row</w:t>
            </w:r>
            <w:r w:rsidR="004162FF">
              <w:rPr>
                <w:rStyle w:val="FormatvorlageInstructionsTabelleText"/>
                <w:rFonts w:ascii="Times New Roman" w:hAnsi="Times New Roman"/>
                <w:sz w:val="24"/>
              </w:rPr>
              <w:t>.</w:t>
            </w:r>
          </w:p>
        </w:tc>
      </w:tr>
      <w:tr w:rsidR="00961B7D" w:rsidRPr="00EC067D" w14:paraId="5CD63A5C" w14:textId="77777777" w:rsidTr="63452C95">
        <w:tc>
          <w:tcPr>
            <w:tcW w:w="1129" w:type="dxa"/>
          </w:tcPr>
          <w:p w14:paraId="282662CB" w14:textId="7D4DB793" w:rsidR="00961B7D" w:rsidRDefault="00961B7D"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w:t>
            </w:r>
            <w:r w:rsidR="00464898">
              <w:rPr>
                <w:rStyle w:val="FormatvorlageInstructionsTabelleText"/>
                <w:rFonts w:ascii="Times New Roman" w:hAnsi="Times New Roman"/>
                <w:sz w:val="24"/>
              </w:rPr>
              <w:t>2</w:t>
            </w:r>
            <w:r>
              <w:rPr>
                <w:rStyle w:val="FormatvorlageInstructionsTabelleText"/>
                <w:rFonts w:ascii="Times New Roman" w:hAnsi="Times New Roman"/>
                <w:sz w:val="24"/>
              </w:rPr>
              <w:t>0</w:t>
            </w:r>
          </w:p>
        </w:tc>
        <w:tc>
          <w:tcPr>
            <w:tcW w:w="7620" w:type="dxa"/>
          </w:tcPr>
          <w:p w14:paraId="11DB2FA3" w14:textId="5E027A81" w:rsidR="00DA2DEA" w:rsidRDefault="00DA2DEA"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xml:space="preserve">∆ EVE </w:t>
            </w:r>
            <w:r>
              <w:rPr>
                <w:rStyle w:val="InstructionsTabelleberschrift"/>
                <w:rFonts w:ascii="Times New Roman" w:hAnsi="Times New Roman"/>
                <w:sz w:val="24"/>
              </w:rPr>
              <w:t>r</w:t>
            </w:r>
            <w:r w:rsidRPr="63452C95">
              <w:rPr>
                <w:rStyle w:val="InstructionsTabelleberschrift"/>
                <w:rFonts w:ascii="Times New Roman" w:hAnsi="Times New Roman"/>
                <w:sz w:val="24"/>
              </w:rPr>
              <w:t>atio</w:t>
            </w:r>
            <w:r>
              <w:rPr>
                <w:rStyle w:val="InstructionsTabelleberschrift"/>
                <w:rFonts w:ascii="Times New Roman" w:hAnsi="Times New Roman"/>
                <w:sz w:val="24"/>
              </w:rPr>
              <w:t xml:space="preserve"> </w:t>
            </w:r>
            <w:r w:rsidR="00227983">
              <w:rPr>
                <w:rStyle w:val="InstructionsTabelleberschrift"/>
                <w:rFonts w:ascii="Times New Roman" w:hAnsi="Times New Roman"/>
                <w:sz w:val="24"/>
              </w:rPr>
              <w:t xml:space="preserve">under </w:t>
            </w:r>
            <w:r>
              <w:rPr>
                <w:rStyle w:val="InstructionsTabelleberschrift"/>
                <w:rFonts w:ascii="Times New Roman" w:hAnsi="Times New Roman"/>
                <w:sz w:val="24"/>
              </w:rPr>
              <w:t>worst scenario</w:t>
            </w:r>
          </w:p>
          <w:p w14:paraId="63A8C68F" w14:textId="518A0760" w:rsidR="00961B7D" w:rsidRDefault="00502F70"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bCs w:val="0"/>
                <w:sz w:val="24"/>
                <w:u w:val="none"/>
              </w:rPr>
              <w:t>T</w:t>
            </w:r>
            <w:r w:rsidR="00961B7D">
              <w:rPr>
                <w:rStyle w:val="InstructionsTabelleberschrift"/>
                <w:rFonts w:ascii="Times New Roman" w:hAnsi="Times New Roman"/>
                <w:b w:val="0"/>
                <w:bCs w:val="0"/>
                <w:sz w:val="24"/>
                <w:u w:val="none"/>
              </w:rPr>
              <w:t xml:space="preserve">he </w:t>
            </w:r>
            <w:r w:rsidR="00025B2A" w:rsidRPr="002E0E83">
              <w:rPr>
                <w:rStyle w:val="InstructionsTabelleberschrift"/>
                <w:rFonts w:ascii="Times New Roman" w:hAnsi="Times New Roman"/>
                <w:b w:val="0"/>
                <w:bCs w:val="0"/>
                <w:sz w:val="24"/>
                <w:u w:val="none"/>
              </w:rPr>
              <w:t xml:space="preserve">ratio of </w:t>
            </w:r>
            <w:r w:rsidR="0050227C">
              <w:rPr>
                <w:rStyle w:val="InstructionsTabelleberschrift"/>
                <w:rFonts w:ascii="Times New Roman" w:hAnsi="Times New Roman"/>
                <w:b w:val="0"/>
                <w:bCs w:val="0"/>
                <w:sz w:val="24"/>
                <w:u w:val="none"/>
              </w:rPr>
              <w:t>the value reported in row 0010</w:t>
            </w:r>
            <w:r w:rsidR="0040271E" w:rsidRPr="002E0E83">
              <w:rPr>
                <w:rStyle w:val="FormatvorlageInstructionsTabelleText"/>
                <w:rFonts w:ascii="Times New Roman" w:hAnsi="Times New Roman"/>
                <w:bCs w:val="0"/>
                <w:sz w:val="24"/>
              </w:rPr>
              <w:t>,</w:t>
            </w:r>
            <w:r w:rsidR="00961B7D" w:rsidRPr="002E0E83">
              <w:rPr>
                <w:rStyle w:val="InstructionsTabelleberschrift"/>
                <w:rFonts w:ascii="Times New Roman" w:hAnsi="Times New Roman"/>
                <w:b w:val="0"/>
                <w:bCs w:val="0"/>
                <w:sz w:val="24"/>
                <w:u w:val="none"/>
              </w:rPr>
              <w:t xml:space="preserve"> </w:t>
            </w:r>
            <w:r w:rsidR="00025B2A" w:rsidRPr="002E0E83">
              <w:rPr>
                <w:rStyle w:val="InstructionsTabelleberschrift"/>
                <w:rFonts w:ascii="Times New Roman" w:hAnsi="Times New Roman"/>
                <w:b w:val="0"/>
                <w:bCs w:val="0"/>
                <w:sz w:val="24"/>
                <w:u w:val="none"/>
              </w:rPr>
              <w:t>to</w:t>
            </w:r>
            <w:r w:rsidR="00290BFA" w:rsidRPr="002E0E83">
              <w:rPr>
                <w:rStyle w:val="InstructionsTabelleberschrift"/>
                <w:rFonts w:ascii="Times New Roman" w:hAnsi="Times New Roman"/>
                <w:b w:val="0"/>
                <w:bCs w:val="0"/>
                <w:sz w:val="24"/>
                <w:u w:val="none"/>
              </w:rPr>
              <w:t xml:space="preserve"> the </w:t>
            </w:r>
            <w:r>
              <w:rPr>
                <w:rStyle w:val="InstructionsTabelleberschrift"/>
                <w:rFonts w:ascii="Times New Roman" w:hAnsi="Times New Roman"/>
                <w:b w:val="0"/>
                <w:bCs w:val="0"/>
                <w:sz w:val="24"/>
                <w:u w:val="none"/>
              </w:rPr>
              <w:t>Tier 1 capital</w:t>
            </w:r>
            <w:r w:rsidR="00CD2603">
              <w:rPr>
                <w:rStyle w:val="InstructionsTabelleberschrift"/>
                <w:rFonts w:ascii="Times New Roman" w:hAnsi="Times New Roman"/>
                <w:b w:val="0"/>
                <w:bCs w:val="0"/>
                <w:sz w:val="24"/>
                <w:u w:val="none"/>
              </w:rPr>
              <w:t xml:space="preserve"> determined according to Article 25 of CRR</w:t>
            </w:r>
            <w:r w:rsidR="00CD2603">
              <w:rPr>
                <w:rStyle w:val="FormatvorlageInstructionsTabelleText"/>
                <w:rFonts w:ascii="Times New Roman" w:hAnsi="Times New Roman"/>
                <w:bCs w:val="0"/>
                <w:sz w:val="24"/>
              </w:rPr>
              <w:t>.</w:t>
            </w:r>
            <w:r w:rsidR="00025B2A" w:rsidRPr="002E0E83">
              <w:rPr>
                <w:rStyle w:val="FormatvorlageInstructionsTabelleText"/>
                <w:rFonts w:ascii="Times New Roman" w:hAnsi="Times New Roman"/>
                <w:bCs w:val="0"/>
                <w:sz w:val="24"/>
              </w:rPr>
              <w:t xml:space="preserve"> </w:t>
            </w:r>
          </w:p>
        </w:tc>
      </w:tr>
      <w:tr w:rsidR="009F50A3" w:rsidRPr="00EC067D" w14:paraId="0935B40A" w14:textId="77777777" w:rsidTr="63452C95">
        <w:tc>
          <w:tcPr>
            <w:tcW w:w="1129" w:type="dxa"/>
          </w:tcPr>
          <w:p w14:paraId="44C516B0" w14:textId="2CF73B70" w:rsidR="009F50A3" w:rsidRPr="00EC067D" w:rsidRDefault="009F50A3"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w:t>
            </w:r>
            <w:r w:rsidR="00504029">
              <w:rPr>
                <w:rStyle w:val="FormatvorlageInstructionsTabelleText"/>
                <w:rFonts w:ascii="Times New Roman" w:hAnsi="Times New Roman"/>
                <w:sz w:val="24"/>
              </w:rPr>
              <w:t>3</w:t>
            </w:r>
            <w:r>
              <w:rPr>
                <w:rStyle w:val="FormatvorlageInstructionsTabelleText"/>
                <w:rFonts w:ascii="Times New Roman" w:hAnsi="Times New Roman"/>
                <w:sz w:val="24"/>
              </w:rPr>
              <w:t>0- 0</w:t>
            </w:r>
            <w:r w:rsidR="00504029">
              <w:rPr>
                <w:rStyle w:val="FormatvorlageInstructionsTabelleText"/>
                <w:rFonts w:ascii="Times New Roman" w:hAnsi="Times New Roman"/>
                <w:sz w:val="24"/>
              </w:rPr>
              <w:t>09</w:t>
            </w:r>
            <w:r>
              <w:rPr>
                <w:rStyle w:val="FormatvorlageInstructionsTabelleText"/>
                <w:rFonts w:ascii="Times New Roman" w:hAnsi="Times New Roman"/>
                <w:sz w:val="24"/>
              </w:rPr>
              <w:t>0</w:t>
            </w:r>
          </w:p>
        </w:tc>
        <w:tc>
          <w:tcPr>
            <w:tcW w:w="7620" w:type="dxa"/>
          </w:tcPr>
          <w:p w14:paraId="4BF02F51" w14:textId="4BEE7C65" w:rsidR="00A737A0" w:rsidRDefault="00915179"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EVE under baseline and s</w:t>
            </w:r>
            <w:r w:rsidR="00A737A0">
              <w:rPr>
                <w:rStyle w:val="InstructionsTabelleberschrift"/>
                <w:rFonts w:ascii="Times New Roman" w:hAnsi="Times New Roman"/>
                <w:sz w:val="24"/>
              </w:rPr>
              <w:t>upervisory shock scenarios</w:t>
            </w:r>
          </w:p>
          <w:p w14:paraId="32EB5557" w14:textId="2C2441C8" w:rsidR="00F0435A" w:rsidRPr="00EC067D" w:rsidRDefault="004F1099" w:rsidP="0001573B">
            <w:pPr>
              <w:pStyle w:val="InstructionsText"/>
              <w:rPr>
                <w:rStyle w:val="FormatvorlageInstructionsTabelleText"/>
                <w:rFonts w:ascii="Times New Roman" w:hAnsi="Times New Roman"/>
                <w:sz w:val="24"/>
              </w:rPr>
            </w:pPr>
            <w:r>
              <w:rPr>
                <w:rStyle w:val="InstructionsTabelleberschrift"/>
                <w:rFonts w:ascii="Times New Roman" w:hAnsi="Times New Roman"/>
                <w:b w:val="0"/>
                <w:bCs w:val="0"/>
                <w:sz w:val="24"/>
                <w:u w:val="none"/>
              </w:rPr>
              <w:t xml:space="preserve">EVE level under </w:t>
            </w:r>
            <w:r w:rsidR="00247AAC">
              <w:rPr>
                <w:rStyle w:val="InstructionsTabelleberschrift"/>
                <w:rFonts w:ascii="Times New Roman" w:hAnsi="Times New Roman"/>
                <w:b w:val="0"/>
                <w:bCs w:val="0"/>
                <w:sz w:val="24"/>
                <w:u w:val="none"/>
              </w:rPr>
              <w:t xml:space="preserve">the </w:t>
            </w:r>
            <w:r>
              <w:rPr>
                <w:rStyle w:val="InstructionsTabelleberschrift"/>
                <w:rFonts w:ascii="Times New Roman" w:hAnsi="Times New Roman"/>
                <w:b w:val="0"/>
                <w:bCs w:val="0"/>
                <w:sz w:val="24"/>
                <w:u w:val="none"/>
              </w:rPr>
              <w:t xml:space="preserve">baseline scenario and </w:t>
            </w:r>
            <w:r w:rsidR="00237C62">
              <w:rPr>
                <w:rStyle w:val="InstructionsTabelleberschrift"/>
                <w:rFonts w:ascii="Times New Roman" w:hAnsi="Times New Roman"/>
                <w:b w:val="0"/>
                <w:bCs w:val="0"/>
                <w:sz w:val="24"/>
                <w:u w:val="none"/>
              </w:rPr>
              <w:t xml:space="preserve">the changes of the </w:t>
            </w:r>
            <w:r w:rsidR="00F85A14">
              <w:rPr>
                <w:rStyle w:val="InstructionsTabelleberschrift"/>
                <w:rFonts w:ascii="Times New Roman" w:hAnsi="Times New Roman"/>
                <w:b w:val="0"/>
                <w:bCs w:val="0"/>
                <w:sz w:val="24"/>
                <w:u w:val="none"/>
              </w:rPr>
              <w:t xml:space="preserve">EVE </w:t>
            </w:r>
            <w:r w:rsidR="00BF7CC2">
              <w:rPr>
                <w:rStyle w:val="InstructionsTabelleberschrift"/>
                <w:rFonts w:ascii="Times New Roman" w:hAnsi="Times New Roman"/>
                <w:b w:val="0"/>
                <w:bCs w:val="0"/>
                <w:sz w:val="24"/>
                <w:u w:val="none"/>
              </w:rPr>
              <w:t>(i.e.</w:t>
            </w:r>
            <w:r w:rsidR="00677540">
              <w:rPr>
                <w:rStyle w:val="InstructionsTabelleberschrift"/>
                <w:rFonts w:ascii="Times New Roman" w:hAnsi="Times New Roman"/>
                <w:b w:val="0"/>
                <w:bCs w:val="0"/>
                <w:sz w:val="24"/>
                <w:u w:val="none"/>
              </w:rPr>
              <w:t>,</w:t>
            </w:r>
            <w:r w:rsidR="00BF7CC2">
              <w:rPr>
                <w:rStyle w:val="InstructionsTabelleberschrift"/>
                <w:rFonts w:ascii="Times New Roman" w:hAnsi="Times New Roman"/>
                <w:b w:val="0"/>
                <w:bCs w:val="0"/>
                <w:sz w:val="24"/>
                <w:u w:val="none"/>
              </w:rPr>
              <w:t xml:space="preserve"> Δ EVE) </w:t>
            </w:r>
            <w:r w:rsidR="00F85A14">
              <w:rPr>
                <w:rStyle w:val="InstructionsTabelleberschrift"/>
                <w:rFonts w:ascii="Times New Roman" w:hAnsi="Times New Roman"/>
                <w:b w:val="0"/>
                <w:bCs w:val="0"/>
                <w:sz w:val="24"/>
                <w:u w:val="none"/>
              </w:rPr>
              <w:t xml:space="preserve">under </w:t>
            </w:r>
            <w:r>
              <w:rPr>
                <w:rStyle w:val="InstructionsTabelleberschrift"/>
                <w:rFonts w:ascii="Times New Roman" w:hAnsi="Times New Roman"/>
                <w:b w:val="0"/>
                <w:bCs w:val="0"/>
                <w:sz w:val="24"/>
                <w:u w:val="none"/>
              </w:rPr>
              <w:t>s</w:t>
            </w:r>
            <w:r w:rsidR="70800EFF" w:rsidRPr="34CF7408">
              <w:rPr>
                <w:rStyle w:val="InstructionsTabelleberschrift"/>
                <w:rFonts w:ascii="Times New Roman" w:hAnsi="Times New Roman"/>
                <w:b w:val="0"/>
                <w:bCs w:val="0"/>
                <w:sz w:val="24"/>
                <w:u w:val="none"/>
              </w:rPr>
              <w:t xml:space="preserve">upervisory </w:t>
            </w:r>
            <w:r w:rsidR="000776CE">
              <w:rPr>
                <w:rStyle w:val="InstructionsTabelleberschrift"/>
                <w:rFonts w:ascii="Times New Roman" w:hAnsi="Times New Roman"/>
                <w:b w:val="0"/>
                <w:bCs w:val="0"/>
                <w:sz w:val="24"/>
                <w:u w:val="none"/>
              </w:rPr>
              <w:t xml:space="preserve">shock </w:t>
            </w:r>
            <w:r w:rsidR="70800EFF" w:rsidRPr="34CF7408">
              <w:rPr>
                <w:rStyle w:val="InstructionsTabelleberschrift"/>
                <w:rFonts w:ascii="Times New Roman" w:hAnsi="Times New Roman"/>
                <w:b w:val="0"/>
                <w:bCs w:val="0"/>
                <w:sz w:val="24"/>
                <w:u w:val="none"/>
              </w:rPr>
              <w:t xml:space="preserve">scenarios according to </w:t>
            </w:r>
            <w:r w:rsidR="70800EFF" w:rsidRPr="34CF7408">
              <w:rPr>
                <w:rStyle w:val="FormatvorlageInstructionsTabelleText"/>
                <w:rFonts w:ascii="Times New Roman" w:hAnsi="Times New Roman"/>
                <w:sz w:val="24"/>
              </w:rPr>
              <w:t xml:space="preserve">Article 1(1) of </w:t>
            </w:r>
            <w:r w:rsidR="70800EFF" w:rsidRPr="34CF7408">
              <w:rPr>
                <w:rStyle w:val="FormatvorlageInstructionsTabelleText"/>
                <w:rFonts w:ascii="Times New Roman" w:hAnsi="Times New Roman"/>
                <w:sz w:val="24"/>
                <w:highlight w:val="lightGray"/>
              </w:rPr>
              <w:t>EBA RTS on SOT</w:t>
            </w:r>
            <w:r w:rsidR="70800EFF" w:rsidRPr="34CF7408">
              <w:rPr>
                <w:rStyle w:val="FormatvorlageInstructionsTabelleText"/>
                <w:rFonts w:ascii="Times New Roman" w:hAnsi="Times New Roman"/>
                <w:sz w:val="24"/>
              </w:rPr>
              <w:t>.</w:t>
            </w:r>
            <w:r w:rsidR="58F969CE" w:rsidRPr="34CF7408">
              <w:rPr>
                <w:rStyle w:val="FormatvorlageInstructionsTabelleText"/>
                <w:rFonts w:ascii="Times New Roman" w:hAnsi="Times New Roman"/>
                <w:sz w:val="24"/>
              </w:rPr>
              <w:t xml:space="preserve"> </w:t>
            </w:r>
          </w:p>
        </w:tc>
      </w:tr>
      <w:tr w:rsidR="00B0203E" w:rsidRPr="00EC067D" w14:paraId="4655EFD3" w14:textId="77777777" w:rsidTr="63452C95">
        <w:tc>
          <w:tcPr>
            <w:tcW w:w="1129" w:type="dxa"/>
          </w:tcPr>
          <w:p w14:paraId="7B647AD7" w14:textId="3E7A916A" w:rsidR="00B0203E" w:rsidRDefault="00B0203E"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w:t>
            </w:r>
            <w:r w:rsidR="0093597F">
              <w:rPr>
                <w:rStyle w:val="FormatvorlageInstructionsTabelleText"/>
                <w:rFonts w:ascii="Times New Roman" w:hAnsi="Times New Roman"/>
                <w:sz w:val="24"/>
              </w:rPr>
              <w:t>3</w:t>
            </w:r>
            <w:r>
              <w:rPr>
                <w:rStyle w:val="FormatvorlageInstructionsTabelleText"/>
                <w:rFonts w:ascii="Times New Roman" w:hAnsi="Times New Roman"/>
                <w:sz w:val="24"/>
              </w:rPr>
              <w:t>0</w:t>
            </w:r>
          </w:p>
        </w:tc>
        <w:tc>
          <w:tcPr>
            <w:tcW w:w="7620" w:type="dxa"/>
          </w:tcPr>
          <w:p w14:paraId="3EE65F05" w14:textId="004B6C51" w:rsidR="00B0203E" w:rsidRPr="00EB4F9A" w:rsidRDefault="00915179"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Level of EVE under b</w:t>
            </w:r>
            <w:r w:rsidR="00B0203E" w:rsidRPr="63452C95">
              <w:rPr>
                <w:rStyle w:val="InstructionsTabelleberschrift"/>
                <w:rFonts w:ascii="Times New Roman" w:hAnsi="Times New Roman"/>
                <w:sz w:val="24"/>
              </w:rPr>
              <w:t>aseline scenario</w:t>
            </w:r>
          </w:p>
          <w:p w14:paraId="58C9873C" w14:textId="4D13F981" w:rsidR="00B0203E" w:rsidRPr="0028704E" w:rsidDel="00D1769D" w:rsidRDefault="00B0203E" w:rsidP="0001573B">
            <w:pPr>
              <w:pStyle w:val="InstructionsText"/>
              <w:rPr>
                <w:rStyle w:val="InstructionsTabelleberschrift"/>
                <w:rFonts w:ascii="Times New Roman" w:hAnsi="Times New Roman"/>
                <w:b w:val="0"/>
                <w:bCs w:val="0"/>
                <w:sz w:val="24"/>
                <w:u w:val="none"/>
              </w:rPr>
            </w:pPr>
            <w:r w:rsidRPr="63452C95">
              <w:rPr>
                <w:rStyle w:val="InstructionsTabelleberschrift"/>
                <w:rFonts w:ascii="Times New Roman" w:hAnsi="Times New Roman"/>
                <w:b w:val="0"/>
                <w:bCs w:val="0"/>
                <w:sz w:val="24"/>
                <w:u w:val="none"/>
              </w:rPr>
              <w:t xml:space="preserve">EVE level under the baseline interest rate </w:t>
            </w:r>
            <w:r w:rsidR="007000CF" w:rsidRPr="63452C95">
              <w:rPr>
                <w:rStyle w:val="InstructionsTabelleberschrift"/>
                <w:rFonts w:ascii="Times New Roman" w:hAnsi="Times New Roman"/>
                <w:b w:val="0"/>
                <w:bCs w:val="0"/>
                <w:sz w:val="24"/>
                <w:u w:val="none"/>
              </w:rPr>
              <w:t>scenarios</w:t>
            </w:r>
            <w:r w:rsidRPr="63452C95">
              <w:rPr>
                <w:rStyle w:val="InstructionsTabelleberschrift"/>
                <w:rFonts w:ascii="Times New Roman" w:hAnsi="Times New Roman"/>
                <w:b w:val="0"/>
                <w:bCs w:val="0"/>
                <w:sz w:val="24"/>
                <w:u w:val="none"/>
              </w:rPr>
              <w:t xml:space="preserve"> of the reference date.</w:t>
            </w:r>
          </w:p>
        </w:tc>
      </w:tr>
      <w:tr w:rsidR="00B0203E" w:rsidRPr="00EC067D" w14:paraId="12F10FB4" w14:textId="77777777" w:rsidTr="63452C95">
        <w:tc>
          <w:tcPr>
            <w:tcW w:w="1129" w:type="dxa"/>
          </w:tcPr>
          <w:p w14:paraId="6C489768" w14:textId="52CDBC80" w:rsidR="00B0203E" w:rsidRPr="00EC067D" w:rsidRDefault="00B0203E"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w:t>
            </w:r>
            <w:r w:rsidR="0093597F">
              <w:rPr>
                <w:rStyle w:val="FormatvorlageInstructionsTabelleText"/>
                <w:rFonts w:ascii="Times New Roman" w:hAnsi="Times New Roman"/>
                <w:sz w:val="24"/>
              </w:rPr>
              <w:t>4</w:t>
            </w:r>
            <w:r>
              <w:rPr>
                <w:rStyle w:val="FormatvorlageInstructionsTabelleText"/>
                <w:rFonts w:ascii="Times New Roman" w:hAnsi="Times New Roman"/>
                <w:sz w:val="24"/>
              </w:rPr>
              <w:t>0</w:t>
            </w:r>
          </w:p>
        </w:tc>
        <w:tc>
          <w:tcPr>
            <w:tcW w:w="7620" w:type="dxa"/>
          </w:tcPr>
          <w:p w14:paraId="0C32C6C1" w14:textId="688719F1" w:rsidR="00B0203E" w:rsidRPr="00851D1D" w:rsidRDefault="00B0203E"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xml:space="preserve">∆ </w:t>
            </w:r>
            <w:r w:rsidR="007F17EE">
              <w:rPr>
                <w:rStyle w:val="InstructionsTabelleberschrift"/>
                <w:rFonts w:ascii="Times New Roman" w:hAnsi="Times New Roman"/>
                <w:sz w:val="24"/>
              </w:rPr>
              <w:t>EVE under p</w:t>
            </w:r>
            <w:r w:rsidRPr="63452C95">
              <w:rPr>
                <w:rStyle w:val="InstructionsTabelleberschrift"/>
                <w:rFonts w:ascii="Times New Roman" w:hAnsi="Times New Roman"/>
                <w:sz w:val="24"/>
              </w:rPr>
              <w:t xml:space="preserve">arallel </w:t>
            </w:r>
            <w:r w:rsidR="0093597F">
              <w:rPr>
                <w:rStyle w:val="InstructionsTabelleberschrift"/>
                <w:rFonts w:ascii="Times New Roman" w:hAnsi="Times New Roman"/>
                <w:sz w:val="24"/>
              </w:rPr>
              <w:t>s</w:t>
            </w:r>
            <w:r w:rsidRPr="63452C95">
              <w:rPr>
                <w:rStyle w:val="InstructionsTabelleberschrift"/>
                <w:rFonts w:ascii="Times New Roman" w:hAnsi="Times New Roman"/>
                <w:sz w:val="24"/>
              </w:rPr>
              <w:t xml:space="preserve">hock </w:t>
            </w:r>
            <w:r w:rsidR="0093597F">
              <w:rPr>
                <w:rStyle w:val="InstructionsTabelleberschrift"/>
                <w:rFonts w:ascii="Times New Roman" w:hAnsi="Times New Roman"/>
                <w:sz w:val="24"/>
              </w:rPr>
              <w:t>u</w:t>
            </w:r>
            <w:r w:rsidRPr="63452C95">
              <w:rPr>
                <w:rStyle w:val="InstructionsTabelleberschrift"/>
                <w:rFonts w:ascii="Times New Roman" w:hAnsi="Times New Roman"/>
                <w:sz w:val="24"/>
              </w:rPr>
              <w:t>p</w:t>
            </w:r>
          </w:p>
          <w:p w14:paraId="75608591" w14:textId="3C0ADF5B" w:rsidR="00B0203E" w:rsidRPr="00EC067D" w:rsidRDefault="00B0203E" w:rsidP="0001573B">
            <w:pPr>
              <w:pStyle w:val="InstructionsText"/>
              <w:rPr>
                <w:rStyle w:val="InstructionsTabelleberschrift"/>
                <w:rFonts w:ascii="Times New Roman" w:hAnsi="Times New Roman"/>
                <w:sz w:val="24"/>
                <w:lang w:eastAsia="en-US"/>
              </w:rPr>
            </w:pPr>
            <w:r w:rsidRPr="63452C95">
              <w:rPr>
                <w:rStyle w:val="InstructionsTabelleberschrift"/>
                <w:rFonts w:ascii="Times New Roman" w:hAnsi="Times New Roman"/>
                <w:b w:val="0"/>
                <w:bCs w:val="0"/>
                <w:sz w:val="24"/>
                <w:u w:val="none"/>
              </w:rPr>
              <w:t>The</w:t>
            </w:r>
            <w:r>
              <w:rPr>
                <w:rStyle w:val="InstructionsTabelleberschrift"/>
                <w:rFonts w:ascii="Times New Roman" w:hAnsi="Times New Roman"/>
                <w:b w:val="0"/>
                <w:bCs w:val="0"/>
                <w:sz w:val="24"/>
                <w:u w:val="none"/>
              </w:rPr>
              <w:t xml:space="preserve"> </w:t>
            </w:r>
            <w:r w:rsidRPr="63452C95">
              <w:rPr>
                <w:rStyle w:val="InstructionsTabelleberschrift"/>
                <w:rFonts w:ascii="Times New Roman" w:hAnsi="Times New Roman"/>
                <w:b w:val="0"/>
                <w:bCs w:val="0"/>
                <w:sz w:val="24"/>
                <w:u w:val="none"/>
              </w:rPr>
              <w:t xml:space="preserve">change of </w:t>
            </w:r>
            <w:r>
              <w:rPr>
                <w:rStyle w:val="InstructionsTabelleberschrift"/>
                <w:rFonts w:ascii="Times New Roman" w:hAnsi="Times New Roman"/>
                <w:b w:val="0"/>
                <w:bCs w:val="0"/>
                <w:sz w:val="24"/>
                <w:u w:val="none"/>
              </w:rPr>
              <w:t xml:space="preserve">the </w:t>
            </w:r>
            <w:r w:rsidRPr="63452C95">
              <w:rPr>
                <w:rStyle w:val="InstructionsTabelleberschrift"/>
                <w:rFonts w:ascii="Times New Roman" w:hAnsi="Times New Roman"/>
                <w:b w:val="0"/>
                <w:bCs w:val="0"/>
                <w:sz w:val="24"/>
                <w:u w:val="none"/>
              </w:rPr>
              <w:t>EVE under the “parallel shock up” scenario specified in Article</w:t>
            </w:r>
            <w:r w:rsidR="007F62B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1, paragraph 1(a) and 3 of the </w:t>
            </w:r>
            <w:r w:rsidRPr="63452C95">
              <w:rPr>
                <w:rStyle w:val="FormatvorlageInstructionsTabelleText"/>
                <w:rFonts w:ascii="Times New Roman" w:hAnsi="Times New Roman"/>
                <w:sz w:val="24"/>
                <w:highlight w:val="lightGray"/>
              </w:rPr>
              <w:t>EBA RTS on SOT</w:t>
            </w:r>
            <w:r w:rsidRPr="63452C95">
              <w:rPr>
                <w:rStyle w:val="InstructionsTabelleberschrift"/>
                <w:rFonts w:ascii="Times New Roman" w:hAnsi="Times New Roman"/>
                <w:b w:val="0"/>
                <w:bCs w:val="0"/>
                <w:sz w:val="24"/>
                <w:u w:val="none"/>
              </w:rPr>
              <w:t>.</w:t>
            </w:r>
          </w:p>
        </w:tc>
      </w:tr>
      <w:tr w:rsidR="00B0203E" w:rsidRPr="00EC067D" w14:paraId="702A109C" w14:textId="77777777" w:rsidTr="63452C95">
        <w:tc>
          <w:tcPr>
            <w:tcW w:w="1129" w:type="dxa"/>
          </w:tcPr>
          <w:p w14:paraId="44F421F7" w14:textId="0277BBF5" w:rsidR="00B0203E" w:rsidRPr="004912A7" w:rsidRDefault="00B0203E" w:rsidP="0001573B">
            <w:pPr>
              <w:pStyle w:val="InstructionsText"/>
              <w:rPr>
                <w:rStyle w:val="FormatvorlageInstructionsTabelleText"/>
                <w:rFonts w:ascii="Times New Roman" w:hAnsi="Times New Roman"/>
                <w:sz w:val="24"/>
                <w:lang w:eastAsia="en-US"/>
              </w:rPr>
            </w:pPr>
            <w:r w:rsidRPr="004912A7">
              <w:rPr>
                <w:rStyle w:val="FormatvorlageInstructionsTabelleText"/>
                <w:rFonts w:ascii="Times New Roman" w:hAnsi="Times New Roman"/>
                <w:sz w:val="24"/>
              </w:rPr>
              <w:t>00</w:t>
            </w:r>
            <w:r w:rsidR="0093597F">
              <w:rPr>
                <w:rStyle w:val="FormatvorlageInstructionsTabelleText"/>
                <w:rFonts w:ascii="Times New Roman" w:hAnsi="Times New Roman"/>
                <w:sz w:val="24"/>
              </w:rPr>
              <w:t>5</w:t>
            </w:r>
            <w:r w:rsidRPr="004912A7">
              <w:rPr>
                <w:rStyle w:val="FormatvorlageInstructionsTabelleText"/>
                <w:rFonts w:ascii="Times New Roman" w:hAnsi="Times New Roman"/>
                <w:sz w:val="24"/>
              </w:rPr>
              <w:t>0</w:t>
            </w:r>
          </w:p>
        </w:tc>
        <w:tc>
          <w:tcPr>
            <w:tcW w:w="7620" w:type="dxa"/>
          </w:tcPr>
          <w:p w14:paraId="50EC282B" w14:textId="08276C58" w:rsidR="00B0203E" w:rsidRPr="00EB4F9A" w:rsidRDefault="00B0203E"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xml:space="preserve">∆ </w:t>
            </w:r>
            <w:r w:rsidR="004F0D3D">
              <w:rPr>
                <w:rStyle w:val="InstructionsTabelleberschrift"/>
                <w:rFonts w:ascii="Times New Roman" w:hAnsi="Times New Roman"/>
                <w:sz w:val="24"/>
              </w:rPr>
              <w:t>EVE under p</w:t>
            </w:r>
            <w:r w:rsidRPr="63452C95">
              <w:rPr>
                <w:rStyle w:val="InstructionsTabelleberschrift"/>
                <w:rFonts w:ascii="Times New Roman" w:hAnsi="Times New Roman"/>
                <w:sz w:val="24"/>
              </w:rPr>
              <w:t xml:space="preserve">arallel </w:t>
            </w:r>
            <w:r w:rsidR="0093597F">
              <w:rPr>
                <w:rStyle w:val="InstructionsTabelleberschrift"/>
                <w:rFonts w:ascii="Times New Roman" w:hAnsi="Times New Roman"/>
                <w:sz w:val="24"/>
              </w:rPr>
              <w:t>s</w:t>
            </w:r>
            <w:r w:rsidRPr="63452C95">
              <w:rPr>
                <w:rStyle w:val="InstructionsTabelleberschrift"/>
                <w:rFonts w:ascii="Times New Roman" w:hAnsi="Times New Roman"/>
                <w:sz w:val="24"/>
              </w:rPr>
              <w:t xml:space="preserve">hock </w:t>
            </w:r>
            <w:r w:rsidR="0093597F">
              <w:rPr>
                <w:rStyle w:val="InstructionsTabelleberschrift"/>
                <w:rFonts w:ascii="Times New Roman" w:hAnsi="Times New Roman"/>
                <w:sz w:val="24"/>
              </w:rPr>
              <w:t>d</w:t>
            </w:r>
            <w:r w:rsidRPr="63452C95">
              <w:rPr>
                <w:rStyle w:val="InstructionsTabelleberschrift"/>
                <w:rFonts w:ascii="Times New Roman" w:hAnsi="Times New Roman"/>
                <w:sz w:val="24"/>
              </w:rPr>
              <w:t>own</w:t>
            </w:r>
          </w:p>
          <w:p w14:paraId="615E0D1E" w14:textId="055E060E" w:rsidR="00B0203E" w:rsidRPr="00EC067D" w:rsidRDefault="00B0203E" w:rsidP="0001573B">
            <w:pPr>
              <w:pStyle w:val="InstructionsText"/>
              <w:rPr>
                <w:rStyle w:val="InstructionsTabelleberschrift"/>
                <w:rFonts w:ascii="Times New Roman" w:hAnsi="Times New Roman"/>
                <w:sz w:val="24"/>
                <w:lang w:eastAsia="en-US"/>
              </w:rPr>
            </w:pPr>
            <w:r w:rsidRPr="63452C95">
              <w:rPr>
                <w:rStyle w:val="InstructionsTabelleberschrift"/>
                <w:rFonts w:ascii="Times New Roman" w:hAnsi="Times New Roman"/>
                <w:b w:val="0"/>
                <w:bCs w:val="0"/>
                <w:sz w:val="24"/>
                <w:u w:val="none"/>
              </w:rPr>
              <w:t>The change of</w:t>
            </w:r>
            <w:r>
              <w:rPr>
                <w:rStyle w:val="InstructionsTabelleberschrift"/>
                <w:rFonts w:ascii="Times New Roman" w:hAnsi="Times New Roman"/>
                <w:b w:val="0"/>
                <w:bCs w:val="0"/>
                <w:sz w:val="24"/>
                <w:u w:val="none"/>
              </w:rPr>
              <w:t xml:space="preserve"> the</w:t>
            </w:r>
            <w:r w:rsidRPr="63452C95">
              <w:rPr>
                <w:rStyle w:val="InstructionsTabelleberschrift"/>
                <w:rFonts w:ascii="Times New Roman" w:hAnsi="Times New Roman"/>
                <w:b w:val="0"/>
                <w:bCs w:val="0"/>
                <w:sz w:val="24"/>
                <w:u w:val="none"/>
              </w:rPr>
              <w:t xml:space="preserve"> EVE under the “parallel shock down” scenario specified in Article</w:t>
            </w:r>
            <w:r w:rsidR="007F62B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1, paragraph 1(b) and 3 of the </w:t>
            </w:r>
            <w:r w:rsidRPr="63452C95">
              <w:rPr>
                <w:rStyle w:val="FormatvorlageInstructionsTabelleText"/>
                <w:rFonts w:ascii="Times New Roman" w:hAnsi="Times New Roman"/>
                <w:sz w:val="24"/>
                <w:highlight w:val="lightGray"/>
              </w:rPr>
              <w:t>EBA RTS on SOT</w:t>
            </w:r>
            <w:r w:rsidRPr="63452C95">
              <w:rPr>
                <w:rStyle w:val="InstructionsTabelleberschrift"/>
                <w:rFonts w:ascii="Times New Roman" w:hAnsi="Times New Roman"/>
                <w:b w:val="0"/>
                <w:bCs w:val="0"/>
                <w:sz w:val="24"/>
                <w:u w:val="none"/>
              </w:rPr>
              <w:t>.</w:t>
            </w:r>
          </w:p>
        </w:tc>
      </w:tr>
      <w:tr w:rsidR="00B0203E" w:rsidRPr="00EC067D" w14:paraId="78C9A080" w14:textId="77777777" w:rsidTr="63452C95">
        <w:tc>
          <w:tcPr>
            <w:tcW w:w="1129" w:type="dxa"/>
          </w:tcPr>
          <w:p w14:paraId="18CC3346" w14:textId="76476D8B" w:rsidR="00B0203E" w:rsidRPr="004912A7" w:rsidRDefault="00B0203E" w:rsidP="0001573B">
            <w:pPr>
              <w:pStyle w:val="InstructionsText"/>
              <w:rPr>
                <w:rStyle w:val="FormatvorlageInstructionsTabelleText"/>
                <w:rFonts w:ascii="Times New Roman" w:hAnsi="Times New Roman"/>
                <w:sz w:val="24"/>
                <w:lang w:eastAsia="en-US"/>
              </w:rPr>
            </w:pPr>
            <w:r w:rsidRPr="004912A7">
              <w:rPr>
                <w:rStyle w:val="FormatvorlageInstructionsTabelleText"/>
                <w:rFonts w:ascii="Times New Roman" w:hAnsi="Times New Roman"/>
                <w:sz w:val="24"/>
              </w:rPr>
              <w:t>00</w:t>
            </w:r>
            <w:r w:rsidR="0093597F">
              <w:rPr>
                <w:rStyle w:val="FormatvorlageInstructionsTabelleText"/>
                <w:rFonts w:ascii="Times New Roman" w:hAnsi="Times New Roman"/>
                <w:sz w:val="24"/>
              </w:rPr>
              <w:t>6</w:t>
            </w:r>
            <w:r w:rsidRPr="004912A7">
              <w:rPr>
                <w:rStyle w:val="FormatvorlageInstructionsTabelleText"/>
                <w:rFonts w:ascii="Times New Roman" w:hAnsi="Times New Roman"/>
                <w:sz w:val="24"/>
              </w:rPr>
              <w:t>0</w:t>
            </w:r>
          </w:p>
        </w:tc>
        <w:tc>
          <w:tcPr>
            <w:tcW w:w="7620" w:type="dxa"/>
          </w:tcPr>
          <w:p w14:paraId="1C40E806" w14:textId="3E9C0900" w:rsidR="00B0203E" w:rsidRPr="00EB4F9A" w:rsidRDefault="00B0203E"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xml:space="preserve">∆ </w:t>
            </w:r>
            <w:r w:rsidR="004F0D3D">
              <w:rPr>
                <w:rStyle w:val="InstructionsTabelleberschrift"/>
                <w:rFonts w:ascii="Times New Roman" w:hAnsi="Times New Roman"/>
                <w:sz w:val="24"/>
              </w:rPr>
              <w:t xml:space="preserve">EVE under </w:t>
            </w:r>
            <w:r w:rsidR="00237C62">
              <w:rPr>
                <w:rStyle w:val="InstructionsTabelleberschrift"/>
                <w:rFonts w:ascii="Times New Roman" w:hAnsi="Times New Roman"/>
                <w:sz w:val="24"/>
              </w:rPr>
              <w:t>s</w:t>
            </w:r>
            <w:r w:rsidRPr="63452C95">
              <w:rPr>
                <w:rStyle w:val="InstructionsTabelleberschrift"/>
                <w:rFonts w:ascii="Times New Roman" w:hAnsi="Times New Roman"/>
                <w:sz w:val="24"/>
              </w:rPr>
              <w:t>teepener shock</w:t>
            </w:r>
          </w:p>
          <w:p w14:paraId="2E2C691F" w14:textId="6314D0FF" w:rsidR="00B0203E" w:rsidRDefault="00B0203E" w:rsidP="0001573B">
            <w:pPr>
              <w:pStyle w:val="InstructionsText"/>
              <w:rPr>
                <w:rStyle w:val="InstructionsTabelleberschrift"/>
                <w:rFonts w:ascii="Times New Roman" w:hAnsi="Times New Roman"/>
                <w:sz w:val="24"/>
                <w:lang w:eastAsia="en-US"/>
              </w:rPr>
            </w:pPr>
            <w:r w:rsidRPr="63452C95">
              <w:rPr>
                <w:rStyle w:val="InstructionsTabelleberschrift"/>
                <w:rFonts w:ascii="Times New Roman" w:hAnsi="Times New Roman"/>
                <w:b w:val="0"/>
                <w:bCs w:val="0"/>
                <w:sz w:val="24"/>
                <w:u w:val="none"/>
              </w:rPr>
              <w:t>The change of</w:t>
            </w:r>
            <w:r>
              <w:rPr>
                <w:rStyle w:val="InstructionsTabelleberschrift"/>
                <w:rFonts w:ascii="Times New Roman" w:hAnsi="Times New Roman"/>
                <w:b w:val="0"/>
                <w:bCs w:val="0"/>
                <w:sz w:val="24"/>
                <w:u w:val="none"/>
              </w:rPr>
              <w:t xml:space="preserve"> the</w:t>
            </w:r>
            <w:r w:rsidRPr="63452C95">
              <w:rPr>
                <w:rStyle w:val="InstructionsTabelleberschrift"/>
                <w:rFonts w:ascii="Times New Roman" w:hAnsi="Times New Roman"/>
                <w:b w:val="0"/>
                <w:bCs w:val="0"/>
                <w:sz w:val="24"/>
                <w:u w:val="none"/>
              </w:rPr>
              <w:t xml:space="preserve"> EVE under the “steepener shock” scenario specified in Article</w:t>
            </w:r>
            <w:r w:rsidR="007F62B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1, paragraph 1(c) and 3 of the </w:t>
            </w:r>
            <w:r w:rsidRPr="63452C95">
              <w:rPr>
                <w:rStyle w:val="FormatvorlageInstructionsTabelleText"/>
                <w:rFonts w:ascii="Times New Roman" w:hAnsi="Times New Roman"/>
                <w:sz w:val="24"/>
                <w:highlight w:val="lightGray"/>
              </w:rPr>
              <w:t>EBA RTS on SOT</w:t>
            </w:r>
            <w:r w:rsidRPr="63452C95">
              <w:rPr>
                <w:rStyle w:val="InstructionsTabelleberschrift"/>
                <w:rFonts w:ascii="Times New Roman" w:hAnsi="Times New Roman"/>
                <w:b w:val="0"/>
                <w:bCs w:val="0"/>
                <w:sz w:val="24"/>
                <w:u w:val="none"/>
              </w:rPr>
              <w:t>.</w:t>
            </w:r>
          </w:p>
        </w:tc>
      </w:tr>
      <w:tr w:rsidR="00B0203E" w:rsidRPr="00EC067D" w14:paraId="7C9E2FFE" w14:textId="77777777" w:rsidTr="63452C95">
        <w:tc>
          <w:tcPr>
            <w:tcW w:w="1129" w:type="dxa"/>
          </w:tcPr>
          <w:p w14:paraId="6A1F5153" w14:textId="1A480960" w:rsidR="00B0203E" w:rsidRPr="004912A7" w:rsidRDefault="00B0203E" w:rsidP="0001573B">
            <w:pPr>
              <w:pStyle w:val="InstructionsText"/>
              <w:rPr>
                <w:rStyle w:val="FormatvorlageInstructionsTabelleText"/>
                <w:rFonts w:ascii="Times New Roman" w:hAnsi="Times New Roman"/>
                <w:sz w:val="24"/>
                <w:lang w:eastAsia="en-US"/>
              </w:rPr>
            </w:pPr>
            <w:r w:rsidRPr="004912A7">
              <w:rPr>
                <w:rStyle w:val="FormatvorlageInstructionsTabelleText"/>
                <w:rFonts w:ascii="Times New Roman" w:hAnsi="Times New Roman"/>
                <w:sz w:val="24"/>
              </w:rPr>
              <w:t>0</w:t>
            </w:r>
            <w:r w:rsidR="0093597F">
              <w:rPr>
                <w:rStyle w:val="FormatvorlageInstructionsTabelleText"/>
                <w:rFonts w:ascii="Times New Roman" w:hAnsi="Times New Roman"/>
                <w:sz w:val="24"/>
              </w:rPr>
              <w:t>07</w:t>
            </w:r>
            <w:r w:rsidRPr="004912A7">
              <w:rPr>
                <w:rStyle w:val="FormatvorlageInstructionsTabelleText"/>
                <w:rFonts w:ascii="Times New Roman" w:hAnsi="Times New Roman"/>
                <w:sz w:val="24"/>
              </w:rPr>
              <w:t>0</w:t>
            </w:r>
          </w:p>
        </w:tc>
        <w:tc>
          <w:tcPr>
            <w:tcW w:w="7620" w:type="dxa"/>
          </w:tcPr>
          <w:p w14:paraId="6EB8CC03" w14:textId="5C10E606" w:rsidR="00B0203E" w:rsidRPr="00EB4F9A" w:rsidRDefault="00B0203E"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xml:space="preserve">∆ </w:t>
            </w:r>
            <w:r w:rsidR="004F0D3D">
              <w:rPr>
                <w:rStyle w:val="InstructionsTabelleberschrift"/>
                <w:rFonts w:ascii="Times New Roman" w:hAnsi="Times New Roman"/>
                <w:sz w:val="24"/>
              </w:rPr>
              <w:t xml:space="preserve">EVE under </w:t>
            </w:r>
            <w:r w:rsidR="00420863">
              <w:rPr>
                <w:rStyle w:val="InstructionsTabelleberschrift"/>
                <w:rFonts w:ascii="Times New Roman" w:hAnsi="Times New Roman"/>
                <w:sz w:val="24"/>
              </w:rPr>
              <w:t>f</w:t>
            </w:r>
            <w:r w:rsidRPr="63452C95">
              <w:rPr>
                <w:rStyle w:val="InstructionsTabelleberschrift"/>
                <w:rFonts w:ascii="Times New Roman" w:hAnsi="Times New Roman"/>
                <w:sz w:val="24"/>
              </w:rPr>
              <w:t>lattener shock</w:t>
            </w:r>
          </w:p>
          <w:p w14:paraId="1576761F" w14:textId="6ACDB029" w:rsidR="00B0203E" w:rsidRDefault="00B0203E" w:rsidP="0001573B">
            <w:pPr>
              <w:pStyle w:val="InstructionsText"/>
              <w:rPr>
                <w:rStyle w:val="InstructionsTabelleberschrift"/>
                <w:rFonts w:ascii="Times New Roman" w:hAnsi="Times New Roman"/>
                <w:sz w:val="24"/>
                <w:lang w:eastAsia="en-US"/>
              </w:rPr>
            </w:pPr>
            <w:r w:rsidRPr="63452C95">
              <w:rPr>
                <w:rStyle w:val="InstructionsTabelleberschrift"/>
                <w:rFonts w:ascii="Times New Roman" w:hAnsi="Times New Roman"/>
                <w:b w:val="0"/>
                <w:bCs w:val="0"/>
                <w:sz w:val="24"/>
                <w:u w:val="none"/>
              </w:rPr>
              <w:t>The</w:t>
            </w:r>
            <w:r>
              <w:rPr>
                <w:rStyle w:val="InstructionsTabelleberschrift"/>
                <w:rFonts w:ascii="Times New Roman" w:hAnsi="Times New Roman"/>
                <w:b w:val="0"/>
                <w:bCs w:val="0"/>
                <w:sz w:val="24"/>
                <w:u w:val="none"/>
              </w:rPr>
              <w:t xml:space="preserve"> </w:t>
            </w:r>
            <w:r w:rsidRPr="63452C95">
              <w:rPr>
                <w:rStyle w:val="InstructionsTabelleberschrift"/>
                <w:rFonts w:ascii="Times New Roman" w:hAnsi="Times New Roman"/>
                <w:b w:val="0"/>
                <w:bCs w:val="0"/>
                <w:sz w:val="24"/>
                <w:u w:val="none"/>
              </w:rPr>
              <w:t>change of</w:t>
            </w:r>
            <w:r>
              <w:rPr>
                <w:rStyle w:val="InstructionsTabelleberschrift"/>
                <w:rFonts w:ascii="Times New Roman" w:hAnsi="Times New Roman"/>
                <w:b w:val="0"/>
                <w:bCs w:val="0"/>
                <w:sz w:val="24"/>
                <w:u w:val="none"/>
              </w:rPr>
              <w:t xml:space="preserve"> the</w:t>
            </w:r>
            <w:r w:rsidRPr="63452C95">
              <w:rPr>
                <w:rStyle w:val="InstructionsTabelleberschrift"/>
                <w:rFonts w:ascii="Times New Roman" w:hAnsi="Times New Roman"/>
                <w:b w:val="0"/>
                <w:bCs w:val="0"/>
                <w:sz w:val="24"/>
                <w:u w:val="none"/>
              </w:rPr>
              <w:t xml:space="preserve"> EVE under the “flattener shock” scenario specified in Article</w:t>
            </w:r>
            <w:r w:rsidR="007F62B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1, paragraph 1(d) and 3 of the </w:t>
            </w:r>
            <w:r w:rsidRPr="63452C95">
              <w:rPr>
                <w:rStyle w:val="FormatvorlageInstructionsTabelleText"/>
                <w:rFonts w:ascii="Times New Roman" w:hAnsi="Times New Roman"/>
                <w:sz w:val="24"/>
                <w:highlight w:val="lightGray"/>
              </w:rPr>
              <w:t>EBA RTS on SOT</w:t>
            </w:r>
            <w:r w:rsidRPr="63452C95">
              <w:rPr>
                <w:rStyle w:val="InstructionsTabelleberschrift"/>
                <w:rFonts w:ascii="Times New Roman" w:hAnsi="Times New Roman"/>
                <w:b w:val="0"/>
                <w:bCs w:val="0"/>
                <w:sz w:val="24"/>
                <w:u w:val="none"/>
              </w:rPr>
              <w:t>.</w:t>
            </w:r>
          </w:p>
        </w:tc>
      </w:tr>
      <w:tr w:rsidR="00B0203E" w:rsidRPr="00EC067D" w14:paraId="1F1952CB" w14:textId="77777777" w:rsidTr="63452C95">
        <w:tc>
          <w:tcPr>
            <w:tcW w:w="1129" w:type="dxa"/>
          </w:tcPr>
          <w:p w14:paraId="5BA40DF8" w14:textId="55480F05" w:rsidR="00B0203E" w:rsidRPr="004912A7" w:rsidRDefault="00B0203E" w:rsidP="0001573B">
            <w:pPr>
              <w:pStyle w:val="InstructionsText"/>
              <w:rPr>
                <w:rStyle w:val="FormatvorlageInstructionsTabelleText"/>
                <w:rFonts w:ascii="Times New Roman" w:hAnsi="Times New Roman"/>
                <w:sz w:val="24"/>
                <w:lang w:eastAsia="en-US"/>
              </w:rPr>
            </w:pPr>
            <w:r w:rsidRPr="004912A7">
              <w:rPr>
                <w:rStyle w:val="FormatvorlageInstructionsTabelleText"/>
                <w:rFonts w:ascii="Times New Roman" w:hAnsi="Times New Roman"/>
                <w:sz w:val="24"/>
              </w:rPr>
              <w:t>0</w:t>
            </w:r>
            <w:r w:rsidR="0093597F">
              <w:rPr>
                <w:rStyle w:val="FormatvorlageInstructionsTabelleText"/>
                <w:rFonts w:ascii="Times New Roman" w:hAnsi="Times New Roman"/>
                <w:sz w:val="24"/>
              </w:rPr>
              <w:t>08</w:t>
            </w:r>
            <w:r w:rsidRPr="004912A7">
              <w:rPr>
                <w:rStyle w:val="FormatvorlageInstructionsTabelleText"/>
                <w:rFonts w:ascii="Times New Roman" w:hAnsi="Times New Roman"/>
                <w:sz w:val="24"/>
              </w:rPr>
              <w:t>0</w:t>
            </w:r>
          </w:p>
        </w:tc>
        <w:tc>
          <w:tcPr>
            <w:tcW w:w="7620" w:type="dxa"/>
          </w:tcPr>
          <w:p w14:paraId="1F89F092" w14:textId="5753FF57" w:rsidR="00B0203E" w:rsidRPr="00EB4F9A" w:rsidRDefault="00B0203E"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xml:space="preserve">∆ </w:t>
            </w:r>
            <w:r w:rsidR="004F0D3D">
              <w:rPr>
                <w:rStyle w:val="InstructionsTabelleberschrift"/>
                <w:rFonts w:ascii="Times New Roman" w:hAnsi="Times New Roman"/>
                <w:sz w:val="24"/>
              </w:rPr>
              <w:t xml:space="preserve">EVE under </w:t>
            </w:r>
            <w:r w:rsidR="00420863">
              <w:rPr>
                <w:rStyle w:val="InstructionsTabelleberschrift"/>
                <w:rFonts w:ascii="Times New Roman" w:hAnsi="Times New Roman"/>
                <w:sz w:val="24"/>
              </w:rPr>
              <w:t>s</w:t>
            </w:r>
            <w:r w:rsidRPr="63452C95">
              <w:rPr>
                <w:rStyle w:val="InstructionsTabelleberschrift"/>
                <w:rFonts w:ascii="Times New Roman" w:hAnsi="Times New Roman"/>
                <w:sz w:val="24"/>
              </w:rPr>
              <w:t xml:space="preserve">hort </w:t>
            </w:r>
            <w:r w:rsidR="00420863">
              <w:rPr>
                <w:rStyle w:val="InstructionsTabelleberschrift"/>
                <w:rFonts w:ascii="Times New Roman" w:hAnsi="Times New Roman"/>
                <w:sz w:val="24"/>
              </w:rPr>
              <w:t>r</w:t>
            </w:r>
            <w:r w:rsidRPr="63452C95">
              <w:rPr>
                <w:rStyle w:val="InstructionsTabelleberschrift"/>
                <w:rFonts w:ascii="Times New Roman" w:hAnsi="Times New Roman"/>
                <w:sz w:val="24"/>
              </w:rPr>
              <w:t xml:space="preserve">ates </w:t>
            </w:r>
            <w:r w:rsidR="0093597F">
              <w:rPr>
                <w:rStyle w:val="InstructionsTabelleberschrift"/>
                <w:rFonts w:ascii="Times New Roman" w:hAnsi="Times New Roman"/>
                <w:sz w:val="24"/>
              </w:rPr>
              <w:t>s</w:t>
            </w:r>
            <w:r w:rsidRPr="63452C95">
              <w:rPr>
                <w:rStyle w:val="InstructionsTabelleberschrift"/>
                <w:rFonts w:ascii="Times New Roman" w:hAnsi="Times New Roman"/>
                <w:sz w:val="24"/>
              </w:rPr>
              <w:t xml:space="preserve">hock </w:t>
            </w:r>
            <w:r w:rsidR="0093597F">
              <w:rPr>
                <w:rStyle w:val="InstructionsTabelleberschrift"/>
                <w:rFonts w:ascii="Times New Roman" w:hAnsi="Times New Roman"/>
                <w:sz w:val="24"/>
              </w:rPr>
              <w:t>u</w:t>
            </w:r>
            <w:r w:rsidRPr="63452C95">
              <w:rPr>
                <w:rStyle w:val="InstructionsTabelleberschrift"/>
                <w:rFonts w:ascii="Times New Roman" w:hAnsi="Times New Roman"/>
                <w:sz w:val="24"/>
              </w:rPr>
              <w:t>p</w:t>
            </w:r>
          </w:p>
          <w:p w14:paraId="30FAC30B" w14:textId="4DEF7D78" w:rsidR="00B0203E" w:rsidRPr="00EC067D" w:rsidRDefault="00B0203E" w:rsidP="0001573B">
            <w:pPr>
              <w:pStyle w:val="InstructionsText"/>
              <w:rPr>
                <w:rStyle w:val="InstructionsTabelleberschrift"/>
                <w:rFonts w:ascii="Times New Roman" w:hAnsi="Times New Roman"/>
                <w:sz w:val="24"/>
                <w:lang w:eastAsia="en-US"/>
              </w:rPr>
            </w:pPr>
            <w:r w:rsidRPr="63452C95">
              <w:rPr>
                <w:rStyle w:val="InstructionsTabelleberschrift"/>
                <w:rFonts w:ascii="Times New Roman" w:hAnsi="Times New Roman"/>
                <w:b w:val="0"/>
                <w:bCs w:val="0"/>
                <w:sz w:val="24"/>
                <w:u w:val="none"/>
              </w:rPr>
              <w:t>The</w:t>
            </w:r>
            <w:r>
              <w:rPr>
                <w:rStyle w:val="InstructionsTabelleberschrift"/>
                <w:rFonts w:ascii="Times New Roman" w:hAnsi="Times New Roman"/>
                <w:b w:val="0"/>
                <w:bCs w:val="0"/>
                <w:sz w:val="24"/>
                <w:u w:val="none"/>
              </w:rPr>
              <w:t xml:space="preserve"> </w:t>
            </w:r>
            <w:r w:rsidRPr="63452C95">
              <w:rPr>
                <w:rStyle w:val="InstructionsTabelleberschrift"/>
                <w:rFonts w:ascii="Times New Roman" w:hAnsi="Times New Roman"/>
                <w:b w:val="0"/>
                <w:bCs w:val="0"/>
                <w:sz w:val="24"/>
                <w:u w:val="none"/>
              </w:rPr>
              <w:t>change of</w:t>
            </w:r>
            <w:r>
              <w:rPr>
                <w:rStyle w:val="InstructionsTabelleberschrift"/>
                <w:rFonts w:ascii="Times New Roman" w:hAnsi="Times New Roman"/>
                <w:b w:val="0"/>
                <w:bCs w:val="0"/>
                <w:sz w:val="24"/>
                <w:u w:val="none"/>
              </w:rPr>
              <w:t xml:space="preserve"> the</w:t>
            </w:r>
            <w:r w:rsidRPr="63452C95">
              <w:rPr>
                <w:rStyle w:val="InstructionsTabelleberschrift"/>
                <w:rFonts w:ascii="Times New Roman" w:hAnsi="Times New Roman"/>
                <w:b w:val="0"/>
                <w:bCs w:val="0"/>
                <w:sz w:val="24"/>
                <w:u w:val="none"/>
              </w:rPr>
              <w:t xml:space="preserve"> EVE under the “short rates shock up” scenario specified in Article</w:t>
            </w:r>
            <w:r w:rsidR="007F62B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1, paragraph 1(e) and 3 of the </w:t>
            </w:r>
            <w:r w:rsidRPr="63452C95">
              <w:rPr>
                <w:rStyle w:val="FormatvorlageInstructionsTabelleText"/>
                <w:rFonts w:ascii="Times New Roman" w:hAnsi="Times New Roman"/>
                <w:sz w:val="24"/>
                <w:highlight w:val="lightGray"/>
              </w:rPr>
              <w:t>EBA RTS on SOT</w:t>
            </w:r>
            <w:r w:rsidRPr="63452C95">
              <w:rPr>
                <w:rStyle w:val="InstructionsTabelleberschrift"/>
                <w:rFonts w:ascii="Times New Roman" w:hAnsi="Times New Roman"/>
                <w:b w:val="0"/>
                <w:bCs w:val="0"/>
                <w:sz w:val="24"/>
                <w:u w:val="none"/>
              </w:rPr>
              <w:t>.</w:t>
            </w:r>
          </w:p>
        </w:tc>
      </w:tr>
      <w:tr w:rsidR="00B0203E" w:rsidRPr="00EC067D" w14:paraId="25C6DF7C" w14:textId="77777777" w:rsidTr="63452C95">
        <w:tc>
          <w:tcPr>
            <w:tcW w:w="1129" w:type="dxa"/>
          </w:tcPr>
          <w:p w14:paraId="2989E866" w14:textId="5909BE30" w:rsidR="00B0203E" w:rsidRPr="004912A7" w:rsidRDefault="00B0203E" w:rsidP="0001573B">
            <w:pPr>
              <w:pStyle w:val="InstructionsText"/>
              <w:rPr>
                <w:rStyle w:val="FormatvorlageInstructionsTabelleText"/>
                <w:rFonts w:ascii="Times New Roman" w:hAnsi="Times New Roman"/>
                <w:sz w:val="24"/>
                <w:lang w:eastAsia="en-US"/>
              </w:rPr>
            </w:pPr>
            <w:r w:rsidRPr="004912A7">
              <w:rPr>
                <w:rStyle w:val="FormatvorlageInstructionsTabelleText"/>
                <w:rFonts w:ascii="Times New Roman" w:hAnsi="Times New Roman"/>
                <w:sz w:val="24"/>
              </w:rPr>
              <w:t>0</w:t>
            </w:r>
            <w:r w:rsidR="0093597F">
              <w:rPr>
                <w:rStyle w:val="FormatvorlageInstructionsTabelleText"/>
                <w:rFonts w:ascii="Times New Roman" w:hAnsi="Times New Roman"/>
                <w:sz w:val="24"/>
              </w:rPr>
              <w:t>09</w:t>
            </w:r>
            <w:r w:rsidRPr="004912A7">
              <w:rPr>
                <w:rStyle w:val="FormatvorlageInstructionsTabelleText"/>
                <w:rFonts w:ascii="Times New Roman" w:hAnsi="Times New Roman"/>
                <w:sz w:val="24"/>
              </w:rPr>
              <w:t>0</w:t>
            </w:r>
          </w:p>
        </w:tc>
        <w:tc>
          <w:tcPr>
            <w:tcW w:w="7620" w:type="dxa"/>
          </w:tcPr>
          <w:p w14:paraId="0350345A" w14:textId="21B26679" w:rsidR="00B0203E" w:rsidRPr="00EB4F9A" w:rsidRDefault="00B0203E"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xml:space="preserve">∆ </w:t>
            </w:r>
            <w:r w:rsidR="004F0D3D">
              <w:rPr>
                <w:rStyle w:val="InstructionsTabelleberschrift"/>
                <w:rFonts w:ascii="Times New Roman" w:hAnsi="Times New Roman"/>
                <w:sz w:val="24"/>
              </w:rPr>
              <w:t xml:space="preserve">EVE </w:t>
            </w:r>
            <w:r w:rsidR="00420863">
              <w:rPr>
                <w:rStyle w:val="InstructionsTabelleberschrift"/>
                <w:rFonts w:ascii="Times New Roman" w:hAnsi="Times New Roman"/>
                <w:sz w:val="24"/>
              </w:rPr>
              <w:t>s</w:t>
            </w:r>
            <w:r w:rsidRPr="63452C95">
              <w:rPr>
                <w:rStyle w:val="InstructionsTabelleberschrift"/>
                <w:rFonts w:ascii="Times New Roman" w:hAnsi="Times New Roman"/>
                <w:sz w:val="24"/>
              </w:rPr>
              <w:t xml:space="preserve">hort </w:t>
            </w:r>
            <w:r w:rsidR="00420863">
              <w:rPr>
                <w:rStyle w:val="InstructionsTabelleberschrift"/>
                <w:rFonts w:ascii="Times New Roman" w:hAnsi="Times New Roman"/>
                <w:sz w:val="24"/>
              </w:rPr>
              <w:t>r</w:t>
            </w:r>
            <w:r w:rsidRPr="63452C95">
              <w:rPr>
                <w:rStyle w:val="InstructionsTabelleberschrift"/>
                <w:rFonts w:ascii="Times New Roman" w:hAnsi="Times New Roman"/>
                <w:sz w:val="24"/>
              </w:rPr>
              <w:t xml:space="preserve">ates </w:t>
            </w:r>
            <w:r w:rsidR="0093597F">
              <w:rPr>
                <w:rStyle w:val="InstructionsTabelleberschrift"/>
                <w:rFonts w:ascii="Times New Roman" w:hAnsi="Times New Roman"/>
                <w:sz w:val="24"/>
              </w:rPr>
              <w:t>s</w:t>
            </w:r>
            <w:r w:rsidRPr="63452C95">
              <w:rPr>
                <w:rStyle w:val="InstructionsTabelleberschrift"/>
                <w:rFonts w:ascii="Times New Roman" w:hAnsi="Times New Roman"/>
                <w:sz w:val="24"/>
              </w:rPr>
              <w:t xml:space="preserve">hock </w:t>
            </w:r>
            <w:r w:rsidR="0093597F">
              <w:rPr>
                <w:rStyle w:val="InstructionsTabelleberschrift"/>
                <w:rFonts w:ascii="Times New Roman" w:hAnsi="Times New Roman"/>
                <w:sz w:val="24"/>
              </w:rPr>
              <w:t>d</w:t>
            </w:r>
            <w:r w:rsidRPr="63452C95">
              <w:rPr>
                <w:rStyle w:val="InstructionsTabelleberschrift"/>
                <w:rFonts w:ascii="Times New Roman" w:hAnsi="Times New Roman"/>
                <w:sz w:val="24"/>
              </w:rPr>
              <w:t>own</w:t>
            </w:r>
          </w:p>
          <w:p w14:paraId="25CC32D5" w14:textId="4B55449A" w:rsidR="00B0203E" w:rsidRPr="00EC067D" w:rsidRDefault="00B0203E" w:rsidP="0001573B">
            <w:pPr>
              <w:pStyle w:val="InstructionsText"/>
              <w:rPr>
                <w:rStyle w:val="InstructionsTabelleberschrift"/>
                <w:rFonts w:ascii="Times New Roman" w:hAnsi="Times New Roman"/>
                <w:sz w:val="24"/>
                <w:lang w:eastAsia="en-US"/>
              </w:rPr>
            </w:pPr>
            <w:r w:rsidRPr="63452C95">
              <w:rPr>
                <w:rStyle w:val="InstructionsTabelleberschrift"/>
                <w:rFonts w:ascii="Times New Roman" w:hAnsi="Times New Roman"/>
                <w:b w:val="0"/>
                <w:bCs w:val="0"/>
                <w:sz w:val="24"/>
                <w:u w:val="none"/>
              </w:rPr>
              <w:t>The</w:t>
            </w:r>
            <w:r>
              <w:rPr>
                <w:rStyle w:val="InstructionsTabelleberschrift"/>
                <w:rFonts w:ascii="Times New Roman" w:hAnsi="Times New Roman"/>
                <w:b w:val="0"/>
                <w:bCs w:val="0"/>
                <w:sz w:val="24"/>
                <w:u w:val="none"/>
              </w:rPr>
              <w:t xml:space="preserve"> </w:t>
            </w:r>
            <w:r w:rsidRPr="63452C95">
              <w:rPr>
                <w:rStyle w:val="InstructionsTabelleberschrift"/>
                <w:rFonts w:ascii="Times New Roman" w:hAnsi="Times New Roman"/>
                <w:b w:val="0"/>
                <w:bCs w:val="0"/>
                <w:sz w:val="24"/>
                <w:u w:val="none"/>
              </w:rPr>
              <w:t>change of</w:t>
            </w:r>
            <w:r>
              <w:rPr>
                <w:rStyle w:val="InstructionsTabelleberschrift"/>
                <w:rFonts w:ascii="Times New Roman" w:hAnsi="Times New Roman"/>
                <w:b w:val="0"/>
                <w:bCs w:val="0"/>
                <w:sz w:val="24"/>
                <w:u w:val="none"/>
              </w:rPr>
              <w:t xml:space="preserve"> the</w:t>
            </w:r>
            <w:r w:rsidRPr="63452C95">
              <w:rPr>
                <w:rStyle w:val="InstructionsTabelleberschrift"/>
                <w:rFonts w:ascii="Times New Roman" w:hAnsi="Times New Roman"/>
                <w:b w:val="0"/>
                <w:bCs w:val="0"/>
                <w:sz w:val="24"/>
                <w:u w:val="none"/>
              </w:rPr>
              <w:t xml:space="preserve"> EVE under the “short rates shock down” scenario specified in Article</w:t>
            </w:r>
            <w:r w:rsidR="007F62B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1, paragraph 1(f) and 3 of the </w:t>
            </w:r>
            <w:r w:rsidRPr="63452C95">
              <w:rPr>
                <w:rStyle w:val="FormatvorlageInstructionsTabelleText"/>
                <w:rFonts w:ascii="Times New Roman" w:hAnsi="Times New Roman"/>
                <w:sz w:val="24"/>
                <w:highlight w:val="lightGray"/>
              </w:rPr>
              <w:t>EBA RTS on SOT</w:t>
            </w:r>
            <w:r w:rsidRPr="63452C95">
              <w:rPr>
                <w:rStyle w:val="InstructionsTabelleberschrift"/>
                <w:rFonts w:ascii="Times New Roman" w:hAnsi="Times New Roman"/>
                <w:b w:val="0"/>
                <w:bCs w:val="0"/>
                <w:sz w:val="24"/>
                <w:u w:val="none"/>
              </w:rPr>
              <w:t>.</w:t>
            </w:r>
          </w:p>
        </w:tc>
      </w:tr>
      <w:tr w:rsidR="00B0203E" w:rsidRPr="00EC067D" w14:paraId="550C7814" w14:textId="77777777" w:rsidTr="63452C95">
        <w:tc>
          <w:tcPr>
            <w:tcW w:w="1129" w:type="dxa"/>
          </w:tcPr>
          <w:p w14:paraId="5978642C" w14:textId="7A907FB3" w:rsidR="00B0203E" w:rsidRPr="00EC067D" w:rsidRDefault="00B0203E" w:rsidP="0001573B">
            <w:pPr>
              <w:pStyle w:val="InstructionsText"/>
              <w:rPr>
                <w:rStyle w:val="FormatvorlageInstructionsTabelleText"/>
                <w:rFonts w:ascii="Times New Roman" w:hAnsi="Times New Roman"/>
                <w:sz w:val="24"/>
                <w:lang w:eastAsia="en-US"/>
              </w:rPr>
            </w:pPr>
            <w:r w:rsidRPr="63452C95">
              <w:rPr>
                <w:rStyle w:val="FormatvorlageInstructionsTabelleText"/>
                <w:rFonts w:ascii="Times New Roman" w:hAnsi="Times New Roman"/>
                <w:sz w:val="24"/>
              </w:rPr>
              <w:t>01</w:t>
            </w:r>
            <w:r w:rsidR="0023754D">
              <w:rPr>
                <w:rStyle w:val="FormatvorlageInstructionsTabelleText"/>
                <w:rFonts w:ascii="Times New Roman" w:hAnsi="Times New Roman"/>
                <w:sz w:val="24"/>
              </w:rPr>
              <w:t>0</w:t>
            </w:r>
            <w:r w:rsidRPr="63452C95">
              <w:rPr>
                <w:rStyle w:val="FormatvorlageInstructionsTabelleText"/>
                <w:rFonts w:ascii="Times New Roman" w:hAnsi="Times New Roman"/>
                <w:sz w:val="24"/>
              </w:rPr>
              <w:t>0- 01</w:t>
            </w:r>
            <w:r w:rsidR="0023754D">
              <w:rPr>
                <w:rStyle w:val="FormatvorlageInstructionsTabelleText"/>
                <w:rFonts w:ascii="Times New Roman" w:hAnsi="Times New Roman"/>
                <w:sz w:val="24"/>
              </w:rPr>
              <w:t>4</w:t>
            </w:r>
            <w:r w:rsidRPr="63452C95">
              <w:rPr>
                <w:rStyle w:val="FormatvorlageInstructionsTabelleText"/>
                <w:rFonts w:ascii="Times New Roman" w:hAnsi="Times New Roman"/>
                <w:sz w:val="24"/>
              </w:rPr>
              <w:t>0</w:t>
            </w:r>
          </w:p>
        </w:tc>
        <w:tc>
          <w:tcPr>
            <w:tcW w:w="7620" w:type="dxa"/>
          </w:tcPr>
          <w:p w14:paraId="4C372E56" w14:textId="1B90BE75" w:rsidR="00B0203E" w:rsidRDefault="00B0203E"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Net interest income</w:t>
            </w:r>
          </w:p>
          <w:p w14:paraId="5A9A4DA0" w14:textId="18158841" w:rsidR="00B0203E" w:rsidRDefault="00B0203E" w:rsidP="0001573B">
            <w:pPr>
              <w:pStyle w:val="InstructionsText"/>
              <w:rPr>
                <w:rStyle w:val="InstructionsTabelleberschrift"/>
                <w:rFonts w:ascii="Times New Roman" w:hAnsi="Times New Roman"/>
                <w:b w:val="0"/>
                <w:bCs w:val="0"/>
                <w:sz w:val="24"/>
                <w:u w:val="none"/>
              </w:rPr>
            </w:pPr>
            <w:r w:rsidRPr="63452C95">
              <w:rPr>
                <w:rStyle w:val="InstructionsTabelleberschrift"/>
                <w:rFonts w:ascii="Times New Roman" w:hAnsi="Times New Roman"/>
                <w:b w:val="0"/>
                <w:bCs w:val="0"/>
                <w:sz w:val="24"/>
                <w:u w:val="none"/>
              </w:rPr>
              <w:t xml:space="preserve">NII </w:t>
            </w:r>
            <w:r>
              <w:rPr>
                <w:rStyle w:val="InstructionsTabelleberschrift"/>
                <w:rFonts w:ascii="Times New Roman" w:hAnsi="Times New Roman"/>
                <w:b w:val="0"/>
                <w:bCs w:val="0"/>
                <w:sz w:val="24"/>
                <w:u w:val="none"/>
              </w:rPr>
              <w:t>as defined in</w:t>
            </w:r>
            <w:r w:rsidRPr="63452C95">
              <w:rPr>
                <w:rStyle w:val="InstructionsTabelleberschrift"/>
                <w:rFonts w:ascii="Times New Roman" w:hAnsi="Times New Roman"/>
                <w:b w:val="0"/>
                <w:bCs w:val="0"/>
                <w:sz w:val="24"/>
                <w:u w:val="none"/>
              </w:rPr>
              <w:t xml:space="preserve"> </w:t>
            </w:r>
            <w:r>
              <w:t xml:space="preserve">Article 98 (5), point (b) of </w:t>
            </w:r>
            <w:r w:rsidR="00BF496E">
              <w:t>the CRD</w:t>
            </w:r>
            <w:r>
              <w:t xml:space="preserve"> and specified in Article 5 of </w:t>
            </w:r>
            <w:r w:rsidRPr="63452C95">
              <w:rPr>
                <w:rStyle w:val="FormatvorlageInstructionsTabelleText"/>
                <w:rFonts w:ascii="Times New Roman" w:hAnsi="Times New Roman"/>
                <w:sz w:val="24"/>
                <w:highlight w:val="lightGray"/>
              </w:rPr>
              <w:t>EBA RTS on SOT</w:t>
            </w:r>
            <w:r>
              <w:t>.</w:t>
            </w:r>
            <w:r w:rsidRPr="63452C95">
              <w:rPr>
                <w:rStyle w:val="InstructionsTabelleberschrift"/>
                <w:rFonts w:ascii="Times New Roman" w:hAnsi="Times New Roman"/>
                <w:b w:val="0"/>
                <w:bCs w:val="0"/>
                <w:sz w:val="24"/>
                <w:u w:val="none"/>
              </w:rPr>
              <w:t xml:space="preserve"> </w:t>
            </w:r>
            <w:r>
              <w:t>Wi</w:t>
            </w:r>
            <w:r w:rsidRPr="63452C95">
              <w:rPr>
                <w:rStyle w:val="InstructionsTabelleberschrift"/>
                <w:rFonts w:ascii="Times New Roman" w:hAnsi="Times New Roman"/>
                <w:b w:val="0"/>
                <w:bCs w:val="0"/>
                <w:sz w:val="24"/>
                <w:u w:val="none"/>
              </w:rPr>
              <w:t xml:space="preserve">th regard to the modelling and parametric assumptions that are not specified in Article 5 of </w:t>
            </w:r>
            <w:r w:rsidR="00441B7D" w:rsidRPr="00C40D23">
              <w:rPr>
                <w:rStyle w:val="FormatvorlageInstructionsTabelleText"/>
                <w:rFonts w:ascii="Times New Roman" w:hAnsi="Times New Roman"/>
                <w:sz w:val="24"/>
                <w:highlight w:val="lightGray"/>
              </w:rPr>
              <w:t xml:space="preserve">EBA </w:t>
            </w:r>
            <w:r w:rsidRPr="00C40D23">
              <w:rPr>
                <w:rStyle w:val="FormatvorlageInstructionsTabelleText"/>
                <w:rFonts w:ascii="Times New Roman" w:hAnsi="Times New Roman"/>
                <w:sz w:val="24"/>
                <w:highlight w:val="lightGray"/>
              </w:rPr>
              <w:t>RTS on SOT</w:t>
            </w:r>
            <w:r w:rsidRPr="63452C95">
              <w:rPr>
                <w:rStyle w:val="InstructionsTabelleberschrift"/>
                <w:rFonts w:ascii="Times New Roman" w:hAnsi="Times New Roman"/>
                <w:b w:val="0"/>
                <w:bCs w:val="0"/>
                <w:sz w:val="24"/>
                <w:u w:val="none"/>
              </w:rPr>
              <w:t>, institutions shall use those that they employ in their IRRBB measurement and management, i.e. their internal measurement methodologies, the standardised approach or the simplified standardised approach, whatever is applicable.</w:t>
            </w:r>
          </w:p>
          <w:p w14:paraId="1481DD1E" w14:textId="54120407" w:rsidR="00A11939" w:rsidRPr="00905281" w:rsidRDefault="0008615C" w:rsidP="0001573B">
            <w:pPr>
              <w:pStyle w:val="InstructionsText"/>
              <w:rPr>
                <w:rStyle w:val="InstructionsTabelleberschrift"/>
                <w:rFonts w:ascii="Times New Roman" w:hAnsi="Times New Roman"/>
                <w:b w:val="0"/>
                <w:bCs w:val="0"/>
                <w:sz w:val="24"/>
                <w:u w:val="none"/>
              </w:rPr>
            </w:pPr>
            <w:r>
              <w:rPr>
                <w:rStyle w:val="FormatvorlageInstructionsTabelleText"/>
                <w:rFonts w:ascii="Times New Roman" w:hAnsi="Times New Roman"/>
                <w:sz w:val="24"/>
              </w:rPr>
              <w:t xml:space="preserve">Institutions shall consider the accounting treatment of hedges (i.e hedge accounting) and shall </w:t>
            </w:r>
            <w:r w:rsidRPr="00C63E64">
              <w:rPr>
                <w:rStyle w:val="FormatvorlageInstructionsTabelleText"/>
                <w:rFonts w:ascii="Times New Roman" w:hAnsi="Times New Roman"/>
                <w:sz w:val="24"/>
              </w:rPr>
              <w:t>not include the</w:t>
            </w:r>
            <w:r>
              <w:rPr>
                <w:rStyle w:val="FormatvorlageInstructionsTabelleText"/>
                <w:rFonts w:ascii="Times New Roman" w:hAnsi="Times New Roman"/>
                <w:sz w:val="24"/>
              </w:rPr>
              <w:t xml:space="preserve"> effects of</w:t>
            </w:r>
            <w:r w:rsidRPr="00C63E64">
              <w:rPr>
                <w:rStyle w:val="FormatvorlageInstructionsTabelleText"/>
                <w:rFonts w:ascii="Times New Roman" w:hAnsi="Times New Roman"/>
                <w:sz w:val="24"/>
              </w:rPr>
              <w:t xml:space="preserve"> items </w:t>
            </w:r>
            <w:r>
              <w:rPr>
                <w:rStyle w:val="FormatvorlageInstructionsTabelleText"/>
                <w:rFonts w:ascii="Times New Roman" w:hAnsi="Times New Roman"/>
                <w:sz w:val="24"/>
              </w:rPr>
              <w:t>specified in Article 33</w:t>
            </w:r>
            <w:r w:rsidR="00BF4C5B">
              <w:rPr>
                <w:rStyle w:val="FormatvorlageInstructionsTabelleText"/>
                <w:rFonts w:ascii="Times New Roman" w:hAnsi="Times New Roman"/>
                <w:sz w:val="24"/>
              </w:rPr>
              <w:t>, point 1(a)</w:t>
            </w:r>
            <w:r>
              <w:rPr>
                <w:rStyle w:val="FormatvorlageInstructionsTabelleText"/>
                <w:rFonts w:ascii="Times New Roman" w:hAnsi="Times New Roman"/>
                <w:sz w:val="24"/>
              </w:rPr>
              <w:t xml:space="preserve"> </w:t>
            </w:r>
            <w:r w:rsidR="009166F8">
              <w:rPr>
                <w:rStyle w:val="FormatvorlageInstructionsTabelleText"/>
                <w:rFonts w:ascii="Times New Roman" w:hAnsi="Times New Roman"/>
                <w:sz w:val="24"/>
              </w:rPr>
              <w:t>of the CRR</w:t>
            </w:r>
            <w:r>
              <w:rPr>
                <w:rStyle w:val="FormatvorlageInstructionsTabelleText"/>
                <w:rFonts w:ascii="Times New Roman" w:hAnsi="Times New Roman"/>
                <w:sz w:val="24"/>
              </w:rPr>
              <w:t>.</w:t>
            </w:r>
          </w:p>
        </w:tc>
      </w:tr>
      <w:tr w:rsidR="00B0203E" w:rsidRPr="00EC067D" w14:paraId="0F980DD4" w14:textId="77777777" w:rsidTr="63452C95">
        <w:tc>
          <w:tcPr>
            <w:tcW w:w="1129" w:type="dxa"/>
          </w:tcPr>
          <w:p w14:paraId="5A67693C" w14:textId="0253A2BF" w:rsidR="00B0203E" w:rsidRPr="00EC067D" w:rsidRDefault="00B0203E"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w:t>
            </w:r>
            <w:r w:rsidR="0023754D">
              <w:rPr>
                <w:rStyle w:val="FormatvorlageInstructionsTabelleText"/>
                <w:rFonts w:ascii="Times New Roman" w:hAnsi="Times New Roman"/>
                <w:sz w:val="24"/>
              </w:rPr>
              <w:t>0</w:t>
            </w:r>
            <w:r>
              <w:rPr>
                <w:rStyle w:val="FormatvorlageInstructionsTabelleText"/>
                <w:rFonts w:ascii="Times New Roman" w:hAnsi="Times New Roman"/>
                <w:sz w:val="24"/>
              </w:rPr>
              <w:t>0</w:t>
            </w:r>
          </w:p>
        </w:tc>
        <w:tc>
          <w:tcPr>
            <w:tcW w:w="7620" w:type="dxa"/>
          </w:tcPr>
          <w:p w14:paraId="1C6833A3" w14:textId="0DF22290" w:rsidR="00B0203E" w:rsidRDefault="00B0203E"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xml:space="preserve">∆ NII </w:t>
            </w:r>
            <w:r w:rsidR="005132CD">
              <w:rPr>
                <w:rStyle w:val="InstructionsTabelleberschrift"/>
                <w:rFonts w:ascii="Times New Roman" w:hAnsi="Times New Roman"/>
                <w:sz w:val="24"/>
              </w:rPr>
              <w:t xml:space="preserve">under </w:t>
            </w:r>
            <w:r>
              <w:rPr>
                <w:rStyle w:val="InstructionsTabelleberschrift"/>
                <w:rFonts w:ascii="Times New Roman" w:hAnsi="Times New Roman"/>
                <w:sz w:val="24"/>
              </w:rPr>
              <w:t>worst scenario</w:t>
            </w:r>
          </w:p>
          <w:p w14:paraId="0E312D00" w14:textId="6D07087B" w:rsidR="00B0203E" w:rsidRPr="00EC067D" w:rsidRDefault="00B0203E" w:rsidP="0001573B">
            <w:pPr>
              <w:pStyle w:val="InstructionsText"/>
              <w:rPr>
                <w:rStyle w:val="InstructionsTabelleberschrift"/>
                <w:rFonts w:ascii="Times New Roman" w:hAnsi="Times New Roman"/>
                <w:sz w:val="24"/>
                <w:lang w:eastAsia="en-US"/>
              </w:rPr>
            </w:pPr>
            <w:r w:rsidRPr="63452C95">
              <w:rPr>
                <w:rStyle w:val="InstructionsTabelleberschrift"/>
                <w:rFonts w:ascii="Times New Roman" w:hAnsi="Times New Roman"/>
                <w:b w:val="0"/>
                <w:bCs w:val="0"/>
                <w:sz w:val="24"/>
                <w:u w:val="none"/>
              </w:rPr>
              <w:t>The change of the one-year NII under the supervisory shock scenarios</w:t>
            </w:r>
            <w:r>
              <w:rPr>
                <w:rStyle w:val="InstructionsTabelleberschrift"/>
                <w:rFonts w:ascii="Times New Roman" w:hAnsi="Times New Roman"/>
                <w:b w:val="0"/>
                <w:bCs w:val="0"/>
                <w:sz w:val="24"/>
                <w:u w:val="none"/>
              </w:rPr>
              <w:t xml:space="preserve"> </w:t>
            </w:r>
            <w:r w:rsidR="004F0D3D">
              <w:rPr>
                <w:rStyle w:val="InstructionsTabelleberschrift"/>
                <w:rFonts w:ascii="Times New Roman" w:hAnsi="Times New Roman"/>
                <w:b w:val="0"/>
                <w:bCs w:val="0"/>
                <w:sz w:val="24"/>
                <w:u w:val="none"/>
              </w:rPr>
              <w:t xml:space="preserve">from </w:t>
            </w:r>
            <w:r w:rsidR="004F0D3D" w:rsidRPr="63452C95">
              <w:rPr>
                <w:rStyle w:val="FormatvorlageInstructionsTabelleText"/>
                <w:rFonts w:ascii="Times New Roman" w:hAnsi="Times New Roman"/>
                <w:sz w:val="24"/>
              </w:rPr>
              <w:t xml:space="preserve">Article 1(2) of </w:t>
            </w:r>
            <w:r w:rsidR="004F0D3D" w:rsidRPr="63452C95">
              <w:rPr>
                <w:rStyle w:val="FormatvorlageInstructionsTabelleText"/>
                <w:rFonts w:ascii="Times New Roman" w:hAnsi="Times New Roman"/>
                <w:sz w:val="24"/>
                <w:highlight w:val="lightGray"/>
              </w:rPr>
              <w:t>EBA RTS on SOT</w:t>
            </w:r>
            <w:r w:rsidR="004F0D3D" w:rsidRPr="63452C95">
              <w:rPr>
                <w:rStyle w:val="FormatvorlageInstructionsTabelleText"/>
                <w:rFonts w:ascii="Times New Roman" w:hAnsi="Times New Roman"/>
                <w:sz w:val="24"/>
              </w:rPr>
              <w:t xml:space="preserve"> causing the largest decline of </w:t>
            </w:r>
            <w:r w:rsidR="000B487B">
              <w:rPr>
                <w:rStyle w:val="FormatvorlageInstructionsTabelleText"/>
                <w:rFonts w:ascii="Times New Roman" w:hAnsi="Times New Roman"/>
                <w:sz w:val="24"/>
              </w:rPr>
              <w:t>NII</w:t>
            </w:r>
            <w:r w:rsidR="004F0D3D" w:rsidRPr="63452C95">
              <w:rPr>
                <w:rStyle w:val="FormatvorlageInstructionsTabelleText"/>
                <w:rFonts w:ascii="Times New Roman" w:hAnsi="Times New Roman"/>
                <w:sz w:val="24"/>
              </w:rPr>
              <w:t>.</w:t>
            </w:r>
            <w:r w:rsidR="004F0D3D">
              <w:rPr>
                <w:rStyle w:val="FormatvorlageInstructionsTabelleText"/>
              </w:rPr>
              <w:t xml:space="preserve"> </w:t>
            </w:r>
            <w:r w:rsidR="007513C2" w:rsidRPr="00AB28F5">
              <w:rPr>
                <w:rStyle w:val="FormatvorlageInstructionsTabelleText"/>
                <w:rFonts w:ascii="Times New Roman" w:hAnsi="Times New Roman"/>
                <w:sz w:val="24"/>
              </w:rPr>
              <w:t xml:space="preserve">The worst outcome from the values in rows </w:t>
            </w:r>
            <w:r>
              <w:rPr>
                <w:rStyle w:val="InstructionsTabelleberschrift"/>
                <w:rFonts w:ascii="Times New Roman" w:hAnsi="Times New Roman"/>
                <w:b w:val="0"/>
                <w:bCs w:val="0"/>
                <w:sz w:val="24"/>
                <w:u w:val="none"/>
              </w:rPr>
              <w:t>01</w:t>
            </w:r>
            <w:r w:rsidR="004F0D3D">
              <w:rPr>
                <w:rStyle w:val="InstructionsTabelleberschrift"/>
                <w:rFonts w:ascii="Times New Roman" w:hAnsi="Times New Roman"/>
                <w:b w:val="0"/>
                <w:bCs w:val="0"/>
                <w:sz w:val="24"/>
                <w:u w:val="none"/>
              </w:rPr>
              <w:t>3</w:t>
            </w:r>
            <w:r>
              <w:rPr>
                <w:rStyle w:val="InstructionsTabelleberschrift"/>
                <w:rFonts w:ascii="Times New Roman" w:hAnsi="Times New Roman"/>
                <w:b w:val="0"/>
                <w:bCs w:val="0"/>
                <w:sz w:val="24"/>
                <w:u w:val="none"/>
              </w:rPr>
              <w:t>0 to 01</w:t>
            </w:r>
            <w:r w:rsidR="00BC1B09">
              <w:rPr>
                <w:rStyle w:val="InstructionsTabelleberschrift"/>
                <w:rFonts w:ascii="Times New Roman" w:hAnsi="Times New Roman"/>
                <w:b w:val="0"/>
                <w:bCs w:val="0"/>
                <w:sz w:val="24"/>
                <w:u w:val="none"/>
              </w:rPr>
              <w:t>4</w:t>
            </w:r>
            <w:r>
              <w:rPr>
                <w:rStyle w:val="InstructionsTabelleberschrift"/>
                <w:rFonts w:ascii="Times New Roman" w:hAnsi="Times New Roman"/>
                <w:b w:val="0"/>
                <w:bCs w:val="0"/>
                <w:sz w:val="24"/>
                <w:u w:val="none"/>
              </w:rPr>
              <w:t>0</w:t>
            </w:r>
            <w:r w:rsidRPr="63452C95">
              <w:rPr>
                <w:rStyle w:val="InstructionsTabelleberschrift"/>
                <w:rFonts w:ascii="Times New Roman" w:hAnsi="Times New Roman"/>
                <w:b w:val="0"/>
                <w:bCs w:val="0"/>
                <w:sz w:val="24"/>
                <w:u w:val="none"/>
              </w:rPr>
              <w:t xml:space="preserve"> </w:t>
            </w:r>
            <w:r w:rsidR="00497871">
              <w:rPr>
                <w:rStyle w:val="FormatvorlageInstructionsTabelleText"/>
                <w:rFonts w:ascii="Times New Roman" w:hAnsi="Times New Roman"/>
                <w:sz w:val="24"/>
              </w:rPr>
              <w:t xml:space="preserve">shall </w:t>
            </w:r>
            <w:r w:rsidR="009451F3">
              <w:rPr>
                <w:rStyle w:val="FormatvorlageInstructionsTabelleText"/>
                <w:rFonts w:ascii="Times New Roman" w:hAnsi="Times New Roman"/>
                <w:sz w:val="24"/>
              </w:rPr>
              <w:t xml:space="preserve">be reported </w:t>
            </w:r>
            <w:r w:rsidR="0088619E">
              <w:rPr>
                <w:rStyle w:val="FormatvorlageInstructionsTabelleText"/>
                <w:rFonts w:ascii="Times New Roman" w:hAnsi="Times New Roman"/>
                <w:sz w:val="24"/>
              </w:rPr>
              <w:t>in this row</w:t>
            </w:r>
            <w:r w:rsidR="004F0D3D">
              <w:rPr>
                <w:rStyle w:val="FormatvorlageInstructionsTabelleText"/>
                <w:rFonts w:ascii="Times New Roman" w:hAnsi="Times New Roman"/>
                <w:sz w:val="24"/>
              </w:rPr>
              <w:t>.</w:t>
            </w:r>
            <w:r w:rsidR="004F0D3D" w:rsidRPr="63452C95">
              <w:rPr>
                <w:rStyle w:val="InstructionsTabelleberschrift"/>
                <w:rFonts w:ascii="Times New Roman" w:hAnsi="Times New Roman"/>
                <w:b w:val="0"/>
                <w:bCs w:val="0"/>
                <w:sz w:val="24"/>
                <w:u w:val="none"/>
              </w:rPr>
              <w:t xml:space="preserve"> </w:t>
            </w:r>
          </w:p>
        </w:tc>
      </w:tr>
      <w:tr w:rsidR="009E5DE6" w:rsidRPr="00EC067D" w14:paraId="3F6F82BB" w14:textId="77777777" w:rsidTr="63452C95">
        <w:tc>
          <w:tcPr>
            <w:tcW w:w="1129" w:type="dxa"/>
          </w:tcPr>
          <w:p w14:paraId="3D3E8435" w14:textId="6C475191" w:rsidR="009E5DE6" w:rsidRDefault="009E5DE6"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w:t>
            </w:r>
            <w:r w:rsidR="00F26924">
              <w:rPr>
                <w:rStyle w:val="FormatvorlageInstructionsTabelleText"/>
                <w:rFonts w:ascii="Times New Roman" w:hAnsi="Times New Roman"/>
                <w:sz w:val="24"/>
              </w:rPr>
              <w:t>1</w:t>
            </w:r>
            <w:r>
              <w:rPr>
                <w:rStyle w:val="FormatvorlageInstructionsTabelleText"/>
                <w:rFonts w:ascii="Times New Roman" w:hAnsi="Times New Roman"/>
                <w:sz w:val="24"/>
              </w:rPr>
              <w:t>0</w:t>
            </w:r>
          </w:p>
        </w:tc>
        <w:tc>
          <w:tcPr>
            <w:tcW w:w="7620" w:type="dxa"/>
          </w:tcPr>
          <w:p w14:paraId="7CED9633" w14:textId="512F2026" w:rsidR="00227983" w:rsidRDefault="00F64CCF"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xml:space="preserve">∆ NII </w:t>
            </w:r>
            <w:r w:rsidR="001A0C98">
              <w:rPr>
                <w:rStyle w:val="InstructionsTabelleberschrift"/>
                <w:rFonts w:ascii="Times New Roman" w:hAnsi="Times New Roman"/>
                <w:sz w:val="24"/>
              </w:rPr>
              <w:t>r</w:t>
            </w:r>
            <w:r>
              <w:rPr>
                <w:rStyle w:val="InstructionsTabelleberschrift"/>
                <w:rFonts w:ascii="Times New Roman" w:hAnsi="Times New Roman"/>
                <w:sz w:val="24"/>
              </w:rPr>
              <w:t xml:space="preserve">atio </w:t>
            </w:r>
            <w:r w:rsidR="005132CD">
              <w:rPr>
                <w:rStyle w:val="InstructionsTabelleberschrift"/>
                <w:rFonts w:ascii="Times New Roman" w:hAnsi="Times New Roman"/>
                <w:sz w:val="24"/>
              </w:rPr>
              <w:t xml:space="preserve">under </w:t>
            </w:r>
            <w:r>
              <w:rPr>
                <w:rStyle w:val="InstructionsTabelleberschrift"/>
                <w:rFonts w:ascii="Times New Roman" w:hAnsi="Times New Roman"/>
                <w:sz w:val="24"/>
              </w:rPr>
              <w:t>worst scenario</w:t>
            </w:r>
          </w:p>
          <w:p w14:paraId="2262B2BB" w14:textId="25153A3A" w:rsidR="009E5DE6" w:rsidRDefault="009E5DE6"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bCs w:val="0"/>
                <w:sz w:val="24"/>
                <w:u w:val="none"/>
              </w:rPr>
              <w:t xml:space="preserve">The </w:t>
            </w:r>
            <w:r w:rsidR="00E115F2">
              <w:rPr>
                <w:rStyle w:val="InstructionsTabelleberschrift"/>
                <w:rFonts w:ascii="Times New Roman" w:hAnsi="Times New Roman"/>
                <w:b w:val="0"/>
                <w:bCs w:val="0"/>
                <w:sz w:val="24"/>
                <w:u w:val="none"/>
              </w:rPr>
              <w:t xml:space="preserve">ratio </w:t>
            </w:r>
            <w:r w:rsidR="0050227C">
              <w:rPr>
                <w:rStyle w:val="InstructionsTabelleberschrift"/>
                <w:rFonts w:ascii="Times New Roman" w:hAnsi="Times New Roman"/>
                <w:b w:val="0"/>
                <w:bCs w:val="0"/>
                <w:sz w:val="24"/>
                <w:u w:val="none"/>
              </w:rPr>
              <w:t>of the value reported in row 0100</w:t>
            </w:r>
            <w:r w:rsidR="00227983">
              <w:rPr>
                <w:rStyle w:val="InstructionsTabelleberschrift"/>
                <w:rFonts w:ascii="Times New Roman" w:hAnsi="Times New Roman"/>
                <w:b w:val="0"/>
                <w:bCs w:val="0"/>
                <w:sz w:val="24"/>
                <w:u w:val="none"/>
              </w:rPr>
              <w:t xml:space="preserve"> </w:t>
            </w:r>
            <w:r w:rsidR="00E115F2">
              <w:rPr>
                <w:rStyle w:val="InstructionsTabelleberschrift"/>
                <w:rFonts w:ascii="Times New Roman" w:hAnsi="Times New Roman"/>
                <w:b w:val="0"/>
                <w:bCs w:val="0"/>
                <w:sz w:val="24"/>
                <w:u w:val="none"/>
              </w:rPr>
              <w:t>to</w:t>
            </w:r>
            <w:r>
              <w:rPr>
                <w:rStyle w:val="InstructionsTabelleberschrift"/>
                <w:rFonts w:ascii="Times New Roman" w:hAnsi="Times New Roman"/>
                <w:b w:val="0"/>
                <w:bCs w:val="0"/>
                <w:sz w:val="24"/>
                <w:u w:val="none"/>
              </w:rPr>
              <w:t xml:space="preserve"> Tier 1 </w:t>
            </w:r>
            <w:r w:rsidR="2B075879" w:rsidRPr="4A029CA3">
              <w:rPr>
                <w:rStyle w:val="InstructionsTabelleberschrift"/>
                <w:rFonts w:ascii="Times New Roman" w:hAnsi="Times New Roman"/>
                <w:b w:val="0"/>
                <w:bCs w:val="0"/>
                <w:sz w:val="24"/>
                <w:u w:val="none"/>
              </w:rPr>
              <w:t>capital</w:t>
            </w:r>
            <w:r w:rsidR="000973E0">
              <w:rPr>
                <w:rStyle w:val="InstructionsTabelleberschrift"/>
                <w:rFonts w:ascii="Times New Roman" w:hAnsi="Times New Roman"/>
                <w:b w:val="0"/>
                <w:bCs w:val="0"/>
                <w:sz w:val="24"/>
                <w:u w:val="none"/>
              </w:rPr>
              <w:t xml:space="preserve"> </w:t>
            </w:r>
            <w:r w:rsidR="000973E0" w:rsidRPr="00B137C4">
              <w:rPr>
                <w:lang w:val="en-US"/>
              </w:rPr>
              <w:t xml:space="preserve">determined </w:t>
            </w:r>
            <w:r w:rsidR="000973E0">
              <w:rPr>
                <w:lang w:val="en-US"/>
              </w:rPr>
              <w:t>according to Article 25 of CRR</w:t>
            </w:r>
            <w:r w:rsidR="00227983">
              <w:rPr>
                <w:rStyle w:val="InstructionsTabelleberschrift"/>
                <w:rFonts w:ascii="Times New Roman" w:hAnsi="Times New Roman"/>
                <w:b w:val="0"/>
                <w:bCs w:val="0"/>
                <w:sz w:val="24"/>
                <w:u w:val="none"/>
              </w:rPr>
              <w:t>.</w:t>
            </w:r>
          </w:p>
        </w:tc>
      </w:tr>
      <w:tr w:rsidR="009F50A3" w:rsidRPr="00EC067D" w14:paraId="3C0AB8F1" w14:textId="77777777" w:rsidTr="63452C95">
        <w:tc>
          <w:tcPr>
            <w:tcW w:w="1129" w:type="dxa"/>
          </w:tcPr>
          <w:p w14:paraId="575733AA" w14:textId="200097E1" w:rsidR="009F50A3" w:rsidRPr="00EC067D" w:rsidRDefault="009F50A3"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w:t>
            </w:r>
            <w:r w:rsidR="00BB2063">
              <w:rPr>
                <w:rStyle w:val="FormatvorlageInstructionsTabelleText"/>
                <w:rFonts w:ascii="Times New Roman" w:hAnsi="Times New Roman"/>
                <w:sz w:val="24"/>
              </w:rPr>
              <w:t>2</w:t>
            </w:r>
            <w:r>
              <w:rPr>
                <w:rStyle w:val="FormatvorlageInstructionsTabelleText"/>
                <w:rFonts w:ascii="Times New Roman" w:hAnsi="Times New Roman"/>
                <w:sz w:val="24"/>
              </w:rPr>
              <w:t>0- 01</w:t>
            </w:r>
            <w:r w:rsidR="00BB2063">
              <w:rPr>
                <w:rStyle w:val="FormatvorlageInstructionsTabelleText"/>
                <w:rFonts w:ascii="Times New Roman" w:hAnsi="Times New Roman"/>
                <w:sz w:val="24"/>
              </w:rPr>
              <w:t>4</w:t>
            </w:r>
            <w:r>
              <w:rPr>
                <w:rStyle w:val="FormatvorlageInstructionsTabelleText"/>
                <w:rFonts w:ascii="Times New Roman" w:hAnsi="Times New Roman"/>
                <w:sz w:val="24"/>
              </w:rPr>
              <w:t>0</w:t>
            </w:r>
          </w:p>
        </w:tc>
        <w:tc>
          <w:tcPr>
            <w:tcW w:w="7620" w:type="dxa"/>
          </w:tcPr>
          <w:p w14:paraId="674E2DEC" w14:textId="79C7A2D5" w:rsidR="00F26924" w:rsidRDefault="0085527D"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NII under baseline and s</w:t>
            </w:r>
            <w:r w:rsidR="00F26924">
              <w:rPr>
                <w:rStyle w:val="InstructionsTabelleberschrift"/>
                <w:rFonts w:ascii="Times New Roman" w:hAnsi="Times New Roman"/>
                <w:sz w:val="24"/>
              </w:rPr>
              <w:t>upervisory shock scenarios</w:t>
            </w:r>
          </w:p>
          <w:p w14:paraId="29D06DA2" w14:textId="6F615D02" w:rsidR="001768A4" w:rsidRPr="00EC067D" w:rsidRDefault="00E115F2" w:rsidP="0001573B">
            <w:pPr>
              <w:pStyle w:val="InstructionsText"/>
              <w:rPr>
                <w:rStyle w:val="FormatvorlageInstructionsTabelleText"/>
                <w:rFonts w:ascii="Times New Roman" w:hAnsi="Times New Roman"/>
                <w:sz w:val="24"/>
              </w:rPr>
            </w:pPr>
            <w:r>
              <w:rPr>
                <w:rStyle w:val="InstructionsTabelleberschrift"/>
                <w:rFonts w:ascii="Times New Roman" w:hAnsi="Times New Roman"/>
                <w:b w:val="0"/>
                <w:bCs w:val="0"/>
                <w:sz w:val="24"/>
                <w:u w:val="none"/>
              </w:rPr>
              <w:t xml:space="preserve">NII level under the baseline scenario and </w:t>
            </w:r>
            <w:r w:rsidR="0085527D">
              <w:rPr>
                <w:rStyle w:val="InstructionsTabelleberschrift"/>
                <w:rFonts w:ascii="Times New Roman" w:hAnsi="Times New Roman"/>
                <w:b w:val="0"/>
                <w:bCs w:val="0"/>
                <w:sz w:val="24"/>
                <w:u w:val="none"/>
              </w:rPr>
              <w:t>Δ</w:t>
            </w:r>
            <w:r w:rsidR="00CD3A68">
              <w:rPr>
                <w:rStyle w:val="InstructionsTabelleberschrift"/>
                <w:rFonts w:ascii="Times New Roman" w:hAnsi="Times New Roman"/>
                <w:b w:val="0"/>
                <w:bCs w:val="0"/>
                <w:sz w:val="24"/>
                <w:u w:val="none"/>
              </w:rPr>
              <w:t xml:space="preserve"> </w:t>
            </w:r>
            <w:r w:rsidR="0085527D">
              <w:rPr>
                <w:rStyle w:val="InstructionsTabelleberschrift"/>
                <w:rFonts w:ascii="Times New Roman" w:hAnsi="Times New Roman"/>
                <w:b w:val="0"/>
                <w:bCs w:val="0"/>
                <w:sz w:val="24"/>
                <w:u w:val="none"/>
              </w:rPr>
              <w:t xml:space="preserve">NII under </w:t>
            </w:r>
            <w:r>
              <w:rPr>
                <w:rStyle w:val="InstructionsTabelleberschrift"/>
                <w:rFonts w:ascii="Times New Roman" w:hAnsi="Times New Roman"/>
                <w:b w:val="0"/>
                <w:bCs w:val="0"/>
                <w:sz w:val="24"/>
                <w:u w:val="none"/>
              </w:rPr>
              <w:t>s</w:t>
            </w:r>
            <w:r w:rsidR="70800EFF" w:rsidRPr="34CF7408">
              <w:rPr>
                <w:rStyle w:val="InstructionsTabelleberschrift"/>
                <w:rFonts w:ascii="Times New Roman" w:hAnsi="Times New Roman"/>
                <w:b w:val="0"/>
                <w:bCs w:val="0"/>
                <w:sz w:val="24"/>
                <w:u w:val="none"/>
              </w:rPr>
              <w:t xml:space="preserve">upervisory shock scenarios </w:t>
            </w:r>
            <w:r w:rsidR="0085527D">
              <w:rPr>
                <w:rStyle w:val="InstructionsTabelleberschrift"/>
                <w:rFonts w:ascii="Times New Roman" w:hAnsi="Times New Roman"/>
                <w:b w:val="0"/>
                <w:bCs w:val="0"/>
                <w:sz w:val="24"/>
                <w:u w:val="none"/>
              </w:rPr>
              <w:t>from</w:t>
            </w:r>
            <w:r w:rsidR="70800EFF" w:rsidRPr="34CF7408">
              <w:rPr>
                <w:rStyle w:val="InstructionsTabelleberschrift"/>
                <w:rFonts w:ascii="Times New Roman" w:hAnsi="Times New Roman"/>
                <w:b w:val="0"/>
                <w:bCs w:val="0"/>
                <w:sz w:val="24"/>
                <w:u w:val="none"/>
              </w:rPr>
              <w:t xml:space="preserve"> </w:t>
            </w:r>
            <w:r w:rsidR="70800EFF" w:rsidRPr="34CF7408">
              <w:rPr>
                <w:rStyle w:val="FormatvorlageInstructionsTabelleText"/>
                <w:rFonts w:ascii="Times New Roman" w:hAnsi="Times New Roman"/>
                <w:sz w:val="24"/>
              </w:rPr>
              <w:t xml:space="preserve">Article 1(2) of </w:t>
            </w:r>
            <w:r w:rsidR="70800EFF" w:rsidRPr="34CF7408">
              <w:rPr>
                <w:rStyle w:val="FormatvorlageInstructionsTabelleText"/>
                <w:rFonts w:ascii="Times New Roman" w:hAnsi="Times New Roman"/>
                <w:sz w:val="24"/>
                <w:highlight w:val="lightGray"/>
              </w:rPr>
              <w:t>EBA RTS on SOT</w:t>
            </w:r>
            <w:r w:rsidR="70800EFF" w:rsidRPr="34CF7408">
              <w:rPr>
                <w:rStyle w:val="FormatvorlageInstructionsTabelleText"/>
                <w:rFonts w:ascii="Times New Roman" w:hAnsi="Times New Roman"/>
                <w:sz w:val="24"/>
              </w:rPr>
              <w:t>.</w:t>
            </w:r>
          </w:p>
        </w:tc>
      </w:tr>
      <w:tr w:rsidR="00B1769B" w:rsidRPr="00EC067D" w14:paraId="74B9F5A4" w14:textId="77777777" w:rsidTr="63452C95">
        <w:tc>
          <w:tcPr>
            <w:tcW w:w="1129" w:type="dxa"/>
          </w:tcPr>
          <w:p w14:paraId="6ACD054A" w14:textId="3334CDA1" w:rsidR="00B1769B" w:rsidRDefault="00B1769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0120</w:t>
            </w:r>
          </w:p>
        </w:tc>
        <w:tc>
          <w:tcPr>
            <w:tcW w:w="7620" w:type="dxa"/>
          </w:tcPr>
          <w:p w14:paraId="5BBF8A3D" w14:textId="56061FD0" w:rsidR="00B1769B" w:rsidRPr="00EB4F9A" w:rsidRDefault="0085527D"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Level of NII under b</w:t>
            </w:r>
            <w:r w:rsidR="00B1769B" w:rsidRPr="63452C95">
              <w:rPr>
                <w:rStyle w:val="InstructionsTabelleberschrift"/>
                <w:rFonts w:ascii="Times New Roman" w:hAnsi="Times New Roman"/>
                <w:sz w:val="24"/>
              </w:rPr>
              <w:t xml:space="preserve">aseline scenario </w:t>
            </w:r>
          </w:p>
          <w:p w14:paraId="5650CC49" w14:textId="284C5280" w:rsidR="00B1769B" w:rsidDel="008C1F5D" w:rsidRDefault="00B1769B"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b w:val="0"/>
                <w:bCs w:val="0"/>
                <w:sz w:val="24"/>
                <w:u w:val="none"/>
              </w:rPr>
              <w:t>NII level under the baseline interest rate scenario as of the reference date</w:t>
            </w:r>
          </w:p>
        </w:tc>
      </w:tr>
      <w:tr w:rsidR="00B1769B" w:rsidRPr="00EC067D" w14:paraId="5A23CC83" w14:textId="77777777" w:rsidTr="63452C95">
        <w:tc>
          <w:tcPr>
            <w:tcW w:w="1129" w:type="dxa"/>
          </w:tcPr>
          <w:p w14:paraId="0265CE45" w14:textId="2A0AC21C" w:rsidR="00B1769B" w:rsidRPr="00EC067D" w:rsidRDefault="00B1769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0130</w:t>
            </w:r>
          </w:p>
        </w:tc>
        <w:tc>
          <w:tcPr>
            <w:tcW w:w="7620" w:type="dxa"/>
          </w:tcPr>
          <w:p w14:paraId="7CB62F0F" w14:textId="33A0680E" w:rsidR="00B1769B" w:rsidRPr="00EB4F9A" w:rsidRDefault="00B1769B"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w:t>
            </w:r>
            <w:r w:rsidR="002C7419">
              <w:rPr>
                <w:rStyle w:val="InstructionsTabelleberschrift"/>
                <w:rFonts w:ascii="Times New Roman" w:hAnsi="Times New Roman"/>
                <w:sz w:val="24"/>
              </w:rPr>
              <w:t>NII under p</w:t>
            </w:r>
            <w:r w:rsidRPr="63452C95">
              <w:rPr>
                <w:rStyle w:val="InstructionsTabelleberschrift"/>
                <w:rFonts w:ascii="Times New Roman" w:hAnsi="Times New Roman"/>
                <w:sz w:val="24"/>
              </w:rPr>
              <w:t xml:space="preserve">arallel </w:t>
            </w:r>
            <w:r>
              <w:rPr>
                <w:rStyle w:val="InstructionsTabelleberschrift"/>
                <w:rFonts w:ascii="Times New Roman" w:hAnsi="Times New Roman"/>
                <w:sz w:val="24"/>
              </w:rPr>
              <w:t>s</w:t>
            </w:r>
            <w:r w:rsidRPr="63452C95">
              <w:rPr>
                <w:rStyle w:val="InstructionsTabelleberschrift"/>
                <w:rFonts w:ascii="Times New Roman" w:hAnsi="Times New Roman"/>
                <w:sz w:val="24"/>
              </w:rPr>
              <w:t xml:space="preserve">hock </w:t>
            </w:r>
            <w:r>
              <w:rPr>
                <w:rStyle w:val="InstructionsTabelleberschrift"/>
                <w:rFonts w:ascii="Times New Roman" w:hAnsi="Times New Roman"/>
                <w:sz w:val="24"/>
              </w:rPr>
              <w:t>u</w:t>
            </w:r>
            <w:r w:rsidRPr="63452C95">
              <w:rPr>
                <w:rStyle w:val="InstructionsTabelleberschrift"/>
                <w:rFonts w:ascii="Times New Roman" w:hAnsi="Times New Roman"/>
                <w:sz w:val="24"/>
              </w:rPr>
              <w:t>p</w:t>
            </w:r>
          </w:p>
          <w:p w14:paraId="1B5D0209" w14:textId="36019F3C" w:rsidR="00B1769B" w:rsidRPr="00341E14" w:rsidRDefault="00B1769B" w:rsidP="0001573B">
            <w:pPr>
              <w:pStyle w:val="InstructionsText"/>
              <w:rPr>
                <w:rStyle w:val="InstructionsTabelleberschrift"/>
                <w:rFonts w:ascii="Times New Roman" w:hAnsi="Times New Roman"/>
                <w:b w:val="0"/>
                <w:sz w:val="24"/>
                <w:u w:val="none"/>
                <w:lang w:eastAsia="en-US"/>
              </w:rPr>
            </w:pPr>
            <w:r w:rsidRPr="63452C95">
              <w:rPr>
                <w:rStyle w:val="InstructionsTabelleberschrift"/>
                <w:rFonts w:ascii="Times New Roman" w:hAnsi="Times New Roman"/>
                <w:b w:val="0"/>
                <w:bCs w:val="0"/>
                <w:sz w:val="24"/>
                <w:u w:val="none"/>
              </w:rPr>
              <w:t>The</w:t>
            </w:r>
            <w:r>
              <w:rPr>
                <w:rStyle w:val="InstructionsTabelleberschrift"/>
                <w:rFonts w:ascii="Times New Roman" w:hAnsi="Times New Roman"/>
                <w:b w:val="0"/>
                <w:bCs w:val="0"/>
                <w:sz w:val="24"/>
                <w:u w:val="none"/>
              </w:rPr>
              <w:t xml:space="preserve"> </w:t>
            </w:r>
            <w:r w:rsidRPr="63452C95">
              <w:rPr>
                <w:rStyle w:val="InstructionsTabelleberschrift"/>
                <w:rFonts w:ascii="Times New Roman" w:hAnsi="Times New Roman"/>
                <w:b w:val="0"/>
                <w:bCs w:val="0"/>
                <w:sz w:val="24"/>
                <w:u w:val="none"/>
              </w:rPr>
              <w:t xml:space="preserve">change of </w:t>
            </w:r>
            <w:r>
              <w:rPr>
                <w:rStyle w:val="InstructionsTabelleberschrift"/>
                <w:rFonts w:ascii="Times New Roman" w:hAnsi="Times New Roman"/>
                <w:b w:val="0"/>
                <w:bCs w:val="0"/>
                <w:sz w:val="24"/>
                <w:u w:val="none"/>
              </w:rPr>
              <w:t xml:space="preserve">the </w:t>
            </w:r>
            <w:r w:rsidRPr="63452C95">
              <w:rPr>
                <w:rStyle w:val="InstructionsTabelleberschrift"/>
                <w:rFonts w:ascii="Times New Roman" w:hAnsi="Times New Roman"/>
                <w:b w:val="0"/>
                <w:bCs w:val="0"/>
                <w:sz w:val="24"/>
                <w:u w:val="none"/>
              </w:rPr>
              <w:t>NII under the “parallel shock up” scenario specified in Article</w:t>
            </w:r>
            <w:r w:rsidR="007F62B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1, paragraph 2(a) and 3 of the </w:t>
            </w:r>
            <w:r w:rsidRPr="63452C95">
              <w:rPr>
                <w:rStyle w:val="FormatvorlageInstructionsTabelleText"/>
                <w:rFonts w:ascii="Times New Roman" w:hAnsi="Times New Roman"/>
                <w:sz w:val="24"/>
                <w:highlight w:val="lightGray"/>
              </w:rPr>
              <w:t>EBA RTS on SOT</w:t>
            </w:r>
            <w:r w:rsidRPr="63452C95">
              <w:rPr>
                <w:rStyle w:val="InstructionsTabelleberschrift"/>
                <w:rFonts w:ascii="Times New Roman" w:hAnsi="Times New Roman"/>
                <w:b w:val="0"/>
                <w:bCs w:val="0"/>
                <w:sz w:val="24"/>
                <w:u w:val="none"/>
              </w:rPr>
              <w:t>.</w:t>
            </w:r>
          </w:p>
        </w:tc>
      </w:tr>
      <w:tr w:rsidR="00B1769B" w:rsidRPr="00EC067D" w14:paraId="3A41310B" w14:textId="77777777" w:rsidTr="63452C95">
        <w:tc>
          <w:tcPr>
            <w:tcW w:w="1129" w:type="dxa"/>
          </w:tcPr>
          <w:p w14:paraId="2A69B51A" w14:textId="0BBDEA22" w:rsidR="00B1769B" w:rsidRPr="00EC067D" w:rsidRDefault="00B1769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0140</w:t>
            </w:r>
          </w:p>
        </w:tc>
        <w:tc>
          <w:tcPr>
            <w:tcW w:w="7620" w:type="dxa"/>
          </w:tcPr>
          <w:p w14:paraId="0B1B3FB9" w14:textId="774696BD" w:rsidR="00B1769B" w:rsidRPr="00EB4F9A" w:rsidRDefault="00B1769B"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w:t>
            </w:r>
            <w:r w:rsidR="002C7419">
              <w:rPr>
                <w:rStyle w:val="InstructionsTabelleberschrift"/>
                <w:rFonts w:ascii="Times New Roman" w:hAnsi="Times New Roman"/>
                <w:sz w:val="24"/>
              </w:rPr>
              <w:t>NII under p</w:t>
            </w:r>
            <w:r w:rsidRPr="63452C95">
              <w:rPr>
                <w:rStyle w:val="InstructionsTabelleberschrift"/>
                <w:rFonts w:ascii="Times New Roman" w:hAnsi="Times New Roman"/>
                <w:sz w:val="24"/>
              </w:rPr>
              <w:t xml:space="preserve">arallel </w:t>
            </w:r>
            <w:r>
              <w:rPr>
                <w:rStyle w:val="InstructionsTabelleberschrift"/>
                <w:rFonts w:ascii="Times New Roman" w:hAnsi="Times New Roman"/>
                <w:sz w:val="24"/>
              </w:rPr>
              <w:t>s</w:t>
            </w:r>
            <w:r w:rsidRPr="63452C95">
              <w:rPr>
                <w:rStyle w:val="InstructionsTabelleberschrift"/>
                <w:rFonts w:ascii="Times New Roman" w:hAnsi="Times New Roman"/>
                <w:sz w:val="24"/>
              </w:rPr>
              <w:t xml:space="preserve">hock </w:t>
            </w:r>
            <w:r>
              <w:rPr>
                <w:rStyle w:val="InstructionsTabelleberschrift"/>
                <w:rFonts w:ascii="Times New Roman" w:hAnsi="Times New Roman"/>
                <w:sz w:val="24"/>
              </w:rPr>
              <w:t>d</w:t>
            </w:r>
            <w:r w:rsidRPr="63452C95">
              <w:rPr>
                <w:rStyle w:val="InstructionsTabelleberschrift"/>
                <w:rFonts w:ascii="Times New Roman" w:hAnsi="Times New Roman"/>
                <w:sz w:val="24"/>
              </w:rPr>
              <w:t>own</w:t>
            </w:r>
          </w:p>
          <w:p w14:paraId="4D8674F1" w14:textId="44BDCBB1" w:rsidR="00B1769B" w:rsidRPr="00EC067D" w:rsidRDefault="00B1769B" w:rsidP="0001573B">
            <w:pPr>
              <w:pStyle w:val="InstructionsText"/>
              <w:rPr>
                <w:rStyle w:val="InstructionsTabelleberschrift"/>
                <w:rFonts w:ascii="Times New Roman" w:hAnsi="Times New Roman"/>
                <w:sz w:val="24"/>
                <w:lang w:eastAsia="en-US"/>
              </w:rPr>
            </w:pPr>
            <w:r w:rsidRPr="63452C95">
              <w:rPr>
                <w:rStyle w:val="InstructionsTabelleberschrift"/>
                <w:rFonts w:ascii="Times New Roman" w:hAnsi="Times New Roman"/>
                <w:b w:val="0"/>
                <w:bCs w:val="0"/>
                <w:sz w:val="24"/>
                <w:u w:val="none"/>
              </w:rPr>
              <w:t xml:space="preserve">The change of </w:t>
            </w:r>
            <w:r>
              <w:rPr>
                <w:rStyle w:val="InstructionsTabelleberschrift"/>
                <w:rFonts w:ascii="Times New Roman" w:hAnsi="Times New Roman"/>
                <w:b w:val="0"/>
                <w:bCs w:val="0"/>
                <w:sz w:val="24"/>
                <w:u w:val="none"/>
              </w:rPr>
              <w:t xml:space="preserve">the </w:t>
            </w:r>
            <w:r w:rsidRPr="63452C95">
              <w:rPr>
                <w:rStyle w:val="InstructionsTabelleberschrift"/>
                <w:rFonts w:ascii="Times New Roman" w:hAnsi="Times New Roman"/>
                <w:b w:val="0"/>
                <w:bCs w:val="0"/>
                <w:sz w:val="24"/>
                <w:u w:val="none"/>
              </w:rPr>
              <w:t>NII under the “parallel shock down” scenario specified under Article</w:t>
            </w:r>
            <w:r w:rsidR="007F62B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1, paragraph 2(b) and 3 of the </w:t>
            </w:r>
            <w:r w:rsidRPr="63452C95">
              <w:rPr>
                <w:rStyle w:val="FormatvorlageInstructionsTabelleText"/>
                <w:rFonts w:ascii="Times New Roman" w:hAnsi="Times New Roman"/>
                <w:sz w:val="24"/>
                <w:highlight w:val="lightGray"/>
              </w:rPr>
              <w:t>EBA RTS on SOT</w:t>
            </w:r>
            <w:r w:rsidRPr="63452C95">
              <w:rPr>
                <w:rStyle w:val="FormatvorlageInstructionsTabelleText"/>
                <w:rFonts w:ascii="Times New Roman" w:hAnsi="Times New Roman"/>
                <w:sz w:val="24"/>
              </w:rPr>
              <w:t>.</w:t>
            </w:r>
          </w:p>
        </w:tc>
      </w:tr>
      <w:tr w:rsidR="00923153" w:rsidRPr="00EC067D" w14:paraId="5B99C8B8" w14:textId="77777777" w:rsidTr="63452C95">
        <w:tc>
          <w:tcPr>
            <w:tcW w:w="1129" w:type="dxa"/>
          </w:tcPr>
          <w:p w14:paraId="7203579F" w14:textId="7494CBB8" w:rsidR="00923153" w:rsidRPr="00EC067D" w:rsidRDefault="00923153"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w:t>
            </w:r>
            <w:r w:rsidR="009001D0">
              <w:rPr>
                <w:rStyle w:val="FormatvorlageInstructionsTabelleText"/>
                <w:rFonts w:ascii="Times New Roman" w:hAnsi="Times New Roman"/>
                <w:sz w:val="24"/>
              </w:rPr>
              <w:t>5</w:t>
            </w:r>
            <w:r>
              <w:rPr>
                <w:rStyle w:val="FormatvorlageInstructionsTabelleText"/>
                <w:rFonts w:ascii="Times New Roman" w:hAnsi="Times New Roman"/>
                <w:sz w:val="24"/>
              </w:rPr>
              <w:t>0- 0</w:t>
            </w:r>
            <w:r w:rsidR="009001D0">
              <w:rPr>
                <w:rStyle w:val="FormatvorlageInstructionsTabelleText"/>
                <w:rFonts w:ascii="Times New Roman" w:hAnsi="Times New Roman"/>
                <w:sz w:val="24"/>
              </w:rPr>
              <w:t>1</w:t>
            </w:r>
            <w:r w:rsidR="00AF5A06">
              <w:rPr>
                <w:rStyle w:val="FormatvorlageInstructionsTabelleText"/>
                <w:rFonts w:ascii="Times New Roman" w:hAnsi="Times New Roman"/>
                <w:sz w:val="24"/>
              </w:rPr>
              <w:t>7</w:t>
            </w:r>
            <w:r>
              <w:rPr>
                <w:rStyle w:val="FormatvorlageInstructionsTabelleText"/>
                <w:rFonts w:ascii="Times New Roman" w:hAnsi="Times New Roman"/>
                <w:sz w:val="24"/>
              </w:rPr>
              <w:t>0</w:t>
            </w:r>
          </w:p>
        </w:tc>
        <w:tc>
          <w:tcPr>
            <w:tcW w:w="7620" w:type="dxa"/>
          </w:tcPr>
          <w:p w14:paraId="094CEC13" w14:textId="51CFDCB3" w:rsidR="00923153" w:rsidRDefault="001A01BB"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IMS </w:t>
            </w:r>
            <w:r w:rsidR="00923153">
              <w:rPr>
                <w:rStyle w:val="InstructionsTabelleberschrift"/>
                <w:rFonts w:ascii="Times New Roman" w:hAnsi="Times New Roman"/>
                <w:sz w:val="24"/>
              </w:rPr>
              <w:t>Market value changes</w:t>
            </w:r>
          </w:p>
          <w:p w14:paraId="2E5292E0" w14:textId="7A67CD3C" w:rsidR="007229C5" w:rsidRDefault="007229C5" w:rsidP="0001573B">
            <w:pPr>
              <w:pStyle w:val="InstructionsText"/>
              <w:rPr>
                <w:rStyle w:val="InstructionsTabelleberschrift"/>
                <w:rFonts w:ascii="Times New Roman" w:hAnsi="Times New Roman"/>
                <w:sz w:val="24"/>
              </w:rPr>
            </w:pPr>
            <w:r w:rsidRPr="007229C5">
              <w:rPr>
                <w:rStyle w:val="InstructionsTabelleberschrift"/>
                <w:rFonts w:ascii="Times New Roman" w:hAnsi="Times New Roman"/>
                <w:sz w:val="24"/>
              </w:rPr>
              <w:t>MV under baseline and supervisory shock scenarios</w:t>
            </w:r>
          </w:p>
          <w:p w14:paraId="67095171" w14:textId="4EB9EC10" w:rsidR="00923153" w:rsidRPr="003579D7" w:rsidRDefault="00923153"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F</w:t>
            </w:r>
            <w:r w:rsidRPr="63452C95">
              <w:rPr>
                <w:rStyle w:val="FormatvorlageInstructionsTabelleText"/>
                <w:rFonts w:ascii="Times New Roman" w:hAnsi="Times New Roman"/>
                <w:sz w:val="24"/>
              </w:rPr>
              <w:t xml:space="preserve">orecasts of </w:t>
            </w:r>
            <w:r>
              <w:rPr>
                <w:rStyle w:val="FormatvorlageInstructionsTabelleText"/>
                <w:rFonts w:ascii="Times New Roman" w:hAnsi="Times New Roman"/>
                <w:sz w:val="24"/>
              </w:rPr>
              <w:t xml:space="preserve">the </w:t>
            </w:r>
            <w:r w:rsidR="00CE1C68">
              <w:rPr>
                <w:rStyle w:val="FormatvorlageInstructionsTabelleText"/>
                <w:rFonts w:ascii="Times New Roman" w:hAnsi="Times New Roman"/>
                <w:sz w:val="24"/>
              </w:rPr>
              <w:t>MV</w:t>
            </w:r>
            <w:r w:rsidRPr="63452C95">
              <w:rPr>
                <w:rStyle w:val="FormatvorlageInstructionsTabelleText"/>
                <w:rFonts w:ascii="Times New Roman" w:hAnsi="Times New Roman"/>
                <w:sz w:val="24"/>
              </w:rPr>
              <w:t xml:space="preserve"> </w:t>
            </w:r>
            <w:r w:rsidRPr="00133785">
              <w:rPr>
                <w:rStyle w:val="FormatvorlageInstructionsTabelleText"/>
                <w:rFonts w:ascii="Times New Roman" w:hAnsi="Times New Roman"/>
                <w:sz w:val="24"/>
              </w:rPr>
              <w:t xml:space="preserve">changes </w:t>
            </w:r>
            <w:r w:rsidR="00CE1C68" w:rsidRPr="00133785">
              <w:rPr>
                <w:rStyle w:val="FormatvorlageInstructionsTabelleText"/>
                <w:rFonts w:ascii="Times New Roman" w:hAnsi="Times New Roman"/>
                <w:sz w:val="24"/>
              </w:rPr>
              <w:t>(</w:t>
            </w:r>
            <w:r w:rsidR="00CE1C68" w:rsidRPr="00133785">
              <w:rPr>
                <w:rStyle w:val="FormatvorlageInstructionsTabelleText"/>
                <w:rFonts w:ascii="Times New Roman" w:hAnsi="Times New Roman"/>
                <w:b/>
                <w:sz w:val="24"/>
              </w:rPr>
              <w:t>∆</w:t>
            </w:r>
            <w:r w:rsidR="00CE1C68" w:rsidRPr="00133785">
              <w:rPr>
                <w:rStyle w:val="FormatvorlageInstructionsTabelleText"/>
                <w:rFonts w:ascii="Times New Roman" w:hAnsi="Times New Roman"/>
                <w:bCs w:val="0"/>
                <w:sz w:val="24"/>
              </w:rPr>
              <w:t>MV)</w:t>
            </w:r>
            <w:r w:rsidR="00CE1C68" w:rsidRPr="00133785">
              <w:rPr>
                <w:rStyle w:val="FormatvorlageInstructionsTabelleText"/>
                <w:rFonts w:ascii="Times New Roman" w:hAnsi="Times New Roman"/>
                <w:b/>
                <w:sz w:val="24"/>
              </w:rPr>
              <w:t xml:space="preserve"> </w:t>
            </w:r>
            <w:r w:rsidRPr="00133785">
              <w:rPr>
                <w:rStyle w:val="FormatvorlageInstructionsTabelleText"/>
                <w:rFonts w:ascii="Times New Roman" w:hAnsi="Times New Roman"/>
                <w:sz w:val="24"/>
              </w:rPr>
              <w:t xml:space="preserve">of the </w:t>
            </w:r>
            <w:r w:rsidR="00B261CE">
              <w:rPr>
                <w:rStyle w:val="FormatvorlageInstructionsTabelleText"/>
                <w:rFonts w:ascii="Times New Roman" w:hAnsi="Times New Roman"/>
                <w:sz w:val="24"/>
              </w:rPr>
              <w:t>carrying amount</w:t>
            </w:r>
            <w:r w:rsidRPr="00133785">
              <w:rPr>
                <w:rStyle w:val="FormatvorlageInstructionsTabelleText"/>
                <w:rFonts w:ascii="Times New Roman" w:hAnsi="Times New Roman"/>
                <w:sz w:val="24"/>
              </w:rPr>
              <w:t xml:space="preserve"> over a one</w:t>
            </w:r>
            <w:r w:rsidR="00FE4798">
              <w:rPr>
                <w:rStyle w:val="FormatvorlageInstructionsTabelleText"/>
                <w:rFonts w:ascii="Times New Roman" w:hAnsi="Times New Roman"/>
                <w:sz w:val="24"/>
              </w:rPr>
              <w:t xml:space="preserve"> </w:t>
            </w:r>
            <w:r w:rsidRPr="00133785">
              <w:rPr>
                <w:rStyle w:val="FormatvorlageInstructionsTabelleText"/>
                <w:rFonts w:ascii="Times New Roman" w:hAnsi="Times New Roman"/>
                <w:sz w:val="24"/>
              </w:rPr>
              <w:t>year horizon under the</w:t>
            </w:r>
            <w:r w:rsidR="00133785" w:rsidRPr="00133785">
              <w:rPr>
                <w:rStyle w:val="FormatvorlageInstructionsTabelleText"/>
                <w:rFonts w:ascii="Times New Roman" w:hAnsi="Times New Roman"/>
                <w:sz w:val="24"/>
              </w:rPr>
              <w:t xml:space="preserve"> </w:t>
            </w:r>
            <w:r w:rsidR="00CE1C68" w:rsidRPr="00133785">
              <w:rPr>
                <w:rStyle w:val="InstructionsTabelleberschrift"/>
                <w:rFonts w:ascii="Times New Roman" w:hAnsi="Times New Roman"/>
                <w:sz w:val="24"/>
                <w:u w:val="none"/>
              </w:rPr>
              <w:t>∆</w:t>
            </w:r>
            <w:r w:rsidR="00CE1C68" w:rsidRPr="00133785">
              <w:rPr>
                <w:rStyle w:val="FormatvorlageInstructionsTabelleText"/>
                <w:rFonts w:ascii="Times New Roman" w:hAnsi="Times New Roman"/>
                <w:sz w:val="24"/>
              </w:rPr>
              <w:t>MV</w:t>
            </w:r>
            <w:r w:rsidRPr="00133785">
              <w:rPr>
                <w:rStyle w:val="FormatvorlageInstructionsTabelleText"/>
                <w:rFonts w:ascii="Times New Roman" w:hAnsi="Times New Roman"/>
                <w:sz w:val="24"/>
              </w:rPr>
              <w:t xml:space="preserve"> can either be shown in the profit and loss account or directly in equity (</w:t>
            </w:r>
            <w:r w:rsidR="00DE01E1">
              <w:rPr>
                <w:rStyle w:val="FormatvorlageInstructionsTabelleText"/>
                <w:rFonts w:ascii="Times New Roman" w:hAnsi="Times New Roman"/>
                <w:sz w:val="24"/>
              </w:rPr>
              <w:t>such as</w:t>
            </w:r>
            <w:r w:rsidRPr="00133785">
              <w:rPr>
                <w:rStyle w:val="FormatvorlageInstructionsTabelleText"/>
                <w:rFonts w:ascii="Times New Roman" w:hAnsi="Times New Roman"/>
                <w:sz w:val="24"/>
              </w:rPr>
              <w:t xml:space="preserve"> via other comprehensive income).</w:t>
            </w:r>
            <w:r w:rsidR="006C719F" w:rsidRPr="00133785">
              <w:rPr>
                <w:rStyle w:val="FormatvorlageInstructionsTabelleText"/>
                <w:rFonts w:ascii="Times New Roman" w:hAnsi="Times New Roman"/>
                <w:sz w:val="24"/>
              </w:rPr>
              <w:t xml:space="preserve"> Institutions shall report the </w:t>
            </w:r>
            <w:r w:rsidR="00CE1C68" w:rsidRPr="00133785">
              <w:rPr>
                <w:rStyle w:val="InstructionsTabelleberschrift"/>
                <w:rFonts w:ascii="Times New Roman" w:hAnsi="Times New Roman"/>
                <w:sz w:val="24"/>
                <w:u w:val="none"/>
              </w:rPr>
              <w:t>∆</w:t>
            </w:r>
            <w:r w:rsidR="00CE1C68" w:rsidRPr="00133785">
              <w:rPr>
                <w:rStyle w:val="FormatvorlageInstructionsTabelleText"/>
                <w:rFonts w:ascii="Times New Roman" w:hAnsi="Times New Roman"/>
                <w:sz w:val="24"/>
              </w:rPr>
              <w:t>MV</w:t>
            </w:r>
            <w:r w:rsidR="006C719F" w:rsidRPr="00133785">
              <w:rPr>
                <w:rStyle w:val="FormatvorlageInstructionsTabelleText"/>
                <w:rFonts w:ascii="Times New Roman" w:hAnsi="Times New Roman"/>
                <w:sz w:val="24"/>
              </w:rPr>
              <w:t xml:space="preserve"> net of the effect</w:t>
            </w:r>
            <w:r w:rsidR="006C719F">
              <w:rPr>
                <w:rStyle w:val="FormatvorlageInstructionsTabelleText"/>
                <w:rFonts w:ascii="Times New Roman" w:hAnsi="Times New Roman"/>
                <w:sz w:val="24"/>
              </w:rPr>
              <w:t xml:space="preserve"> of accounting hedges (i.e</w:t>
            </w:r>
            <w:r w:rsidR="00AF5A06">
              <w:rPr>
                <w:rStyle w:val="FormatvorlageInstructionsTabelleText"/>
                <w:rFonts w:ascii="Times New Roman" w:hAnsi="Times New Roman"/>
                <w:sz w:val="24"/>
              </w:rPr>
              <w:t>.</w:t>
            </w:r>
            <w:r w:rsidR="008634C9">
              <w:rPr>
                <w:rStyle w:val="FormatvorlageInstructionsTabelleText"/>
                <w:rFonts w:ascii="Times New Roman" w:hAnsi="Times New Roman"/>
                <w:sz w:val="24"/>
              </w:rPr>
              <w:t>,</w:t>
            </w:r>
            <w:r w:rsidR="006C719F">
              <w:rPr>
                <w:rStyle w:val="FormatvorlageInstructionsTabelleText"/>
                <w:rFonts w:ascii="Times New Roman" w:hAnsi="Times New Roman"/>
                <w:sz w:val="24"/>
              </w:rPr>
              <w:t xml:space="preserve"> hedge accounting) and shall disregard</w:t>
            </w:r>
            <w:r w:rsidR="006C719F" w:rsidRPr="00C63E64">
              <w:rPr>
                <w:rStyle w:val="FormatvorlageInstructionsTabelleText"/>
                <w:rFonts w:ascii="Times New Roman" w:hAnsi="Times New Roman"/>
                <w:sz w:val="24"/>
              </w:rPr>
              <w:t xml:space="preserve"> the</w:t>
            </w:r>
            <w:r w:rsidR="006C719F">
              <w:rPr>
                <w:rStyle w:val="FormatvorlageInstructionsTabelleText"/>
                <w:rFonts w:ascii="Times New Roman" w:hAnsi="Times New Roman"/>
                <w:sz w:val="24"/>
              </w:rPr>
              <w:t xml:space="preserve"> effects of</w:t>
            </w:r>
            <w:r w:rsidR="006C719F" w:rsidRPr="00C63E64">
              <w:rPr>
                <w:rStyle w:val="FormatvorlageInstructionsTabelleText"/>
                <w:rFonts w:ascii="Times New Roman" w:hAnsi="Times New Roman"/>
                <w:sz w:val="24"/>
              </w:rPr>
              <w:t xml:space="preserve"> items </w:t>
            </w:r>
            <w:r w:rsidR="006C719F">
              <w:rPr>
                <w:rStyle w:val="FormatvorlageInstructionsTabelleText"/>
                <w:rFonts w:ascii="Times New Roman" w:hAnsi="Times New Roman"/>
                <w:sz w:val="24"/>
              </w:rPr>
              <w:t>specified in Article 33</w:t>
            </w:r>
            <w:r w:rsidR="001867BF">
              <w:rPr>
                <w:rStyle w:val="FormatvorlageInstructionsTabelleText"/>
                <w:rFonts w:ascii="Times New Roman" w:hAnsi="Times New Roman"/>
                <w:sz w:val="24"/>
              </w:rPr>
              <w:t>, point 1(a)</w:t>
            </w:r>
            <w:r w:rsidR="006C719F">
              <w:rPr>
                <w:rStyle w:val="FormatvorlageInstructionsTabelleText"/>
                <w:rFonts w:ascii="Times New Roman" w:hAnsi="Times New Roman"/>
                <w:sz w:val="24"/>
              </w:rPr>
              <w:t xml:space="preserve"> </w:t>
            </w:r>
            <w:r w:rsidR="009166F8">
              <w:rPr>
                <w:rStyle w:val="FormatvorlageInstructionsTabelleText"/>
                <w:rFonts w:ascii="Times New Roman" w:hAnsi="Times New Roman"/>
                <w:sz w:val="24"/>
              </w:rPr>
              <w:t>of the CRR</w:t>
            </w:r>
            <w:r w:rsidR="006C719F">
              <w:rPr>
                <w:rStyle w:val="FormatvorlageInstructionsTabelleText"/>
                <w:rFonts w:ascii="Times New Roman" w:hAnsi="Times New Roman"/>
                <w:sz w:val="24"/>
              </w:rPr>
              <w:t xml:space="preserve"> (effective component of cash-flow hedge accounting derivatives hedging amortized cost items).</w:t>
            </w:r>
          </w:p>
          <w:p w14:paraId="6B865342" w14:textId="52042E09" w:rsidR="00923153" w:rsidRPr="003579D7" w:rsidRDefault="00923153"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bCs w:val="0"/>
                <w:sz w:val="24"/>
                <w:u w:val="none"/>
              </w:rPr>
              <w:t>Institutions shall use the forecasts of t</w:t>
            </w:r>
            <w:r w:rsidRPr="63452C95">
              <w:rPr>
                <w:rStyle w:val="InstructionsTabelleberschrift"/>
                <w:rFonts w:ascii="Times New Roman" w:hAnsi="Times New Roman"/>
                <w:b w:val="0"/>
                <w:bCs w:val="0"/>
                <w:sz w:val="24"/>
                <w:u w:val="none"/>
              </w:rPr>
              <w:t xml:space="preserve">he </w:t>
            </w:r>
            <w:r w:rsidR="00CE1C68" w:rsidRPr="00133785">
              <w:rPr>
                <w:rStyle w:val="InstructionsTabelleberschrift"/>
                <w:rFonts w:ascii="Times New Roman" w:hAnsi="Times New Roman"/>
                <w:b w:val="0"/>
                <w:bCs w:val="0"/>
                <w:sz w:val="24"/>
                <w:u w:val="none"/>
              </w:rPr>
              <w:t>∆</w:t>
            </w:r>
            <w:r w:rsidR="00CE1C68">
              <w:rPr>
                <w:rStyle w:val="InstructionsTabelleberschrift"/>
                <w:rFonts w:ascii="Times New Roman" w:hAnsi="Times New Roman"/>
                <w:b w:val="0"/>
                <w:bCs w:val="0"/>
                <w:sz w:val="24"/>
                <w:u w:val="none"/>
              </w:rPr>
              <w:t>MV</w:t>
            </w:r>
            <w:r w:rsidRPr="63452C95">
              <w:rPr>
                <w:rStyle w:val="InstructionsTabelleberschrift"/>
                <w:rFonts w:ascii="Times New Roman" w:hAnsi="Times New Roman"/>
                <w:b w:val="0"/>
                <w:bCs w:val="0"/>
                <w:sz w:val="24"/>
                <w:u w:val="none"/>
              </w:rPr>
              <w:t xml:space="preserve"> according to the institution's </w:t>
            </w:r>
            <w:r w:rsidR="00A31FA4">
              <w:rPr>
                <w:rStyle w:val="InstructionsTabelleberschrift"/>
                <w:rFonts w:ascii="Times New Roman" w:hAnsi="Times New Roman"/>
                <w:b w:val="0"/>
                <w:bCs w:val="0"/>
                <w:sz w:val="24"/>
                <w:u w:val="none"/>
              </w:rPr>
              <w:t xml:space="preserve">IRRBB </w:t>
            </w:r>
            <w:r w:rsidRPr="63452C95">
              <w:rPr>
                <w:rStyle w:val="InstructionsTabelleberschrift"/>
                <w:rFonts w:ascii="Times New Roman" w:hAnsi="Times New Roman"/>
                <w:b w:val="0"/>
                <w:bCs w:val="0"/>
                <w:sz w:val="24"/>
                <w:u w:val="none"/>
              </w:rPr>
              <w:t>IMS or</w:t>
            </w:r>
            <w:r>
              <w:rPr>
                <w:rStyle w:val="InstructionsTabelleberschrift"/>
                <w:rFonts w:ascii="Times New Roman" w:hAnsi="Times New Roman"/>
                <w:b w:val="0"/>
                <w:bCs w:val="0"/>
                <w:sz w:val="24"/>
                <w:u w:val="none"/>
              </w:rPr>
              <w:t>,</w:t>
            </w:r>
            <w:r w:rsidRPr="63452C95">
              <w:rPr>
                <w:rStyle w:val="InstructionsTabelleberschrift"/>
                <w:rFonts w:ascii="Times New Roman" w:hAnsi="Times New Roman"/>
                <w:b w:val="0"/>
                <w:bCs w:val="0"/>
                <w:sz w:val="24"/>
                <w:u w:val="none"/>
              </w:rPr>
              <w:t xml:space="preserve"> where applicable</w:t>
            </w:r>
            <w:r>
              <w:rPr>
                <w:rStyle w:val="InstructionsTabelleberschrift"/>
                <w:rFonts w:ascii="Times New Roman" w:hAnsi="Times New Roman"/>
                <w:b w:val="0"/>
                <w:bCs w:val="0"/>
                <w:sz w:val="24"/>
                <w:u w:val="none"/>
              </w:rPr>
              <w:t>,</w:t>
            </w:r>
            <w:r w:rsidRPr="63452C95">
              <w:rPr>
                <w:rStyle w:val="InstructionsTabelleberschrift"/>
                <w:rFonts w:ascii="Times New Roman" w:hAnsi="Times New Roman"/>
                <w:b w:val="0"/>
                <w:bCs w:val="0"/>
                <w:sz w:val="24"/>
                <w:u w:val="none"/>
              </w:rPr>
              <w:t xml:space="preserve"> Articles 15 and 20 of </w:t>
            </w:r>
            <w:r w:rsidRPr="63452C95">
              <w:rPr>
                <w:rStyle w:val="InstructionsTabelleberschrift"/>
                <w:rFonts w:ascii="Times New Roman" w:hAnsi="Times New Roman"/>
                <w:b w:val="0"/>
                <w:bCs w:val="0"/>
                <w:sz w:val="24"/>
                <w:highlight w:val="lightGray"/>
                <w:u w:val="none"/>
              </w:rPr>
              <w:t>EBA RTS on SA</w:t>
            </w:r>
            <w:r>
              <w:rPr>
                <w:rStyle w:val="InstructionsTabelleberschrift"/>
                <w:rFonts w:ascii="Times New Roman" w:hAnsi="Times New Roman"/>
                <w:b w:val="0"/>
                <w:bCs w:val="0"/>
                <w:sz w:val="24"/>
                <w:u w:val="none"/>
              </w:rPr>
              <w:t>,</w:t>
            </w:r>
            <w:r w:rsidRPr="63452C95">
              <w:rPr>
                <w:rStyle w:val="InstructionsTabelleberschrift"/>
                <w:rFonts w:ascii="Times New Roman" w:hAnsi="Times New Roman"/>
                <w:b w:val="0"/>
                <w:bCs w:val="0"/>
                <w:sz w:val="24"/>
                <w:u w:val="none"/>
              </w:rPr>
              <w:t xml:space="preserve"> for the supervisory shock scenarios according to </w:t>
            </w:r>
            <w:r w:rsidRPr="63452C95">
              <w:rPr>
                <w:rStyle w:val="FormatvorlageInstructionsTabelleText"/>
                <w:rFonts w:ascii="Times New Roman" w:hAnsi="Times New Roman"/>
                <w:sz w:val="24"/>
              </w:rPr>
              <w:t xml:space="preserve">Article 1(2) of </w:t>
            </w:r>
            <w:r w:rsidRPr="63452C95">
              <w:rPr>
                <w:rStyle w:val="FormatvorlageInstructionsTabelleText"/>
                <w:rFonts w:ascii="Times New Roman" w:hAnsi="Times New Roman"/>
                <w:sz w:val="24"/>
                <w:highlight w:val="lightGray"/>
              </w:rPr>
              <w:t>EBA RTS on SOT</w:t>
            </w:r>
            <w:r w:rsidRPr="63452C95">
              <w:rPr>
                <w:rStyle w:val="FormatvorlageInstructionsTabelleText"/>
                <w:rFonts w:ascii="Times New Roman" w:hAnsi="Times New Roman"/>
                <w:sz w:val="24"/>
              </w:rPr>
              <w:t xml:space="preserve">. </w:t>
            </w:r>
          </w:p>
          <w:p w14:paraId="24C4DC3D" w14:textId="54278C6D" w:rsidR="00923153" w:rsidRDefault="00923153" w:rsidP="0001573B">
            <w:pPr>
              <w:pStyle w:val="InstructionsText"/>
              <w:rPr>
                <w:rStyle w:val="FormatvorlageInstructionsTabelleText"/>
                <w:rFonts w:ascii="Times New Roman" w:hAnsi="Times New Roman"/>
                <w:sz w:val="24"/>
              </w:rPr>
            </w:pPr>
            <w:r w:rsidRPr="34CF7408">
              <w:rPr>
                <w:rStyle w:val="FormatvorlageInstructionsTabelleText"/>
                <w:rFonts w:ascii="Times New Roman" w:hAnsi="Times New Roman"/>
                <w:sz w:val="24"/>
              </w:rPr>
              <w:t xml:space="preserve">The total size and composition of the </w:t>
            </w:r>
            <w:r w:rsidR="00B261CE">
              <w:rPr>
                <w:rStyle w:val="FormatvorlageInstructionsTabelleText"/>
                <w:rFonts w:ascii="Times New Roman" w:hAnsi="Times New Roman"/>
                <w:sz w:val="24"/>
              </w:rPr>
              <w:t>amount</w:t>
            </w:r>
            <w:r w:rsidRPr="34CF7408">
              <w:rPr>
                <w:rStyle w:val="FormatvorlageInstructionsTabelleText"/>
                <w:rFonts w:ascii="Times New Roman" w:hAnsi="Times New Roman"/>
                <w:sz w:val="24"/>
              </w:rPr>
              <w:t xml:space="preserve"> of which the value is sensitive to </w:t>
            </w:r>
            <w:r w:rsidR="00CE1C68" w:rsidRPr="00133785">
              <w:rPr>
                <w:rStyle w:val="InstructionsTabelleberschrift"/>
                <w:rFonts w:ascii="Times New Roman" w:hAnsi="Times New Roman"/>
                <w:b w:val="0"/>
                <w:bCs w:val="0"/>
                <w:sz w:val="24"/>
                <w:u w:val="none"/>
              </w:rPr>
              <w:t>∆</w:t>
            </w:r>
            <w:r w:rsidR="00CE1C68">
              <w:rPr>
                <w:rStyle w:val="FormatvorlageInstructionsTabelleText"/>
                <w:rFonts w:ascii="Times New Roman" w:hAnsi="Times New Roman"/>
                <w:sz w:val="24"/>
              </w:rPr>
              <w:t>MV</w:t>
            </w:r>
            <w:r w:rsidRPr="34CF7408">
              <w:rPr>
                <w:rStyle w:val="FormatvorlageInstructionsTabelleText"/>
                <w:rFonts w:ascii="Times New Roman" w:hAnsi="Times New Roman"/>
                <w:sz w:val="24"/>
              </w:rPr>
              <w:t xml:space="preserve"> shall be maintained by replacing maturing instruments with new instruments that have comparable features (</w:t>
            </w:r>
            <w:r>
              <w:rPr>
                <w:rStyle w:val="FormatvorlageInstructionsTabelleText"/>
                <w:rFonts w:ascii="Times New Roman" w:hAnsi="Times New Roman"/>
                <w:sz w:val="24"/>
              </w:rPr>
              <w:t>such as</w:t>
            </w:r>
            <w:r w:rsidRPr="34CF7408">
              <w:rPr>
                <w:rStyle w:val="FormatvorlageInstructionsTabelleText"/>
                <w:rFonts w:ascii="Times New Roman" w:hAnsi="Times New Roman"/>
                <w:sz w:val="24"/>
              </w:rPr>
              <w:t xml:space="preserve"> currency and nominal amount of the instruments).</w:t>
            </w:r>
          </w:p>
          <w:p w14:paraId="536B6F4D" w14:textId="5656A60C" w:rsidR="00AF5A06" w:rsidRPr="003579D7" w:rsidRDefault="00AF5A06" w:rsidP="0001573B">
            <w:pPr>
              <w:pStyle w:val="InstructionsText"/>
              <w:rPr>
                <w:rStyle w:val="FormatvorlageInstructionsTabelleText"/>
                <w:rFonts w:ascii="Times New Roman" w:hAnsi="Times New Roman"/>
                <w:sz w:val="24"/>
              </w:rPr>
            </w:pPr>
            <w:r w:rsidRPr="63452C95">
              <w:rPr>
                <w:rStyle w:val="FormatvorlageInstructionsTabelleText"/>
                <w:rFonts w:ascii="Times New Roman" w:hAnsi="Times New Roman"/>
                <w:sz w:val="24"/>
              </w:rPr>
              <w:t xml:space="preserve">Risk estimates, from which relevant parameters are derived, shall be equivalent to those used for the SOT calculation, including, where applicable, behavioural modelling and </w:t>
            </w:r>
            <w:r>
              <w:t>automatic optionality.</w:t>
            </w:r>
          </w:p>
        </w:tc>
      </w:tr>
      <w:tr w:rsidR="00B42594" w:rsidRPr="00EC067D" w:rsidDel="008E0D48" w14:paraId="7AC6FA75" w14:textId="77777777" w:rsidTr="63452C95">
        <w:tc>
          <w:tcPr>
            <w:tcW w:w="1129" w:type="dxa"/>
          </w:tcPr>
          <w:p w14:paraId="4F73B923" w14:textId="33FB00F8" w:rsidR="00B42594" w:rsidRPr="34CF7408" w:rsidRDefault="00B4259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0150</w:t>
            </w:r>
          </w:p>
        </w:tc>
        <w:tc>
          <w:tcPr>
            <w:tcW w:w="7620" w:type="dxa"/>
          </w:tcPr>
          <w:p w14:paraId="60E299BE" w14:textId="771F73A5" w:rsidR="00B42594" w:rsidRPr="00EB4F9A" w:rsidRDefault="005D07DF"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Level of MV value under b</w:t>
            </w:r>
            <w:r w:rsidR="00B42594" w:rsidRPr="63452C95">
              <w:rPr>
                <w:rStyle w:val="InstructionsTabelleberschrift"/>
                <w:rFonts w:ascii="Times New Roman" w:hAnsi="Times New Roman"/>
                <w:sz w:val="24"/>
              </w:rPr>
              <w:t xml:space="preserve">aseline scenario </w:t>
            </w:r>
          </w:p>
          <w:p w14:paraId="25925B58" w14:textId="0CA46700" w:rsidR="00B42594" w:rsidRPr="34CF7408" w:rsidDel="008C1F5D" w:rsidRDefault="00B42594"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b w:val="0"/>
                <w:bCs w:val="0"/>
                <w:sz w:val="24"/>
                <w:u w:val="none"/>
              </w:rPr>
              <w:t>M</w:t>
            </w:r>
            <w:r w:rsidR="00CE1C68">
              <w:rPr>
                <w:rStyle w:val="InstructionsTabelleberschrift"/>
                <w:rFonts w:ascii="Times New Roman" w:hAnsi="Times New Roman"/>
                <w:b w:val="0"/>
                <w:bCs w:val="0"/>
                <w:sz w:val="24"/>
                <w:u w:val="none"/>
              </w:rPr>
              <w:t>V</w:t>
            </w:r>
            <w:r w:rsidRPr="63452C95">
              <w:rPr>
                <w:rStyle w:val="InstructionsTabelleberschrift"/>
                <w:rFonts w:ascii="Times New Roman" w:hAnsi="Times New Roman"/>
                <w:b w:val="0"/>
                <w:bCs w:val="0"/>
                <w:sz w:val="24"/>
                <w:u w:val="none"/>
              </w:rPr>
              <w:t xml:space="preserve"> level under the baseline interest rate scenario as of the reference date.</w:t>
            </w:r>
          </w:p>
        </w:tc>
      </w:tr>
      <w:tr w:rsidR="00B42594" w:rsidRPr="00EC067D" w14:paraId="3900C6EB" w14:textId="77777777" w:rsidTr="63452C95">
        <w:tc>
          <w:tcPr>
            <w:tcW w:w="1129" w:type="dxa"/>
          </w:tcPr>
          <w:p w14:paraId="35C36A35" w14:textId="61A8A73B" w:rsidR="00B42594" w:rsidRPr="00EC067D" w:rsidRDefault="00B4259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0160</w:t>
            </w:r>
          </w:p>
        </w:tc>
        <w:tc>
          <w:tcPr>
            <w:tcW w:w="7620" w:type="dxa"/>
          </w:tcPr>
          <w:p w14:paraId="76BA99CE" w14:textId="0566EC69" w:rsidR="00B42594" w:rsidRPr="00EB4F9A" w:rsidRDefault="005D07DF"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w:t>
            </w:r>
            <w:r>
              <w:rPr>
                <w:rStyle w:val="InstructionsTabelleberschrift"/>
                <w:rFonts w:ascii="Times New Roman" w:hAnsi="Times New Roman"/>
                <w:sz w:val="24"/>
              </w:rPr>
              <w:t xml:space="preserve">MV under </w:t>
            </w:r>
            <w:r w:rsidR="00420863">
              <w:rPr>
                <w:rStyle w:val="InstructionsTabelleberschrift"/>
                <w:rFonts w:ascii="Times New Roman" w:hAnsi="Times New Roman"/>
                <w:sz w:val="24"/>
              </w:rPr>
              <w:t>p</w:t>
            </w:r>
            <w:r w:rsidR="00B42594" w:rsidRPr="63452C95">
              <w:rPr>
                <w:rStyle w:val="InstructionsTabelleberschrift"/>
                <w:rFonts w:ascii="Times New Roman" w:hAnsi="Times New Roman"/>
                <w:sz w:val="24"/>
              </w:rPr>
              <w:t xml:space="preserve">arallel </w:t>
            </w:r>
            <w:r w:rsidR="00B42594">
              <w:rPr>
                <w:rStyle w:val="InstructionsTabelleberschrift"/>
                <w:rFonts w:ascii="Times New Roman" w:hAnsi="Times New Roman"/>
                <w:sz w:val="24"/>
              </w:rPr>
              <w:t>s</w:t>
            </w:r>
            <w:r w:rsidR="00B42594" w:rsidRPr="63452C95">
              <w:rPr>
                <w:rStyle w:val="InstructionsTabelleberschrift"/>
                <w:rFonts w:ascii="Times New Roman" w:hAnsi="Times New Roman"/>
                <w:sz w:val="24"/>
              </w:rPr>
              <w:t xml:space="preserve">hock </w:t>
            </w:r>
            <w:r w:rsidR="00B42594">
              <w:rPr>
                <w:rStyle w:val="InstructionsTabelleberschrift"/>
                <w:rFonts w:ascii="Times New Roman" w:hAnsi="Times New Roman"/>
                <w:sz w:val="24"/>
              </w:rPr>
              <w:t>u</w:t>
            </w:r>
            <w:r w:rsidR="00B42594" w:rsidRPr="63452C95">
              <w:rPr>
                <w:rStyle w:val="InstructionsTabelleberschrift"/>
                <w:rFonts w:ascii="Times New Roman" w:hAnsi="Times New Roman"/>
                <w:sz w:val="24"/>
              </w:rPr>
              <w:t>p</w:t>
            </w:r>
          </w:p>
          <w:p w14:paraId="1898CD18" w14:textId="574F49B5" w:rsidR="00B42594" w:rsidRPr="00EC067D" w:rsidRDefault="00B42594" w:rsidP="0001573B">
            <w:pPr>
              <w:pStyle w:val="InstructionsText"/>
              <w:rPr>
                <w:rStyle w:val="InstructionsTabelleberschrift"/>
                <w:rFonts w:ascii="Times New Roman" w:hAnsi="Times New Roman"/>
                <w:sz w:val="24"/>
                <w:lang w:eastAsia="en-US"/>
              </w:rPr>
            </w:pPr>
            <w:r w:rsidRPr="63452C95">
              <w:rPr>
                <w:rStyle w:val="InstructionsTabelleberschrift"/>
                <w:rFonts w:ascii="Times New Roman" w:hAnsi="Times New Roman"/>
                <w:b w:val="0"/>
                <w:bCs w:val="0"/>
                <w:sz w:val="24"/>
                <w:u w:val="none"/>
              </w:rPr>
              <w:t>The</w:t>
            </w:r>
            <w:r>
              <w:rPr>
                <w:rStyle w:val="InstructionsTabelleberschrift"/>
                <w:rFonts w:ascii="Times New Roman" w:hAnsi="Times New Roman"/>
                <w:b w:val="0"/>
                <w:bCs w:val="0"/>
                <w:sz w:val="24"/>
                <w:u w:val="none"/>
              </w:rPr>
              <w:t xml:space="preserve"> </w:t>
            </w:r>
            <w:r w:rsidRPr="63452C95">
              <w:rPr>
                <w:rStyle w:val="InstructionsTabelleberschrift"/>
                <w:rFonts w:ascii="Times New Roman" w:hAnsi="Times New Roman"/>
                <w:b w:val="0"/>
                <w:bCs w:val="0"/>
                <w:sz w:val="24"/>
                <w:u w:val="none"/>
              </w:rPr>
              <w:t xml:space="preserve">change of </w:t>
            </w:r>
            <w:r w:rsidR="00CE1C68">
              <w:rPr>
                <w:rStyle w:val="InstructionsTabelleberschrift"/>
                <w:rFonts w:ascii="Times New Roman" w:hAnsi="Times New Roman"/>
                <w:b w:val="0"/>
                <w:bCs w:val="0"/>
                <w:sz w:val="24"/>
                <w:u w:val="none"/>
              </w:rPr>
              <w:t>MV</w:t>
            </w:r>
            <w:r w:rsidRPr="63452C95">
              <w:rPr>
                <w:rStyle w:val="InstructionsTabelleberschrift"/>
                <w:rFonts w:ascii="Times New Roman" w:hAnsi="Times New Roman"/>
                <w:b w:val="0"/>
                <w:bCs w:val="0"/>
                <w:sz w:val="24"/>
                <w:u w:val="none"/>
              </w:rPr>
              <w:t xml:space="preserve"> under the “parallel shock up” scenario specified in Article</w:t>
            </w:r>
            <w:r w:rsidR="007F62B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1, paragraph </w:t>
            </w:r>
            <w:r w:rsidR="007F62B7">
              <w:rPr>
                <w:rStyle w:val="InstructionsTabelleberschrift"/>
                <w:rFonts w:ascii="Times New Roman" w:hAnsi="Times New Roman"/>
                <w:b w:val="0"/>
                <w:bCs w:val="0"/>
                <w:sz w:val="24"/>
                <w:u w:val="none"/>
              </w:rPr>
              <w:t>2</w:t>
            </w:r>
            <w:r w:rsidRPr="63452C95">
              <w:rPr>
                <w:rStyle w:val="InstructionsTabelleberschrift"/>
                <w:rFonts w:ascii="Times New Roman" w:hAnsi="Times New Roman"/>
                <w:b w:val="0"/>
                <w:bCs w:val="0"/>
                <w:sz w:val="24"/>
                <w:u w:val="none"/>
              </w:rPr>
              <w:t xml:space="preserve">(a) and 3 of the </w:t>
            </w:r>
            <w:r w:rsidRPr="63452C95">
              <w:rPr>
                <w:rStyle w:val="FormatvorlageInstructionsTabelleText"/>
                <w:rFonts w:ascii="Times New Roman" w:hAnsi="Times New Roman"/>
                <w:sz w:val="24"/>
                <w:highlight w:val="lightGray"/>
              </w:rPr>
              <w:t>EBA RTS on SOT</w:t>
            </w:r>
            <w:r w:rsidRPr="63452C95">
              <w:rPr>
                <w:rStyle w:val="InstructionsTabelleberschrift"/>
                <w:rFonts w:ascii="Times New Roman" w:hAnsi="Times New Roman"/>
                <w:b w:val="0"/>
                <w:bCs w:val="0"/>
                <w:sz w:val="24"/>
                <w:u w:val="none"/>
              </w:rPr>
              <w:t>.</w:t>
            </w:r>
          </w:p>
        </w:tc>
      </w:tr>
      <w:tr w:rsidR="00B42594" w:rsidRPr="00EC067D" w14:paraId="00FFC402" w14:textId="77777777" w:rsidTr="63452C95">
        <w:tc>
          <w:tcPr>
            <w:tcW w:w="1129" w:type="dxa"/>
          </w:tcPr>
          <w:p w14:paraId="6DDBFDDC" w14:textId="51876AB6" w:rsidR="00B42594" w:rsidRPr="009442CD" w:rsidRDefault="00B42594" w:rsidP="0001573B">
            <w:pPr>
              <w:pStyle w:val="InstructionsText"/>
              <w:rPr>
                <w:rStyle w:val="FormatvorlageInstructionsTabelleText"/>
                <w:rFonts w:ascii="Times New Roman" w:hAnsi="Times New Roman"/>
                <w:sz w:val="24"/>
                <w:highlight w:val="yellow"/>
                <w:lang w:eastAsia="en-US"/>
              </w:rPr>
            </w:pPr>
            <w:r w:rsidRPr="004E0CC1">
              <w:rPr>
                <w:rStyle w:val="FormatvorlageInstructionsTabelleText"/>
                <w:rFonts w:ascii="Times New Roman" w:hAnsi="Times New Roman"/>
                <w:sz w:val="24"/>
              </w:rPr>
              <w:t>0</w:t>
            </w:r>
            <w:r>
              <w:rPr>
                <w:rStyle w:val="FormatvorlageInstructionsTabelleText"/>
                <w:rFonts w:ascii="Times New Roman" w:hAnsi="Times New Roman"/>
                <w:sz w:val="24"/>
              </w:rPr>
              <w:t>17</w:t>
            </w:r>
            <w:r w:rsidRPr="004E0CC1">
              <w:rPr>
                <w:rStyle w:val="FormatvorlageInstructionsTabelleText"/>
                <w:rFonts w:ascii="Times New Roman" w:hAnsi="Times New Roman"/>
                <w:sz w:val="24"/>
              </w:rPr>
              <w:t>0</w:t>
            </w:r>
          </w:p>
        </w:tc>
        <w:tc>
          <w:tcPr>
            <w:tcW w:w="7620" w:type="dxa"/>
          </w:tcPr>
          <w:p w14:paraId="2EEA207C" w14:textId="17CB8D0F" w:rsidR="00B42594" w:rsidRPr="00EB4F9A" w:rsidRDefault="00B42594"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w:t>
            </w:r>
            <w:r w:rsidR="005D07DF">
              <w:rPr>
                <w:rStyle w:val="InstructionsTabelleberschrift"/>
                <w:rFonts w:ascii="Times New Roman" w:hAnsi="Times New Roman"/>
                <w:sz w:val="24"/>
              </w:rPr>
              <w:t>MV under p</w:t>
            </w:r>
            <w:r w:rsidRPr="63452C95">
              <w:rPr>
                <w:rStyle w:val="InstructionsTabelleberschrift"/>
                <w:rFonts w:ascii="Times New Roman" w:hAnsi="Times New Roman"/>
                <w:sz w:val="24"/>
              </w:rPr>
              <w:t xml:space="preserve">arallel </w:t>
            </w:r>
            <w:r>
              <w:rPr>
                <w:rStyle w:val="InstructionsTabelleberschrift"/>
                <w:rFonts w:ascii="Times New Roman" w:hAnsi="Times New Roman"/>
                <w:sz w:val="24"/>
              </w:rPr>
              <w:t>s</w:t>
            </w:r>
            <w:r w:rsidRPr="63452C95">
              <w:rPr>
                <w:rStyle w:val="InstructionsTabelleberschrift"/>
                <w:rFonts w:ascii="Times New Roman" w:hAnsi="Times New Roman"/>
                <w:sz w:val="24"/>
              </w:rPr>
              <w:t xml:space="preserve">hock </w:t>
            </w:r>
            <w:r>
              <w:rPr>
                <w:rStyle w:val="InstructionsTabelleberschrift"/>
                <w:rFonts w:ascii="Times New Roman" w:hAnsi="Times New Roman"/>
                <w:sz w:val="24"/>
              </w:rPr>
              <w:t>d</w:t>
            </w:r>
            <w:r w:rsidRPr="63452C95">
              <w:rPr>
                <w:rStyle w:val="InstructionsTabelleberschrift"/>
                <w:rFonts w:ascii="Times New Roman" w:hAnsi="Times New Roman"/>
                <w:sz w:val="24"/>
              </w:rPr>
              <w:t>own</w:t>
            </w:r>
          </w:p>
          <w:p w14:paraId="39515A3E" w14:textId="4BADEEC0" w:rsidR="00B42594" w:rsidRPr="009442CD" w:rsidRDefault="00B42594" w:rsidP="0001573B">
            <w:pPr>
              <w:pStyle w:val="InstructionsText"/>
              <w:rPr>
                <w:rStyle w:val="InstructionsTabelleberschrift"/>
                <w:rFonts w:ascii="Times New Roman" w:hAnsi="Times New Roman"/>
                <w:sz w:val="24"/>
                <w:highlight w:val="yellow"/>
                <w:lang w:eastAsia="en-US"/>
              </w:rPr>
            </w:pPr>
            <w:r w:rsidRPr="63452C95">
              <w:rPr>
                <w:rStyle w:val="InstructionsTabelleberschrift"/>
                <w:rFonts w:ascii="Times New Roman" w:hAnsi="Times New Roman"/>
                <w:b w:val="0"/>
                <w:bCs w:val="0"/>
                <w:sz w:val="24"/>
                <w:u w:val="none"/>
              </w:rPr>
              <w:t>The</w:t>
            </w:r>
            <w:r>
              <w:rPr>
                <w:rStyle w:val="InstructionsTabelleberschrift"/>
                <w:rFonts w:ascii="Times New Roman" w:hAnsi="Times New Roman"/>
                <w:b w:val="0"/>
                <w:bCs w:val="0"/>
                <w:sz w:val="24"/>
                <w:u w:val="none"/>
              </w:rPr>
              <w:t xml:space="preserve"> </w:t>
            </w:r>
            <w:r w:rsidRPr="63452C95">
              <w:rPr>
                <w:rStyle w:val="InstructionsTabelleberschrift"/>
                <w:rFonts w:ascii="Times New Roman" w:hAnsi="Times New Roman"/>
                <w:b w:val="0"/>
                <w:bCs w:val="0"/>
                <w:sz w:val="24"/>
                <w:u w:val="none"/>
              </w:rPr>
              <w:t xml:space="preserve">change of </w:t>
            </w:r>
            <w:r w:rsidR="00CE1C68">
              <w:rPr>
                <w:rStyle w:val="InstructionsTabelleberschrift"/>
                <w:rFonts w:ascii="Times New Roman" w:hAnsi="Times New Roman"/>
                <w:b w:val="0"/>
                <w:bCs w:val="0"/>
                <w:sz w:val="24"/>
                <w:u w:val="none"/>
              </w:rPr>
              <w:t>MV</w:t>
            </w:r>
            <w:r w:rsidRPr="63452C95">
              <w:rPr>
                <w:rStyle w:val="InstructionsTabelleberschrift"/>
                <w:rFonts w:ascii="Times New Roman" w:hAnsi="Times New Roman"/>
                <w:b w:val="0"/>
                <w:bCs w:val="0"/>
                <w:sz w:val="24"/>
                <w:u w:val="none"/>
              </w:rPr>
              <w:t xml:space="preserve"> under the “parallel shock down” scenario specified in Article</w:t>
            </w:r>
            <w:r w:rsidR="007F62B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1, paragraph </w:t>
            </w:r>
            <w:r w:rsidR="007F62B7">
              <w:rPr>
                <w:rStyle w:val="InstructionsTabelleberschrift"/>
                <w:rFonts w:ascii="Times New Roman" w:hAnsi="Times New Roman"/>
                <w:b w:val="0"/>
                <w:bCs w:val="0"/>
                <w:sz w:val="24"/>
                <w:u w:val="none"/>
              </w:rPr>
              <w:t>2</w:t>
            </w:r>
            <w:r w:rsidRPr="63452C95">
              <w:rPr>
                <w:rStyle w:val="InstructionsTabelleberschrift"/>
                <w:rFonts w:ascii="Times New Roman" w:hAnsi="Times New Roman"/>
                <w:b w:val="0"/>
                <w:bCs w:val="0"/>
                <w:sz w:val="24"/>
                <w:u w:val="none"/>
              </w:rPr>
              <w:t xml:space="preserve">(b) and 3 of the </w:t>
            </w:r>
            <w:r w:rsidRPr="63452C95">
              <w:rPr>
                <w:rStyle w:val="FormatvorlageInstructionsTabelleText"/>
                <w:rFonts w:ascii="Times New Roman" w:hAnsi="Times New Roman"/>
                <w:sz w:val="24"/>
                <w:highlight w:val="lightGray"/>
              </w:rPr>
              <w:t>EBA RTS on SOT</w:t>
            </w:r>
            <w:r w:rsidRPr="63452C95">
              <w:rPr>
                <w:rStyle w:val="InstructionsTabelleberschrift"/>
                <w:rFonts w:ascii="Times New Roman" w:hAnsi="Times New Roman"/>
                <w:b w:val="0"/>
                <w:bCs w:val="0"/>
                <w:sz w:val="24"/>
                <w:u w:val="none"/>
              </w:rPr>
              <w:t>.</w:t>
            </w:r>
          </w:p>
        </w:tc>
      </w:tr>
      <w:tr w:rsidR="00BC1B09" w:rsidRPr="00EC067D" w14:paraId="49125AD4" w14:textId="77777777" w:rsidTr="00584AD6">
        <w:tc>
          <w:tcPr>
            <w:tcW w:w="1129" w:type="dxa"/>
            <w:tcBorders>
              <w:top w:val="single" w:sz="4" w:space="0" w:color="auto"/>
              <w:left w:val="single" w:sz="4" w:space="0" w:color="auto"/>
              <w:bottom w:val="single" w:sz="4" w:space="0" w:color="auto"/>
              <w:right w:val="single" w:sz="4" w:space="0" w:color="auto"/>
            </w:tcBorders>
          </w:tcPr>
          <w:p w14:paraId="17299BC8" w14:textId="2B2B1CEF" w:rsidR="00BC1B09" w:rsidRPr="003F3D6D" w:rsidRDefault="00BC1B09" w:rsidP="0001573B">
            <w:pPr>
              <w:pStyle w:val="InstructionsText"/>
              <w:rPr>
                <w:rStyle w:val="FormatvorlageInstructionsTabelleText"/>
                <w:rFonts w:ascii="Times New Roman" w:hAnsi="Times New Roman"/>
                <w:sz w:val="24"/>
              </w:rPr>
            </w:pPr>
            <w:r w:rsidRPr="00E278CF">
              <w:rPr>
                <w:rStyle w:val="FormatvorlageInstructionsTabelleText"/>
                <w:rFonts w:ascii="Times New Roman" w:hAnsi="Times New Roman"/>
                <w:sz w:val="24"/>
              </w:rPr>
              <w:t>0180-0200</w:t>
            </w:r>
          </w:p>
        </w:tc>
        <w:tc>
          <w:tcPr>
            <w:tcW w:w="7620" w:type="dxa"/>
            <w:tcBorders>
              <w:top w:val="single" w:sz="4" w:space="0" w:color="auto"/>
              <w:left w:val="single" w:sz="4" w:space="0" w:color="auto"/>
              <w:bottom w:val="single" w:sz="4" w:space="0" w:color="auto"/>
              <w:right w:val="single" w:sz="4" w:space="0" w:color="auto"/>
            </w:tcBorders>
          </w:tcPr>
          <w:p w14:paraId="583FA646" w14:textId="58882327" w:rsidR="00E278CF" w:rsidRDefault="00CF7339" w:rsidP="0001573B">
            <w:pPr>
              <w:pStyle w:val="InstructionsText"/>
              <w:rPr>
                <w:rStyle w:val="InstructionsTabelleberschrift"/>
                <w:rFonts w:ascii="Times New Roman" w:hAnsi="Times New Roman"/>
                <w:sz w:val="24"/>
              </w:rPr>
            </w:pPr>
            <w:r w:rsidRPr="00E278CF">
              <w:rPr>
                <w:rStyle w:val="InstructionsTabelleberschrift"/>
                <w:rFonts w:ascii="Times New Roman" w:hAnsi="Times New Roman"/>
                <w:sz w:val="24"/>
              </w:rPr>
              <w:t>O</w:t>
            </w:r>
            <w:r w:rsidR="007A3F70" w:rsidRPr="00E278CF">
              <w:rPr>
                <w:rStyle w:val="InstructionsTabelleberschrift"/>
                <w:rFonts w:ascii="Times New Roman" w:hAnsi="Times New Roman"/>
                <w:sz w:val="24"/>
              </w:rPr>
              <w:t xml:space="preserve">ther currencies: </w:t>
            </w:r>
            <w:r w:rsidR="00326075">
              <w:rPr>
                <w:rStyle w:val="InstructionsTabelleberschrift"/>
                <w:rFonts w:ascii="Times New Roman" w:hAnsi="Times New Roman"/>
                <w:sz w:val="24"/>
              </w:rPr>
              <w:t>S</w:t>
            </w:r>
            <w:r w:rsidR="007A3F70" w:rsidRPr="00E278CF">
              <w:rPr>
                <w:rStyle w:val="InstructionsTabelleberschrift"/>
                <w:rFonts w:ascii="Times New Roman" w:hAnsi="Times New Roman"/>
                <w:sz w:val="24"/>
              </w:rPr>
              <w:t>ize of interest rate shocks</w:t>
            </w:r>
          </w:p>
          <w:p w14:paraId="62EEE84C" w14:textId="28BC3B67" w:rsidR="00BC1B09" w:rsidRPr="00E278CF" w:rsidRDefault="00BC1B09" w:rsidP="0001573B">
            <w:pPr>
              <w:pStyle w:val="InstructionsText"/>
              <w:rPr>
                <w:rStyle w:val="FormatvorlageInstructionsTabelleText"/>
                <w:rFonts w:ascii="Times New Roman" w:hAnsi="Times New Roman"/>
                <w:bCs w:val="0"/>
                <w:sz w:val="24"/>
              </w:rPr>
            </w:pPr>
            <w:r w:rsidRPr="00E278CF">
              <w:rPr>
                <w:rStyle w:val="FormatvorlageInstructionsTabelleText"/>
                <w:rFonts w:ascii="Times New Roman" w:hAnsi="Times New Roman"/>
                <w:bCs w:val="0"/>
                <w:sz w:val="24"/>
              </w:rPr>
              <w:t xml:space="preserve">Article 2 of </w:t>
            </w:r>
            <w:r w:rsidRPr="00E278CF">
              <w:rPr>
                <w:rStyle w:val="FormatvorlageInstructionsTabelleText"/>
                <w:rFonts w:ascii="Times New Roman" w:hAnsi="Times New Roman"/>
                <w:bCs w:val="0"/>
                <w:sz w:val="24"/>
                <w:highlight w:val="lightGray"/>
              </w:rPr>
              <w:t>EBA RTS on SOT</w:t>
            </w:r>
            <w:r w:rsidRPr="00E278CF">
              <w:rPr>
                <w:rStyle w:val="FormatvorlageInstructionsTabelleText"/>
                <w:rFonts w:ascii="Times New Roman" w:hAnsi="Times New Roman"/>
                <w:bCs w:val="0"/>
                <w:sz w:val="24"/>
              </w:rPr>
              <w:t>.</w:t>
            </w:r>
          </w:p>
          <w:p w14:paraId="0252908B" w14:textId="24830D3E" w:rsidR="00BC1B09" w:rsidRPr="00E278CF" w:rsidRDefault="00BC1B09" w:rsidP="0001573B">
            <w:pPr>
              <w:pStyle w:val="InstructionsText"/>
              <w:rPr>
                <w:rStyle w:val="FormatvorlageInstructionsTabelleText"/>
                <w:rFonts w:ascii="Times New Roman" w:hAnsi="Times New Roman"/>
                <w:sz w:val="24"/>
              </w:rPr>
            </w:pPr>
            <w:r w:rsidRPr="00E278CF">
              <w:rPr>
                <w:rStyle w:val="FormatvorlageInstructionsTabelleText"/>
                <w:rFonts w:ascii="Times New Roman" w:hAnsi="Times New Roman"/>
                <w:sz w:val="24"/>
              </w:rPr>
              <w:t xml:space="preserve">Interest rate shocks for currencies calibrated according to Article 2 and 3 of </w:t>
            </w:r>
            <w:r w:rsidRPr="00E278CF">
              <w:rPr>
                <w:rStyle w:val="FormatvorlageInstructionsTabelleText"/>
                <w:rFonts w:ascii="Times New Roman" w:hAnsi="Times New Roman"/>
                <w:bCs w:val="0"/>
                <w:sz w:val="24"/>
                <w:highlight w:val="lightGray"/>
              </w:rPr>
              <w:t>EBA RTS on SOT</w:t>
            </w:r>
            <w:r w:rsidRPr="00E278CF">
              <w:rPr>
                <w:rStyle w:val="FormatvorlageInstructionsTabelleText"/>
                <w:rFonts w:ascii="Times New Roman" w:hAnsi="Times New Roman"/>
                <w:bCs w:val="0"/>
                <w:sz w:val="24"/>
              </w:rPr>
              <w:t xml:space="preserve">. </w:t>
            </w:r>
            <w:r w:rsidRPr="00E278CF">
              <w:rPr>
                <w:rStyle w:val="FormatvorlageInstructionsTabelleText"/>
                <w:rFonts w:ascii="Times New Roman" w:hAnsi="Times New Roman"/>
                <w:sz w:val="24"/>
              </w:rPr>
              <w:t>The size of the interest rate shocks shall be reported in basis points</w:t>
            </w:r>
            <w:r w:rsidR="009028CA">
              <w:rPr>
                <w:rStyle w:val="FormatvorlageInstructionsTabelleText"/>
                <w:rFonts w:ascii="Times New Roman" w:hAnsi="Times New Roman"/>
                <w:sz w:val="24"/>
              </w:rPr>
              <w:t xml:space="preserve"> and in absolute value.</w:t>
            </w:r>
            <w:r w:rsidR="00986581">
              <w:rPr>
                <w:rStyle w:val="FormatvorlageInstructionsTabelleText"/>
                <w:rFonts w:ascii="Times New Roman" w:hAnsi="Times New Roman"/>
                <w:sz w:val="24"/>
              </w:rPr>
              <w:t xml:space="preserve"> The shock size represents the difference (</w:t>
            </w:r>
            <w:r w:rsidR="00986581" w:rsidRPr="00DA5E34">
              <w:rPr>
                <w:rStyle w:val="FormatvorlageInstructionsTabelleText"/>
                <w:rFonts w:ascii="Times New Roman" w:hAnsi="Times New Roman"/>
                <w:sz w:val="24"/>
              </w:rPr>
              <w:t>Δ</w:t>
            </w:r>
            <w:r w:rsidR="00986581" w:rsidRPr="00DA5E34">
              <w:rPr>
                <w:rStyle w:val="FormatvorlageInstructionsTabelleText"/>
                <w:rFonts w:ascii="Cambria Math" w:hAnsi="Cambria Math" w:cs="Cambria Math"/>
                <w:sz w:val="24"/>
              </w:rPr>
              <w:t>𝑅</w:t>
            </w:r>
            <w:r w:rsidR="00986581" w:rsidRPr="00C40D23">
              <w:rPr>
                <w:rStyle w:val="FormatvorlageInstructionsTabelleText"/>
                <w:rFonts w:ascii="Times New Roman" w:hAnsi="Times New Roman"/>
                <w:sz w:val="24"/>
              </w:rPr>
              <w:t>) to the risk free interest rate</w:t>
            </w:r>
            <w:r w:rsidR="00986581">
              <w:rPr>
                <w:rStyle w:val="FormatvorlageInstructionsTabelleText"/>
                <w:rFonts w:ascii="Times New Roman" w:hAnsi="Times New Roman"/>
                <w:sz w:val="24"/>
              </w:rPr>
              <w:t>.</w:t>
            </w:r>
          </w:p>
          <w:p w14:paraId="0D8BD90C" w14:textId="4FF4865D" w:rsidR="00BC1B09" w:rsidRPr="003F3D6D" w:rsidRDefault="00BC1B09" w:rsidP="0001573B">
            <w:pPr>
              <w:pStyle w:val="InstructionsText"/>
              <w:rPr>
                <w:rStyle w:val="FormatvorlageInstructionsTabelleText"/>
                <w:rFonts w:ascii="Times New Roman" w:hAnsi="Times New Roman"/>
                <w:b/>
                <w:sz w:val="24"/>
                <w:highlight w:val="yellow"/>
                <w:u w:val="single"/>
              </w:rPr>
            </w:pPr>
            <w:r w:rsidRPr="00E278CF">
              <w:rPr>
                <w:rStyle w:val="InstructionsTabelleberschrift"/>
                <w:rFonts w:ascii="Times New Roman" w:hAnsi="Times New Roman"/>
                <w:b w:val="0"/>
                <w:bCs w:val="0"/>
                <w:sz w:val="24"/>
                <w:u w:val="none"/>
              </w:rPr>
              <w:t xml:space="preserve">These rows shall not be reported for currencies referred to in Annex I of </w:t>
            </w:r>
            <w:r w:rsidRPr="00E278CF">
              <w:rPr>
                <w:rStyle w:val="FormatvorlageInstructionsTabelleText"/>
                <w:rFonts w:ascii="Times New Roman" w:hAnsi="Times New Roman"/>
                <w:sz w:val="24"/>
                <w:highlight w:val="lightGray"/>
              </w:rPr>
              <w:t>EBA RTS on SOT</w:t>
            </w:r>
            <w:r w:rsidRPr="00E278CF">
              <w:rPr>
                <w:rStyle w:val="FormatvorlageInstructionsTabelleText"/>
                <w:rFonts w:ascii="Times New Roman" w:hAnsi="Times New Roman"/>
                <w:sz w:val="24"/>
              </w:rPr>
              <w:t xml:space="preserve">. They shall only be reported for the currencies considered in the SOT, </w:t>
            </w:r>
            <w:r w:rsidRPr="00E278CF">
              <w:rPr>
                <w:rFonts w:eastAsia="Verdana"/>
                <w:lang w:val="en-US"/>
              </w:rPr>
              <w:t xml:space="preserve">in accordance with Article 1(3) of the </w:t>
            </w:r>
            <w:r w:rsidRPr="00E278CF">
              <w:rPr>
                <w:highlight w:val="lightGray"/>
              </w:rPr>
              <w:t>EBA RTS on SOT</w:t>
            </w:r>
            <w:r w:rsidR="00D04837" w:rsidRPr="00E278CF">
              <w:rPr>
                <w:rStyle w:val="FormatvorlageInstructionsTabelleText"/>
                <w:rFonts w:ascii="Times New Roman" w:hAnsi="Times New Roman"/>
                <w:sz w:val="24"/>
              </w:rPr>
              <w:t>.</w:t>
            </w:r>
          </w:p>
        </w:tc>
      </w:tr>
      <w:tr w:rsidR="00C043E8" w:rsidRPr="00EC067D" w14:paraId="5070F8ED" w14:textId="77777777" w:rsidTr="00584AD6">
        <w:tc>
          <w:tcPr>
            <w:tcW w:w="1129" w:type="dxa"/>
            <w:tcBorders>
              <w:top w:val="single" w:sz="4" w:space="0" w:color="auto"/>
              <w:left w:val="single" w:sz="4" w:space="0" w:color="auto"/>
              <w:bottom w:val="single" w:sz="4" w:space="0" w:color="auto"/>
              <w:right w:val="single" w:sz="4" w:space="0" w:color="auto"/>
            </w:tcBorders>
          </w:tcPr>
          <w:p w14:paraId="60335D11" w14:textId="19990D2A" w:rsidR="00C043E8" w:rsidRPr="00EC067D" w:rsidRDefault="00C043E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0180</w:t>
            </w:r>
          </w:p>
        </w:tc>
        <w:tc>
          <w:tcPr>
            <w:tcW w:w="7620" w:type="dxa"/>
            <w:tcBorders>
              <w:top w:val="single" w:sz="4" w:space="0" w:color="auto"/>
              <w:left w:val="single" w:sz="4" w:space="0" w:color="auto"/>
              <w:bottom w:val="single" w:sz="4" w:space="0" w:color="auto"/>
              <w:right w:val="single" w:sz="4" w:space="0" w:color="auto"/>
            </w:tcBorders>
          </w:tcPr>
          <w:p w14:paraId="5B798E8E" w14:textId="08EAD8AD" w:rsidR="00C043E8" w:rsidRDefault="00C043E8" w:rsidP="0001573B">
            <w:pPr>
              <w:pStyle w:val="InstructionsText"/>
              <w:rPr>
                <w:rStyle w:val="InstructionsTabelleberschrift"/>
                <w:rFonts w:ascii="Times New Roman" w:hAnsi="Times New Roman"/>
                <w:sz w:val="24"/>
              </w:rPr>
            </w:pPr>
            <w:r w:rsidRPr="34CF7408">
              <w:rPr>
                <w:rStyle w:val="InstructionsTabelleberschrift"/>
                <w:rFonts w:ascii="Times New Roman" w:hAnsi="Times New Roman"/>
                <w:sz w:val="24"/>
              </w:rPr>
              <w:t>Parallel Shock</w:t>
            </w:r>
            <w:r>
              <w:rPr>
                <w:rStyle w:val="InstructionsTabelleberschrift"/>
                <w:rFonts w:ascii="Times New Roman" w:hAnsi="Times New Roman"/>
                <w:sz w:val="24"/>
              </w:rPr>
              <w:t xml:space="preserve"> </w:t>
            </w:r>
          </w:p>
          <w:p w14:paraId="120B2401" w14:textId="3643A9BA" w:rsidR="00C043E8" w:rsidRPr="00584AD6" w:rsidRDefault="00C043E8" w:rsidP="0001573B">
            <w:pPr>
              <w:pStyle w:val="InstructionsText"/>
              <w:rPr>
                <w:rStyle w:val="InstructionsTabelleberschrift"/>
                <w:rFonts w:ascii="Times New Roman" w:hAnsi="Times New Roman"/>
                <w:sz w:val="24"/>
              </w:rPr>
            </w:pPr>
            <w:r>
              <w:rPr>
                <w:rStyle w:val="FormatvorlageInstructionsTabelleText"/>
                <w:rFonts w:ascii="Times New Roman" w:hAnsi="Times New Roman"/>
                <w:sz w:val="24"/>
              </w:rPr>
              <w:t xml:space="preserve">Size of </w:t>
            </w:r>
            <w:r w:rsidR="007A7C5D">
              <w:rPr>
                <w:rStyle w:val="FormatvorlageInstructionsTabelleText"/>
                <w:rFonts w:ascii="Times New Roman" w:hAnsi="Times New Roman"/>
                <w:sz w:val="24"/>
              </w:rPr>
              <w:t xml:space="preserve">parallel </w:t>
            </w:r>
            <w:r>
              <w:rPr>
                <w:rStyle w:val="FormatvorlageInstructionsTabelleText"/>
                <w:rFonts w:ascii="Times New Roman" w:hAnsi="Times New Roman"/>
                <w:sz w:val="24"/>
              </w:rPr>
              <w:t xml:space="preserve">shock of interest rates </w:t>
            </w:r>
            <w:r w:rsidRPr="00954BFA">
              <w:rPr>
                <w:rStyle w:val="FormatvorlageInstructionsTabelleText"/>
                <w:rFonts w:ascii="Times New Roman" w:hAnsi="Times New Roman"/>
                <w:sz w:val="24"/>
              </w:rPr>
              <w:t>in basis point</w:t>
            </w:r>
            <w:r>
              <w:rPr>
                <w:rStyle w:val="FormatvorlageInstructionsTabelleText"/>
                <w:rFonts w:ascii="Times New Roman" w:hAnsi="Times New Roman"/>
                <w:sz w:val="24"/>
              </w:rPr>
              <w:t>s</w:t>
            </w:r>
            <w:r w:rsidRPr="00954BFA">
              <w:rPr>
                <w:rStyle w:val="FormatvorlageInstructionsTabelleText"/>
                <w:rFonts w:ascii="Times New Roman" w:hAnsi="Times New Roman"/>
                <w:sz w:val="24"/>
              </w:rPr>
              <w:t xml:space="preserve"> </w:t>
            </w:r>
            <w:r w:rsidR="007A7C5D">
              <w:rPr>
                <w:rStyle w:val="FormatvorlageInstructionsTabelleText"/>
                <w:rFonts w:ascii="Times New Roman" w:hAnsi="Times New Roman"/>
                <w:sz w:val="24"/>
              </w:rPr>
              <w:t xml:space="preserve">calibrated </w:t>
            </w:r>
            <w:r w:rsidRPr="00954BFA">
              <w:rPr>
                <w:rStyle w:val="FormatvorlageInstructionsTabelleText"/>
                <w:rFonts w:ascii="Times New Roman" w:hAnsi="Times New Roman"/>
                <w:sz w:val="24"/>
              </w:rPr>
              <w:t xml:space="preserve">according to </w:t>
            </w:r>
            <w:r w:rsidRPr="63452C95">
              <w:rPr>
                <w:rStyle w:val="FormatvorlageInstructionsTabelleText"/>
                <w:rFonts w:ascii="Times New Roman" w:hAnsi="Times New Roman"/>
                <w:sz w:val="24"/>
              </w:rPr>
              <w:t xml:space="preserve">Article 2(1) and Article 3(a) of </w:t>
            </w:r>
            <w:r w:rsidRPr="63452C95">
              <w:rPr>
                <w:highlight w:val="lightGray"/>
              </w:rPr>
              <w:t>EBA RTS on SOT</w:t>
            </w:r>
            <w:r w:rsidRPr="63452C95">
              <w:rPr>
                <w:rStyle w:val="FormatvorlageInstructionsTabelleText"/>
                <w:rFonts w:ascii="Times New Roman" w:hAnsi="Times New Roman"/>
                <w:sz w:val="24"/>
              </w:rPr>
              <w:t>.</w:t>
            </w:r>
            <w:r>
              <w:rPr>
                <w:rStyle w:val="FormatvorlageInstructionsTabelleText"/>
                <w:rFonts w:ascii="Times New Roman" w:hAnsi="Times New Roman"/>
                <w:sz w:val="24"/>
              </w:rPr>
              <w:t xml:space="preserve"> </w:t>
            </w:r>
          </w:p>
        </w:tc>
      </w:tr>
      <w:tr w:rsidR="00C043E8" w:rsidRPr="00EC067D" w14:paraId="5F947ED6" w14:textId="77777777" w:rsidTr="00584AD6">
        <w:tc>
          <w:tcPr>
            <w:tcW w:w="1129" w:type="dxa"/>
            <w:tcBorders>
              <w:top w:val="single" w:sz="4" w:space="0" w:color="auto"/>
              <w:left w:val="single" w:sz="4" w:space="0" w:color="auto"/>
              <w:bottom w:val="single" w:sz="4" w:space="0" w:color="auto"/>
              <w:right w:val="single" w:sz="4" w:space="0" w:color="auto"/>
            </w:tcBorders>
          </w:tcPr>
          <w:p w14:paraId="190A8FA4" w14:textId="5E5DF42D" w:rsidR="00C043E8" w:rsidRPr="00EC067D" w:rsidRDefault="00C043E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0190</w:t>
            </w:r>
          </w:p>
        </w:tc>
        <w:tc>
          <w:tcPr>
            <w:tcW w:w="7620" w:type="dxa"/>
            <w:tcBorders>
              <w:top w:val="single" w:sz="4" w:space="0" w:color="auto"/>
              <w:left w:val="single" w:sz="4" w:space="0" w:color="auto"/>
              <w:bottom w:val="single" w:sz="4" w:space="0" w:color="auto"/>
              <w:right w:val="single" w:sz="4" w:space="0" w:color="auto"/>
            </w:tcBorders>
          </w:tcPr>
          <w:p w14:paraId="5767B4BF" w14:textId="5CD31C76" w:rsidR="00C043E8" w:rsidRDefault="00C043E8"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sz w:val="24"/>
              </w:rPr>
              <w:t xml:space="preserve">Short </w:t>
            </w:r>
            <w:r w:rsidR="00326075">
              <w:rPr>
                <w:rStyle w:val="InstructionsTabelleberschrift"/>
                <w:rFonts w:ascii="Times New Roman" w:hAnsi="Times New Roman"/>
                <w:sz w:val="24"/>
              </w:rPr>
              <w:t>r</w:t>
            </w:r>
            <w:r w:rsidR="00643D03">
              <w:rPr>
                <w:rStyle w:val="InstructionsTabelleberschrift"/>
                <w:rFonts w:ascii="Times New Roman" w:hAnsi="Times New Roman"/>
                <w:sz w:val="24"/>
              </w:rPr>
              <w:t xml:space="preserve">ate </w:t>
            </w:r>
            <w:r w:rsidR="00326075">
              <w:rPr>
                <w:rStyle w:val="InstructionsTabelleberschrift"/>
                <w:rFonts w:ascii="Times New Roman" w:hAnsi="Times New Roman"/>
                <w:sz w:val="24"/>
              </w:rPr>
              <w:t>s</w:t>
            </w:r>
            <w:r w:rsidRPr="63452C95">
              <w:rPr>
                <w:rStyle w:val="InstructionsTabelleberschrift"/>
                <w:rFonts w:ascii="Times New Roman" w:hAnsi="Times New Roman"/>
                <w:sz w:val="24"/>
              </w:rPr>
              <w:t>hock</w:t>
            </w:r>
          </w:p>
          <w:p w14:paraId="268536D0" w14:textId="798C2DC9" w:rsidR="00C043E8" w:rsidRPr="00584AD6" w:rsidRDefault="00C043E8" w:rsidP="0001573B">
            <w:pPr>
              <w:pStyle w:val="InstructionsText"/>
              <w:rPr>
                <w:rStyle w:val="InstructionsTabelleberschrift"/>
                <w:rFonts w:ascii="Times New Roman" w:hAnsi="Times New Roman"/>
                <w:sz w:val="24"/>
              </w:rPr>
            </w:pPr>
            <w:r>
              <w:rPr>
                <w:rStyle w:val="FormatvorlageInstructionsTabelleText"/>
                <w:rFonts w:ascii="Times New Roman" w:hAnsi="Times New Roman"/>
                <w:sz w:val="24"/>
              </w:rPr>
              <w:t xml:space="preserve">Size of </w:t>
            </w:r>
            <w:r w:rsidR="00FF151F">
              <w:rPr>
                <w:rStyle w:val="FormatvorlageInstructionsTabelleText"/>
                <w:rFonts w:ascii="Times New Roman" w:hAnsi="Times New Roman"/>
                <w:sz w:val="24"/>
              </w:rPr>
              <w:t xml:space="preserve">short </w:t>
            </w:r>
            <w:r>
              <w:rPr>
                <w:rStyle w:val="FormatvorlageInstructionsTabelleText"/>
                <w:rFonts w:ascii="Times New Roman" w:hAnsi="Times New Roman"/>
                <w:sz w:val="24"/>
              </w:rPr>
              <w:t xml:space="preserve">shock of interest rates </w:t>
            </w:r>
            <w:r w:rsidRPr="00DA5E34">
              <w:rPr>
                <w:rStyle w:val="FormatvorlageInstructionsTabelleText"/>
                <w:rFonts w:ascii="Times New Roman" w:hAnsi="Times New Roman"/>
                <w:sz w:val="24"/>
              </w:rPr>
              <w:t>in basis point</w:t>
            </w:r>
            <w:r>
              <w:rPr>
                <w:rStyle w:val="FormatvorlageInstructionsTabelleText"/>
                <w:rFonts w:ascii="Times New Roman" w:hAnsi="Times New Roman"/>
                <w:sz w:val="24"/>
              </w:rPr>
              <w:t>s</w:t>
            </w:r>
            <w:r w:rsidRPr="00DA5E34">
              <w:rPr>
                <w:rStyle w:val="FormatvorlageInstructionsTabelleText"/>
                <w:rFonts w:ascii="Times New Roman" w:hAnsi="Times New Roman"/>
                <w:sz w:val="24"/>
              </w:rPr>
              <w:t xml:space="preserve"> </w:t>
            </w:r>
            <w:r w:rsidR="00FF151F">
              <w:rPr>
                <w:rStyle w:val="FormatvorlageInstructionsTabelleText"/>
                <w:rFonts w:ascii="Times New Roman" w:hAnsi="Times New Roman"/>
                <w:sz w:val="24"/>
              </w:rPr>
              <w:t>calibrated</w:t>
            </w:r>
            <w:r w:rsidR="00FF151F" w:rsidRPr="00DA5E34">
              <w:rPr>
                <w:rStyle w:val="FormatvorlageInstructionsTabelleText"/>
                <w:rFonts w:ascii="Times New Roman" w:hAnsi="Times New Roman"/>
                <w:sz w:val="24"/>
              </w:rPr>
              <w:t xml:space="preserve"> </w:t>
            </w:r>
            <w:r w:rsidRPr="00DA5E34">
              <w:rPr>
                <w:rStyle w:val="FormatvorlageInstructionsTabelleText"/>
                <w:rFonts w:ascii="Times New Roman" w:hAnsi="Times New Roman"/>
                <w:sz w:val="24"/>
              </w:rPr>
              <w:t xml:space="preserve">according to the </w:t>
            </w:r>
            <w:r>
              <w:rPr>
                <w:rStyle w:val="FormatvorlageInstructionsTabelleText"/>
                <w:rFonts w:ascii="Times New Roman" w:hAnsi="Times New Roman"/>
                <w:sz w:val="24"/>
              </w:rPr>
              <w:t xml:space="preserve">short </w:t>
            </w:r>
            <w:r w:rsidRPr="00DA5E34">
              <w:rPr>
                <w:rStyle w:val="FormatvorlageInstructionsTabelleText"/>
                <w:rFonts w:ascii="Times New Roman" w:hAnsi="Times New Roman"/>
                <w:sz w:val="24"/>
              </w:rPr>
              <w:t>shock defined in</w:t>
            </w:r>
            <w:r>
              <w:rPr>
                <w:rFonts w:ascii="Cambria Math" w:hAnsi="Cambria Math" w:cs="Cambria Math"/>
                <w:sz w:val="23"/>
                <w:szCs w:val="23"/>
              </w:rPr>
              <w:t xml:space="preserve"> </w:t>
            </w:r>
            <w:r w:rsidRPr="63452C95">
              <w:rPr>
                <w:rStyle w:val="FormatvorlageInstructionsTabelleText"/>
                <w:rFonts w:ascii="Times New Roman" w:hAnsi="Times New Roman"/>
                <w:sz w:val="24"/>
              </w:rPr>
              <w:t xml:space="preserve">Article 2(1) and Article 3(b) of </w:t>
            </w:r>
            <w:r w:rsidRPr="63452C95">
              <w:rPr>
                <w:rStyle w:val="FormatvorlageInstructionsTabelleText"/>
                <w:rFonts w:ascii="Times New Roman" w:hAnsi="Times New Roman"/>
                <w:sz w:val="24"/>
                <w:highlight w:val="lightGray"/>
              </w:rPr>
              <w:t>EBA RTS on SOT</w:t>
            </w:r>
            <w:r w:rsidRPr="63452C95">
              <w:rPr>
                <w:rStyle w:val="FormatvorlageInstructionsTabelleText"/>
                <w:rFonts w:ascii="Times New Roman" w:hAnsi="Times New Roman"/>
                <w:sz w:val="24"/>
              </w:rPr>
              <w:t>.</w:t>
            </w:r>
          </w:p>
        </w:tc>
      </w:tr>
      <w:tr w:rsidR="00C043E8" w:rsidRPr="00EC067D" w14:paraId="1C319AB8" w14:textId="77777777" w:rsidTr="00584AD6">
        <w:tc>
          <w:tcPr>
            <w:tcW w:w="1129" w:type="dxa"/>
            <w:tcBorders>
              <w:top w:val="single" w:sz="4" w:space="0" w:color="auto"/>
              <w:left w:val="single" w:sz="4" w:space="0" w:color="auto"/>
              <w:bottom w:val="single" w:sz="4" w:space="0" w:color="auto"/>
              <w:right w:val="single" w:sz="4" w:space="0" w:color="auto"/>
            </w:tcBorders>
          </w:tcPr>
          <w:p w14:paraId="5ED2B733" w14:textId="0996E2FC" w:rsidR="00C043E8" w:rsidRPr="00EC067D" w:rsidRDefault="00C043E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0200</w:t>
            </w:r>
          </w:p>
        </w:tc>
        <w:tc>
          <w:tcPr>
            <w:tcW w:w="7620" w:type="dxa"/>
            <w:tcBorders>
              <w:top w:val="single" w:sz="4" w:space="0" w:color="auto"/>
              <w:left w:val="single" w:sz="4" w:space="0" w:color="auto"/>
              <w:bottom w:val="single" w:sz="4" w:space="0" w:color="auto"/>
              <w:right w:val="single" w:sz="4" w:space="0" w:color="auto"/>
            </w:tcBorders>
          </w:tcPr>
          <w:p w14:paraId="1ABAAF9D" w14:textId="29F7B72E" w:rsidR="00C043E8" w:rsidRDefault="00C043E8" w:rsidP="0001573B">
            <w:pPr>
              <w:pStyle w:val="InstructionsText"/>
              <w:rPr>
                <w:rStyle w:val="InstructionsTabelleberschrift"/>
                <w:rFonts w:ascii="Times New Roman" w:hAnsi="Times New Roman"/>
                <w:sz w:val="24"/>
              </w:rPr>
            </w:pPr>
            <w:r w:rsidRPr="34CF7408">
              <w:rPr>
                <w:rStyle w:val="InstructionsTabelleberschrift"/>
                <w:rFonts w:ascii="Times New Roman" w:hAnsi="Times New Roman"/>
                <w:sz w:val="24"/>
              </w:rPr>
              <w:t xml:space="preserve">Long </w:t>
            </w:r>
            <w:r w:rsidR="00326075">
              <w:rPr>
                <w:rStyle w:val="InstructionsTabelleberschrift"/>
                <w:rFonts w:ascii="Times New Roman" w:hAnsi="Times New Roman"/>
                <w:sz w:val="24"/>
              </w:rPr>
              <w:t>r</w:t>
            </w:r>
            <w:r w:rsidR="00643D03">
              <w:rPr>
                <w:rStyle w:val="InstructionsTabelleberschrift"/>
                <w:rFonts w:ascii="Times New Roman" w:hAnsi="Times New Roman"/>
                <w:sz w:val="24"/>
              </w:rPr>
              <w:t>ate</w:t>
            </w:r>
            <w:r w:rsidRPr="34CF7408">
              <w:rPr>
                <w:rStyle w:val="InstructionsTabelleberschrift"/>
                <w:rFonts w:ascii="Times New Roman" w:hAnsi="Times New Roman"/>
                <w:sz w:val="24"/>
              </w:rPr>
              <w:t xml:space="preserve"> </w:t>
            </w:r>
            <w:r w:rsidR="00326075">
              <w:rPr>
                <w:rStyle w:val="InstructionsTabelleberschrift"/>
                <w:rFonts w:ascii="Times New Roman" w:hAnsi="Times New Roman"/>
                <w:sz w:val="24"/>
              </w:rPr>
              <w:t>s</w:t>
            </w:r>
            <w:r w:rsidRPr="34CF7408">
              <w:rPr>
                <w:rStyle w:val="InstructionsTabelleberschrift"/>
                <w:rFonts w:ascii="Times New Roman" w:hAnsi="Times New Roman"/>
                <w:sz w:val="24"/>
              </w:rPr>
              <w:t>hock</w:t>
            </w:r>
          </w:p>
          <w:p w14:paraId="0C2901AA" w14:textId="3749C132" w:rsidR="00C043E8" w:rsidRPr="00584AD6" w:rsidRDefault="00C043E8" w:rsidP="0001573B">
            <w:pPr>
              <w:pStyle w:val="InstructionsText"/>
              <w:rPr>
                <w:rStyle w:val="InstructionsTabelleberschrift"/>
                <w:rFonts w:ascii="Times New Roman" w:hAnsi="Times New Roman"/>
                <w:sz w:val="24"/>
              </w:rPr>
            </w:pPr>
            <w:r>
              <w:rPr>
                <w:rStyle w:val="FormatvorlageInstructionsTabelleText"/>
                <w:rFonts w:ascii="Times New Roman" w:hAnsi="Times New Roman"/>
                <w:sz w:val="24"/>
              </w:rPr>
              <w:t xml:space="preserve">Size of </w:t>
            </w:r>
            <w:r w:rsidR="00FF151F">
              <w:rPr>
                <w:rStyle w:val="FormatvorlageInstructionsTabelleText"/>
                <w:rFonts w:ascii="Times New Roman" w:hAnsi="Times New Roman"/>
                <w:sz w:val="24"/>
              </w:rPr>
              <w:t xml:space="preserve">long </w:t>
            </w:r>
            <w:r>
              <w:rPr>
                <w:rStyle w:val="FormatvorlageInstructionsTabelleText"/>
                <w:rFonts w:ascii="Times New Roman" w:hAnsi="Times New Roman"/>
                <w:sz w:val="24"/>
              </w:rPr>
              <w:t xml:space="preserve">shock of interest rates </w:t>
            </w:r>
            <w:r w:rsidRPr="00DA5E34">
              <w:rPr>
                <w:rStyle w:val="FormatvorlageInstructionsTabelleText"/>
                <w:rFonts w:ascii="Times New Roman" w:hAnsi="Times New Roman"/>
                <w:sz w:val="24"/>
              </w:rPr>
              <w:t>i</w:t>
            </w:r>
            <w:r>
              <w:rPr>
                <w:rStyle w:val="FormatvorlageInstructionsTabelleText"/>
                <w:rFonts w:ascii="Times New Roman" w:hAnsi="Times New Roman"/>
                <w:sz w:val="24"/>
              </w:rPr>
              <w:t xml:space="preserve">n basis points </w:t>
            </w:r>
            <w:r w:rsidR="00FF151F">
              <w:rPr>
                <w:rStyle w:val="FormatvorlageInstructionsTabelleText"/>
                <w:rFonts w:ascii="Times New Roman" w:hAnsi="Times New Roman"/>
                <w:sz w:val="24"/>
              </w:rPr>
              <w:t xml:space="preserve">calibrated </w:t>
            </w:r>
            <w:r>
              <w:rPr>
                <w:rStyle w:val="FormatvorlageInstructionsTabelleText"/>
                <w:rFonts w:ascii="Times New Roman" w:hAnsi="Times New Roman"/>
                <w:sz w:val="24"/>
              </w:rPr>
              <w:t>according to the long</w:t>
            </w:r>
            <w:r w:rsidRPr="00DA5E34">
              <w:rPr>
                <w:rStyle w:val="FormatvorlageInstructionsTabelleText"/>
                <w:rFonts w:ascii="Times New Roman" w:hAnsi="Times New Roman"/>
                <w:sz w:val="24"/>
              </w:rPr>
              <w:t xml:space="preserve"> shock defined in</w:t>
            </w:r>
            <w:r>
              <w:rPr>
                <w:rFonts w:ascii="Cambria Math" w:hAnsi="Cambria Math" w:cs="Cambria Math"/>
                <w:sz w:val="23"/>
                <w:szCs w:val="23"/>
              </w:rPr>
              <w:t xml:space="preserve"> </w:t>
            </w:r>
            <w:r w:rsidRPr="63452C95">
              <w:rPr>
                <w:rStyle w:val="FormatvorlageInstructionsTabelleText"/>
                <w:rFonts w:ascii="Times New Roman" w:hAnsi="Times New Roman"/>
                <w:sz w:val="24"/>
              </w:rPr>
              <w:t xml:space="preserve">Article 2(1) and Article 3(c) of </w:t>
            </w:r>
            <w:r w:rsidRPr="63452C95">
              <w:rPr>
                <w:rStyle w:val="FormatvorlageInstructionsTabelleText"/>
                <w:rFonts w:ascii="Times New Roman" w:hAnsi="Times New Roman"/>
                <w:sz w:val="24"/>
                <w:highlight w:val="lightGray"/>
              </w:rPr>
              <w:t>EBA RTS on SOT</w:t>
            </w:r>
            <w:r w:rsidRPr="63452C95">
              <w:rPr>
                <w:rStyle w:val="FormatvorlageInstructionsTabelleText"/>
                <w:rFonts w:ascii="Times New Roman" w:hAnsi="Times New Roman"/>
                <w:sz w:val="24"/>
              </w:rPr>
              <w:t>.</w:t>
            </w:r>
          </w:p>
        </w:tc>
      </w:tr>
    </w:tbl>
    <w:p w14:paraId="61DBD972" w14:textId="2B4115DD" w:rsidR="009E536A" w:rsidRDefault="009E536A" w:rsidP="006137FD">
      <w:pPr>
        <w:spacing w:after="0"/>
        <w:rPr>
          <w:rStyle w:val="InstructionsTabelleText"/>
          <w:rFonts w:ascii="Times New Roman" w:hAnsi="Times New Roman"/>
          <w:sz w:val="24"/>
        </w:rPr>
      </w:pPr>
    </w:p>
    <w:p w14:paraId="144E410A" w14:textId="7E7BFF82" w:rsidR="00AD0050" w:rsidRDefault="00AD0050">
      <w:pPr>
        <w:spacing w:before="0" w:after="0"/>
        <w:jc w:val="left"/>
        <w:rPr>
          <w:rStyle w:val="InstructionsTabelleText"/>
          <w:rFonts w:ascii="Times New Roman" w:hAnsi="Times New Roman"/>
          <w:sz w:val="24"/>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AD0050" w:rsidRPr="00561EB7" w14:paraId="2EABC7FA" w14:textId="77777777" w:rsidTr="00466F09">
        <w:trPr>
          <w:trHeight w:val="638"/>
        </w:trPr>
        <w:tc>
          <w:tcPr>
            <w:tcW w:w="1129" w:type="dxa"/>
            <w:shd w:val="clear" w:color="auto" w:fill="D9D9D9" w:themeFill="background1" w:themeFillShade="D9"/>
          </w:tcPr>
          <w:p w14:paraId="1921E000" w14:textId="77777777" w:rsidR="00AD0050" w:rsidRPr="00561EB7" w:rsidRDefault="00AD0050" w:rsidP="0001573B">
            <w:pPr>
              <w:pStyle w:val="InstructionsText"/>
              <w:rPr>
                <w:rStyle w:val="InstructionsTabelleText"/>
                <w:rFonts w:ascii="Times New Roman" w:hAnsi="Times New Roman"/>
                <w:bCs/>
                <w:sz w:val="24"/>
                <w:lang w:eastAsia="en-US"/>
              </w:rPr>
            </w:pPr>
            <w:r w:rsidRPr="00561EB7">
              <w:rPr>
                <w:rStyle w:val="InstructionsTabelleText"/>
                <w:rFonts w:ascii="Times New Roman" w:hAnsi="Times New Roman"/>
                <w:sz w:val="24"/>
              </w:rPr>
              <w:t>Columns</w:t>
            </w:r>
          </w:p>
        </w:tc>
        <w:tc>
          <w:tcPr>
            <w:tcW w:w="7620" w:type="dxa"/>
            <w:shd w:val="clear" w:color="auto" w:fill="D9D9D9" w:themeFill="background1" w:themeFillShade="D9"/>
          </w:tcPr>
          <w:p w14:paraId="439B0F6E" w14:textId="77777777" w:rsidR="00AD0050" w:rsidRPr="00561EB7" w:rsidRDefault="00AD0050" w:rsidP="0001573B">
            <w:pPr>
              <w:pStyle w:val="InstructionsText"/>
              <w:rPr>
                <w:rStyle w:val="InstructionsTabelleText"/>
                <w:rFonts w:ascii="Times New Roman" w:hAnsi="Times New Roman"/>
                <w:bCs/>
                <w:sz w:val="24"/>
                <w:lang w:eastAsia="en-US"/>
              </w:rPr>
            </w:pPr>
            <w:r w:rsidRPr="00561EB7">
              <w:rPr>
                <w:rStyle w:val="InstructionsTabelleText"/>
                <w:rFonts w:ascii="Times New Roman" w:hAnsi="Times New Roman"/>
                <w:sz w:val="24"/>
              </w:rPr>
              <w:t>Legal references and instructions</w:t>
            </w:r>
          </w:p>
        </w:tc>
      </w:tr>
      <w:tr w:rsidR="00AD0050" w:rsidRPr="00953E96" w14:paraId="47947801" w14:textId="77777777" w:rsidTr="63452C95">
        <w:tc>
          <w:tcPr>
            <w:tcW w:w="1129" w:type="dxa"/>
          </w:tcPr>
          <w:p w14:paraId="0F239392" w14:textId="77777777" w:rsidR="00AD0050" w:rsidRPr="00561EB7" w:rsidRDefault="00AD0050" w:rsidP="0001573B">
            <w:pPr>
              <w:pStyle w:val="InstructionsText"/>
              <w:rPr>
                <w:rStyle w:val="FormatvorlageInstructionsTabelleText"/>
                <w:rFonts w:ascii="Times New Roman" w:hAnsi="Times New Roman"/>
                <w:sz w:val="24"/>
                <w:lang w:eastAsia="en-US"/>
              </w:rPr>
            </w:pPr>
            <w:r w:rsidRPr="00561EB7">
              <w:rPr>
                <w:rStyle w:val="FormatvorlageInstructionsTabelleText"/>
                <w:rFonts w:ascii="Times New Roman" w:hAnsi="Times New Roman"/>
                <w:sz w:val="24"/>
              </w:rPr>
              <w:t>0010</w:t>
            </w:r>
          </w:p>
        </w:tc>
        <w:tc>
          <w:tcPr>
            <w:tcW w:w="7620" w:type="dxa"/>
          </w:tcPr>
          <w:p w14:paraId="62E10208" w14:textId="0AA82A12" w:rsidR="00AD0050" w:rsidRPr="00561EB7" w:rsidRDefault="10290D55" w:rsidP="0001573B">
            <w:pPr>
              <w:pStyle w:val="InstructionsText"/>
              <w:rPr>
                <w:rStyle w:val="InstructionsTabelleberschrift"/>
                <w:rFonts w:ascii="Times New Roman" w:hAnsi="Times New Roman"/>
                <w:sz w:val="24"/>
              </w:rPr>
            </w:pPr>
            <w:r w:rsidRPr="34CF7408">
              <w:rPr>
                <w:rStyle w:val="InstructionsTabelleberschrift"/>
                <w:rFonts w:ascii="Times New Roman" w:hAnsi="Times New Roman"/>
                <w:sz w:val="24"/>
              </w:rPr>
              <w:t>Amount</w:t>
            </w:r>
          </w:p>
          <w:p w14:paraId="6D17DD5F" w14:textId="37443CB1" w:rsidR="00AD0050" w:rsidRPr="00953E96" w:rsidRDefault="3F6CE5E4" w:rsidP="0001573B">
            <w:pPr>
              <w:pStyle w:val="InstructionsText"/>
            </w:pPr>
            <w:r>
              <w:t xml:space="preserve">The specified size of interest rate shocks </w:t>
            </w:r>
            <w:r w:rsidR="2440C488">
              <w:t>sh</w:t>
            </w:r>
            <w:r w:rsidR="304F0FC2">
              <w:t>a</w:t>
            </w:r>
            <w:r w:rsidR="2440C488">
              <w:t>ll</w:t>
            </w:r>
            <w:r>
              <w:t xml:space="preserve"> be </w:t>
            </w:r>
            <w:r w:rsidR="00581274">
              <w:t xml:space="preserve">reported </w:t>
            </w:r>
            <w:r>
              <w:t xml:space="preserve">in bps, the </w:t>
            </w:r>
            <w:r w:rsidR="00581274" w:rsidRPr="006317CC">
              <w:rPr>
                <w:rStyle w:val="InstructionsTabelleberschrift"/>
                <w:rFonts w:ascii="Times New Roman" w:hAnsi="Times New Roman"/>
                <w:sz w:val="24"/>
                <w:u w:val="none"/>
              </w:rPr>
              <w:t>∆</w:t>
            </w:r>
            <w:r>
              <w:t>EVE</w:t>
            </w:r>
            <w:r w:rsidR="6FDAA812">
              <w:t>’s</w:t>
            </w:r>
            <w:r w:rsidR="2440C488">
              <w:t xml:space="preserve"> </w:t>
            </w:r>
            <w:r>
              <w:t xml:space="preserve">and </w:t>
            </w:r>
            <w:r w:rsidR="00581274" w:rsidRPr="006317CC">
              <w:rPr>
                <w:rStyle w:val="InstructionsTabelleberschrift"/>
                <w:rFonts w:ascii="Times New Roman" w:hAnsi="Times New Roman"/>
                <w:sz w:val="24"/>
                <w:u w:val="none"/>
              </w:rPr>
              <w:t>∆</w:t>
            </w:r>
            <w:r>
              <w:t>NII</w:t>
            </w:r>
            <w:r w:rsidR="674AA1B9">
              <w:t>’s</w:t>
            </w:r>
            <w:r w:rsidR="2440C488">
              <w:t xml:space="preserve"> </w:t>
            </w:r>
            <w:r>
              <w:t xml:space="preserve">shall be reported </w:t>
            </w:r>
            <w:r w:rsidR="674A5B41">
              <w:t>b</w:t>
            </w:r>
            <w:r w:rsidR="11A09A54">
              <w:t xml:space="preserve">oth </w:t>
            </w:r>
            <w:r>
              <w:t xml:space="preserve">as ratios </w:t>
            </w:r>
            <w:r w:rsidR="674A5B41">
              <w:t xml:space="preserve">and amounts </w:t>
            </w:r>
            <w:r w:rsidR="521FEC7A">
              <w:t>(as specified in the instructions on rows)</w:t>
            </w:r>
            <w:r w:rsidR="00D03A46">
              <w:t>.</w:t>
            </w:r>
            <w:r w:rsidR="521FEC7A">
              <w:t xml:space="preserve"> </w:t>
            </w:r>
            <w:r w:rsidR="73803799">
              <w:t>Amounts</w:t>
            </w:r>
            <w:r>
              <w:t xml:space="preserve"> shall be </w:t>
            </w:r>
            <w:r w:rsidR="6770AC13">
              <w:t>reported</w:t>
            </w:r>
            <w:r w:rsidR="00353246">
              <w:t xml:space="preserve"> </w:t>
            </w:r>
            <w:r w:rsidR="63754EBF">
              <w:t>i</w:t>
            </w:r>
            <w:r>
              <w:t>n the reporting currency.</w:t>
            </w:r>
          </w:p>
        </w:tc>
      </w:tr>
    </w:tbl>
    <w:p w14:paraId="7AF07B4D" w14:textId="02370883" w:rsidR="009E536A" w:rsidRDefault="009E536A">
      <w:pPr>
        <w:spacing w:before="0" w:after="0"/>
        <w:jc w:val="left"/>
        <w:rPr>
          <w:rStyle w:val="InstructionsTabelleText"/>
          <w:rFonts w:ascii="Times New Roman" w:hAnsi="Times New Roman"/>
          <w:sz w:val="24"/>
        </w:rPr>
      </w:pPr>
    </w:p>
    <w:p w14:paraId="159245E1" w14:textId="396BFA0E" w:rsidR="00B74B3D" w:rsidRDefault="00B74B3D">
      <w:pPr>
        <w:spacing w:before="0" w:after="0"/>
        <w:jc w:val="left"/>
        <w:rPr>
          <w:rFonts w:ascii="Times New Roman" w:eastAsia="Arial" w:hAnsi="Times New Roman"/>
          <w:b/>
          <w:sz w:val="24"/>
          <w:lang w:eastAsia="x-none"/>
        </w:rPr>
      </w:pPr>
    </w:p>
    <w:p w14:paraId="23FCC71B" w14:textId="77777777" w:rsidR="00B15E5A" w:rsidRDefault="00B15E5A">
      <w:pPr>
        <w:spacing w:before="0" w:after="0"/>
        <w:jc w:val="left"/>
        <w:rPr>
          <w:rFonts w:ascii="Times New Roman" w:eastAsia="Arial" w:hAnsi="Times New Roman"/>
          <w:b/>
          <w:sz w:val="24"/>
          <w:lang w:eastAsia="x-none"/>
        </w:rPr>
      </w:pPr>
      <w:r>
        <w:br w:type="page"/>
      </w:r>
    </w:p>
    <w:p w14:paraId="493C8899" w14:textId="1257BA2F" w:rsidR="009E536A" w:rsidRPr="00EC067D" w:rsidRDefault="009E536A" w:rsidP="00FE1304">
      <w:pPr>
        <w:pStyle w:val="Heading2"/>
      </w:pPr>
      <w:bookmarkStart w:id="45" w:name="_Toc141362418"/>
      <w:r w:rsidRPr="00EC067D">
        <w:t>PART II</w:t>
      </w:r>
      <w:r w:rsidR="0074085C">
        <w:t>I</w:t>
      </w:r>
      <w:r w:rsidRPr="00EC067D">
        <w:t xml:space="preserve">: </w:t>
      </w:r>
      <w:r w:rsidR="006A7DF0" w:rsidRPr="006A7DF0">
        <w:t>BREAKDOWN OF SENSITIVITY ESTIMATES</w:t>
      </w:r>
      <w:r w:rsidR="00261AD1">
        <w:t xml:space="preserve"> (J 02.00</w:t>
      </w:r>
      <w:r w:rsidR="00FF0EC7">
        <w:t>, J</w:t>
      </w:r>
      <w:r w:rsidR="005522A9">
        <w:t xml:space="preserve"> 03.00</w:t>
      </w:r>
      <w:r w:rsidR="00261AD1">
        <w:t xml:space="preserve"> and J 0</w:t>
      </w:r>
      <w:r w:rsidR="005522A9">
        <w:t>4</w:t>
      </w:r>
      <w:r w:rsidR="00261AD1">
        <w:t>.00)</w:t>
      </w:r>
      <w:bookmarkEnd w:id="45"/>
    </w:p>
    <w:p w14:paraId="32513CE9" w14:textId="59947293" w:rsidR="009E536A" w:rsidRPr="005B50C3" w:rsidRDefault="24F67432" w:rsidP="00FE1304">
      <w:pPr>
        <w:pStyle w:val="Instructionsberschrift2"/>
        <w:rPr>
          <w:sz w:val="24"/>
        </w:rPr>
      </w:pPr>
      <w:bookmarkStart w:id="46" w:name="_Toc141362419"/>
      <w:r w:rsidRPr="005B50C3">
        <w:rPr>
          <w:sz w:val="24"/>
        </w:rPr>
        <w:t>General remarks</w:t>
      </w:r>
      <w:bookmarkEnd w:id="46"/>
    </w:p>
    <w:p w14:paraId="166F23E4" w14:textId="053A1269" w:rsidR="007F62B7" w:rsidRDefault="007F62B7" w:rsidP="0001573B">
      <w:pPr>
        <w:pStyle w:val="InstructionsText2"/>
      </w:pPr>
      <w:r>
        <w:t>Templates J 02.00</w:t>
      </w:r>
      <w:r w:rsidR="005522A9">
        <w:t>, J 03.00</w:t>
      </w:r>
      <w:r w:rsidR="004049B3">
        <w:t xml:space="preserve"> </w:t>
      </w:r>
      <w:r>
        <w:t>and J 0</w:t>
      </w:r>
      <w:r w:rsidR="005522A9">
        <w:t>4</w:t>
      </w:r>
      <w:r>
        <w:t>.00 provide further breakdown</w:t>
      </w:r>
      <w:r w:rsidR="00261AD1">
        <w:t>s</w:t>
      </w:r>
      <w:r>
        <w:t xml:space="preserve"> of b</w:t>
      </w:r>
      <w:r w:rsidRPr="00BB3F83">
        <w:t>ank estimate</w:t>
      </w:r>
      <w:r w:rsidR="00261AD1">
        <w:t>s</w:t>
      </w:r>
      <w:r w:rsidRPr="00BB3F83">
        <w:t xml:space="preserve"> of </w:t>
      </w:r>
      <w:r>
        <w:t xml:space="preserve">the SOT </w:t>
      </w:r>
      <w:r w:rsidRPr="00BB3F83">
        <w:t>IRRBB sensitivities</w:t>
      </w:r>
      <w:r>
        <w:t xml:space="preserve"> (</w:t>
      </w:r>
      <w:r w:rsidRPr="007F62B7">
        <w:rPr>
          <w:highlight w:val="lightGray"/>
        </w:rPr>
        <w:t>EBA RTS on SO</w:t>
      </w:r>
      <w:r w:rsidRPr="00954BFA">
        <w:rPr>
          <w:highlight w:val="lightGray"/>
        </w:rPr>
        <w:t>T</w:t>
      </w:r>
      <w:r>
        <w:t>) and MV changes (Internal Risk management with a 1</w:t>
      </w:r>
      <w:r w:rsidR="00AB2B90">
        <w:t>-</w:t>
      </w:r>
      <w:r>
        <w:t>year horizon and constant balance sheet assumption),</w:t>
      </w:r>
      <w:r w:rsidRPr="00BB3F83">
        <w:t xml:space="preserve"> including behavioural/conditional and automatic optionality</w:t>
      </w:r>
      <w:r>
        <w:t xml:space="preserve"> for a specific breakdown of balance-sheet items. </w:t>
      </w:r>
    </w:p>
    <w:p w14:paraId="0B9B6E14" w14:textId="4FCB441B" w:rsidR="00911248" w:rsidRDefault="55E6C072" w:rsidP="0001573B">
      <w:pPr>
        <w:pStyle w:val="InstructionsText2"/>
      </w:pPr>
      <w:r>
        <w:t>Th</w:t>
      </w:r>
      <w:r w:rsidR="5CC62597">
        <w:t>ese</w:t>
      </w:r>
      <w:r>
        <w:t xml:space="preserve"> template</w:t>
      </w:r>
      <w:r w:rsidR="5CC62597">
        <w:t>s</w:t>
      </w:r>
      <w:r>
        <w:t xml:space="preserve"> shal</w:t>
      </w:r>
      <w:r w:rsidR="53D46CA8">
        <w:t>l</w:t>
      </w:r>
      <w:r>
        <w:t xml:space="preserve"> be reported </w:t>
      </w:r>
      <w:r w:rsidR="087487D0">
        <w:t>for</w:t>
      </w:r>
      <w:r>
        <w:t xml:space="preserve"> </w:t>
      </w:r>
      <w:r w:rsidR="6A9EED28">
        <w:t xml:space="preserve">each currency separately for which the institution has positions where the accounting value of financial assets or liabilities denominated in a currency amounts to 5% or more of the total </w:t>
      </w:r>
      <w:r w:rsidR="00F93133">
        <w:t>banking book</w:t>
      </w:r>
      <w:r w:rsidR="6A9EED28">
        <w:t xml:space="preserve"> financial assets or liabilities, or less than 5% if the sum of financial assets or liabilities included in the calculation is lower than 90% of total </w:t>
      </w:r>
      <w:r w:rsidR="00F93133">
        <w:t>banking book</w:t>
      </w:r>
      <w:r w:rsidR="6A9EED28">
        <w:t xml:space="preserve"> financial assets (excluding tangible assets) or liabilities</w:t>
      </w:r>
      <w:r w:rsidR="008A7079">
        <w:t>.</w:t>
      </w:r>
      <w:r w:rsidR="6D8D374E">
        <w:t xml:space="preserve"> </w:t>
      </w:r>
    </w:p>
    <w:p w14:paraId="367BED49" w14:textId="77F2EAC2" w:rsidR="009E536A" w:rsidRPr="005B50C3" w:rsidRDefault="24F67432" w:rsidP="00FE1304">
      <w:pPr>
        <w:pStyle w:val="Instructionsberschrift2"/>
        <w:rPr>
          <w:sz w:val="24"/>
        </w:rPr>
      </w:pPr>
      <w:bookmarkStart w:id="47" w:name="_Ref119418268"/>
      <w:bookmarkStart w:id="48" w:name="_Toc141362420"/>
      <w:r w:rsidRPr="005B50C3">
        <w:rPr>
          <w:sz w:val="24"/>
        </w:rPr>
        <w:t>Instructions concerning specific positions</w:t>
      </w:r>
      <w:bookmarkEnd w:id="47"/>
      <w:bookmarkEnd w:id="48"/>
      <w:r w:rsidR="543E998E" w:rsidRPr="005B50C3">
        <w:rPr>
          <w:sz w:val="24"/>
        </w:rPr>
        <w:tab/>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9"/>
        <w:gridCol w:w="7159"/>
      </w:tblGrid>
      <w:tr w:rsidR="00741F94" w:rsidRPr="00B32012" w14:paraId="67553BBE" w14:textId="77777777" w:rsidTr="00466F09">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753AF4" w14:textId="77777777" w:rsidR="00741F94" w:rsidRPr="00B32012" w:rsidRDefault="00741F94" w:rsidP="0001573B">
            <w:pPr>
              <w:pStyle w:val="InstructionsText"/>
              <w:rPr>
                <w:rStyle w:val="InstructionsTabelleText"/>
                <w:rFonts w:ascii="Times New Roman" w:eastAsia="Arial" w:hAnsi="Times New Roman"/>
                <w:sz w:val="24"/>
                <w:lang w:eastAsia="en-US"/>
              </w:rPr>
            </w:pPr>
            <w:r w:rsidRPr="00B32012">
              <w:rPr>
                <w:rStyle w:val="InstructionsTabelleText"/>
                <w:rFonts w:ascii="Times New Roman" w:hAnsi="Times New Roman"/>
                <w:sz w:val="24"/>
              </w:rPr>
              <w:t>Row</w:t>
            </w:r>
          </w:p>
        </w:tc>
        <w:tc>
          <w:tcPr>
            <w:tcW w:w="7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637391" w14:textId="77777777" w:rsidR="00741F94" w:rsidRPr="00B32012" w:rsidRDefault="00741F94" w:rsidP="0001573B">
            <w:pPr>
              <w:pStyle w:val="InstructionsText"/>
              <w:rPr>
                <w:rStyle w:val="InstructionsTabelleText"/>
                <w:rFonts w:ascii="Times New Roman" w:hAnsi="Times New Roman"/>
                <w:bCs/>
                <w:sz w:val="24"/>
                <w:lang w:eastAsia="en-US"/>
              </w:rPr>
            </w:pPr>
            <w:r w:rsidRPr="00B32012">
              <w:rPr>
                <w:rStyle w:val="InstructionsTabelleText"/>
                <w:rFonts w:ascii="Times New Roman" w:hAnsi="Times New Roman"/>
                <w:sz w:val="24"/>
              </w:rPr>
              <w:t>Legal references and instructions</w:t>
            </w:r>
          </w:p>
        </w:tc>
      </w:tr>
      <w:tr w:rsidR="00741F94" w:rsidRPr="00B32012" w14:paraId="73A737E4" w14:textId="77777777" w:rsidTr="00466F09">
        <w:tc>
          <w:tcPr>
            <w:tcW w:w="1629" w:type="dxa"/>
            <w:tcBorders>
              <w:top w:val="single" w:sz="4" w:space="0" w:color="auto"/>
              <w:left w:val="single" w:sz="4" w:space="0" w:color="auto"/>
              <w:bottom w:val="single" w:sz="4" w:space="0" w:color="auto"/>
              <w:right w:val="single" w:sz="4" w:space="0" w:color="auto"/>
            </w:tcBorders>
            <w:hideMark/>
          </w:tcPr>
          <w:p w14:paraId="4BE1DF75" w14:textId="77777777" w:rsidR="00741F94" w:rsidRPr="00B32012" w:rsidRDefault="00741F94" w:rsidP="0001573B">
            <w:pPr>
              <w:pStyle w:val="InstructionsText"/>
              <w:rPr>
                <w:rStyle w:val="FormatvorlageInstructionsTabelleText"/>
                <w:rFonts w:ascii="Times New Roman" w:hAnsi="Times New Roman"/>
                <w:sz w:val="24"/>
                <w:lang w:eastAsia="en-US"/>
              </w:rPr>
            </w:pPr>
            <w:r w:rsidRPr="00B32012">
              <w:rPr>
                <w:rStyle w:val="FormatvorlageInstructionsTabelleText"/>
                <w:rFonts w:ascii="Times New Roman" w:hAnsi="Times New Roman"/>
                <w:sz w:val="24"/>
              </w:rPr>
              <w:t>0010</w:t>
            </w:r>
          </w:p>
        </w:tc>
        <w:tc>
          <w:tcPr>
            <w:tcW w:w="7159" w:type="dxa"/>
            <w:tcBorders>
              <w:top w:val="single" w:sz="4" w:space="0" w:color="auto"/>
              <w:left w:val="single" w:sz="4" w:space="0" w:color="auto"/>
              <w:bottom w:val="single" w:sz="4" w:space="0" w:color="auto"/>
              <w:right w:val="single" w:sz="4" w:space="0" w:color="auto"/>
            </w:tcBorders>
            <w:hideMark/>
          </w:tcPr>
          <w:p w14:paraId="334679E0" w14:textId="77777777" w:rsidR="00741F94" w:rsidRPr="00B32012" w:rsidRDefault="00741F94" w:rsidP="0001573B">
            <w:pPr>
              <w:pStyle w:val="InstructionsText"/>
              <w:rPr>
                <w:rStyle w:val="InstructionsTabelleberschrift"/>
                <w:rFonts w:ascii="Times New Roman" w:hAnsi="Times New Roman"/>
                <w:bCs w:val="0"/>
                <w:sz w:val="24"/>
              </w:rPr>
            </w:pPr>
            <w:r>
              <w:rPr>
                <w:rStyle w:val="InstructionsTabelleberschrift"/>
                <w:rFonts w:ascii="Times New Roman" w:hAnsi="Times New Roman"/>
                <w:sz w:val="24"/>
              </w:rPr>
              <w:t xml:space="preserve">Total </w:t>
            </w:r>
            <w:r w:rsidRPr="00B32012">
              <w:rPr>
                <w:rStyle w:val="InstructionsTabelleberschrift"/>
                <w:rFonts w:ascii="Times New Roman" w:hAnsi="Times New Roman"/>
                <w:sz w:val="24"/>
              </w:rPr>
              <w:t>Assets</w:t>
            </w:r>
          </w:p>
          <w:p w14:paraId="7107F5D8" w14:textId="2095DC92" w:rsidR="007F62B7" w:rsidRPr="00B32012" w:rsidRDefault="007F62B7" w:rsidP="0001573B">
            <w:pPr>
              <w:pStyle w:val="InstructionsText"/>
              <w:rPr>
                <w:rStyle w:val="FormatvorlageInstructionsTabelleText"/>
                <w:rFonts w:ascii="Times New Roman" w:hAnsi="Times New Roman"/>
                <w:bCs w:val="0"/>
                <w:sz w:val="24"/>
              </w:rPr>
            </w:pPr>
            <w:r>
              <w:rPr>
                <w:rStyle w:val="FormatvorlageInstructionsTabelleText"/>
                <w:rFonts w:ascii="Times New Roman" w:hAnsi="Times New Roman"/>
                <w:sz w:val="24"/>
              </w:rPr>
              <w:t>Total interest rate</w:t>
            </w:r>
            <w:r w:rsidR="00A13601">
              <w:rPr>
                <w:rStyle w:val="FormatvorlageInstructionsTabelleText"/>
                <w:rFonts w:ascii="Times New Roman" w:hAnsi="Times New Roman"/>
                <w:sz w:val="24"/>
              </w:rPr>
              <w:t>-</w:t>
            </w:r>
            <w:r>
              <w:rPr>
                <w:rStyle w:val="FormatvorlageInstructionsTabelleText"/>
                <w:rFonts w:ascii="Times New Roman" w:hAnsi="Times New Roman"/>
                <w:sz w:val="24"/>
              </w:rPr>
              <w:t>sensitive</w:t>
            </w:r>
            <w:r w:rsidRPr="00B32012">
              <w:rPr>
                <w:rStyle w:val="FormatvorlageInstructionsTabelleText"/>
                <w:rFonts w:ascii="Times New Roman" w:hAnsi="Times New Roman"/>
                <w:sz w:val="24"/>
              </w:rPr>
              <w:t xml:space="preserve"> assets</w:t>
            </w:r>
            <w:r>
              <w:t xml:space="preserve"> in the scope of the SOT (</w:t>
            </w:r>
            <w:r w:rsidRPr="007F62B7">
              <w:rPr>
                <w:highlight w:val="lightGray"/>
              </w:rPr>
              <w:t>EBA RTS on SOT</w:t>
            </w:r>
            <w:r>
              <w:t xml:space="preserve">) </w:t>
            </w:r>
            <w:r w:rsidRPr="006929CF">
              <w:rPr>
                <w:rStyle w:val="FormatvorlageInstructionsTabelleText"/>
                <w:rFonts w:ascii="Times New Roman" w:hAnsi="Times New Roman"/>
                <w:sz w:val="24"/>
              </w:rPr>
              <w:t xml:space="preserve">irrespective of </w:t>
            </w:r>
            <w:r>
              <w:rPr>
                <w:rStyle w:val="FormatvorlageInstructionsTabelleText"/>
                <w:rFonts w:ascii="Times New Roman" w:hAnsi="Times New Roman"/>
                <w:sz w:val="24"/>
              </w:rPr>
              <w:t>their</w:t>
            </w:r>
            <w:r w:rsidRPr="006929CF">
              <w:rPr>
                <w:rStyle w:val="FormatvorlageInstructionsTabelleText"/>
                <w:rFonts w:ascii="Times New Roman" w:hAnsi="Times New Roman"/>
                <w:sz w:val="24"/>
              </w:rPr>
              <w:t xml:space="preserve"> accounting </w:t>
            </w:r>
            <w:r>
              <w:rPr>
                <w:rStyle w:val="FormatvorlageInstructionsTabelleText"/>
                <w:rFonts w:ascii="Times New Roman" w:hAnsi="Times New Roman"/>
                <w:sz w:val="24"/>
              </w:rPr>
              <w:t>treatment.</w:t>
            </w:r>
            <w:r w:rsidRPr="00B32012">
              <w:rPr>
                <w:rStyle w:val="FormatvorlageInstructionsTabelleText"/>
                <w:rFonts w:ascii="Times New Roman" w:hAnsi="Times New Roman"/>
                <w:sz w:val="24"/>
              </w:rPr>
              <w:t xml:space="preserve"> Th</w:t>
            </w:r>
            <w:r>
              <w:rPr>
                <w:rStyle w:val="FormatvorlageInstructionsTabelleText"/>
                <w:rFonts w:ascii="Times New Roman" w:hAnsi="Times New Roman"/>
                <w:sz w:val="24"/>
              </w:rPr>
              <w:t>is row</w:t>
            </w:r>
            <w:r w:rsidRPr="00B32012">
              <w:rPr>
                <w:rStyle w:val="FormatvorlageInstructionsTabelleText"/>
                <w:rFonts w:ascii="Times New Roman" w:hAnsi="Times New Roman"/>
                <w:sz w:val="24"/>
              </w:rPr>
              <w:t xml:space="preserve"> shall include: </w:t>
            </w:r>
          </w:p>
          <w:p w14:paraId="5F3B0345" w14:textId="41FB1984" w:rsidR="00D1720D" w:rsidRPr="00466F09" w:rsidRDefault="00E21745" w:rsidP="0001573B">
            <w:pPr>
              <w:pStyle w:val="InstructionsText"/>
              <w:rPr>
                <w:rStyle w:val="FormatvorlageInstructionsTabelleText"/>
                <w:rFonts w:ascii="Times New Roman" w:hAnsi="Times New Roman"/>
                <w:sz w:val="24"/>
                <w:lang w:val="en-US"/>
              </w:rPr>
            </w:pPr>
            <w:r w:rsidRPr="00466F09">
              <w:rPr>
                <w:rStyle w:val="FormatvorlageInstructionsTabelleText"/>
                <w:rFonts w:ascii="Times New Roman" w:hAnsi="Times New Roman"/>
                <w:sz w:val="24"/>
                <w:lang w:val="en-US"/>
              </w:rPr>
              <w:t xml:space="preserve">- </w:t>
            </w:r>
            <w:r w:rsidR="00741F94" w:rsidRPr="00466F09">
              <w:rPr>
                <w:rStyle w:val="FormatvorlageInstructionsTabelleText"/>
                <w:rFonts w:ascii="Times New Roman" w:hAnsi="Times New Roman"/>
                <w:sz w:val="24"/>
                <w:lang w:val="en-US"/>
              </w:rPr>
              <w:t>Assets vis a vis Central Banks</w:t>
            </w:r>
            <w:r w:rsidRPr="00466F09">
              <w:rPr>
                <w:rStyle w:val="FormatvorlageInstructionsTabelleText"/>
                <w:rFonts w:ascii="Times New Roman" w:hAnsi="Times New Roman"/>
                <w:sz w:val="24"/>
                <w:lang w:val="en-US"/>
              </w:rPr>
              <w:t> ;</w:t>
            </w:r>
          </w:p>
          <w:p w14:paraId="2F726373" w14:textId="7EC66AFC" w:rsidR="006E4174" w:rsidRPr="00466F09" w:rsidRDefault="00E21745" w:rsidP="0001573B">
            <w:pPr>
              <w:pStyle w:val="InstructionsText"/>
              <w:rPr>
                <w:rStyle w:val="FormatvorlageInstructionsTabelleText"/>
                <w:rFonts w:ascii="Times New Roman" w:hAnsi="Times New Roman"/>
                <w:sz w:val="24"/>
                <w:lang w:val="en-US"/>
              </w:rPr>
            </w:pPr>
            <w:r w:rsidRPr="00466F09">
              <w:rPr>
                <w:rStyle w:val="FormatvorlageInstructionsTabelleText"/>
                <w:rFonts w:ascii="Times New Roman" w:hAnsi="Times New Roman"/>
                <w:sz w:val="24"/>
                <w:lang w:val="en-US"/>
              </w:rPr>
              <w:t xml:space="preserve">- </w:t>
            </w:r>
            <w:r w:rsidR="006E4174" w:rsidRPr="00466F09">
              <w:rPr>
                <w:rStyle w:val="FormatvorlageInstructionsTabelleText"/>
                <w:rFonts w:ascii="Times New Roman" w:hAnsi="Times New Roman"/>
                <w:sz w:val="24"/>
                <w:lang w:val="en-US"/>
              </w:rPr>
              <w:t>Interbank assets</w:t>
            </w:r>
            <w:r w:rsidRPr="00466F09">
              <w:rPr>
                <w:rStyle w:val="FormatvorlageInstructionsTabelleText"/>
                <w:rFonts w:ascii="Times New Roman" w:hAnsi="Times New Roman"/>
                <w:sz w:val="24"/>
                <w:lang w:val="en-US"/>
              </w:rPr>
              <w:t> ;</w:t>
            </w:r>
          </w:p>
          <w:p w14:paraId="04EFCDE1" w14:textId="6DDBF84B" w:rsidR="00741F94" w:rsidRPr="00C13743" w:rsidRDefault="00E21745" w:rsidP="0001573B">
            <w:pPr>
              <w:pStyle w:val="InstructionsText"/>
              <w:rPr>
                <w:rStyle w:val="InstructionsTabelleberschrift"/>
                <w:rFonts w:ascii="Times New Roman" w:hAnsi="Times New Roman"/>
                <w:sz w:val="24"/>
                <w:u w:val="none"/>
              </w:rPr>
            </w:pPr>
            <w:r>
              <w:rPr>
                <w:rStyle w:val="InstructionsTabelleberschrift"/>
                <w:rFonts w:ascii="Times New Roman" w:hAnsi="Times New Roman"/>
                <w:b w:val="0"/>
                <w:bCs w:val="0"/>
                <w:sz w:val="24"/>
                <w:u w:val="none"/>
              </w:rPr>
              <w:t xml:space="preserve">- </w:t>
            </w:r>
            <w:r w:rsidR="00741F94" w:rsidRPr="00C13743">
              <w:rPr>
                <w:rStyle w:val="InstructionsTabelleberschrift"/>
                <w:rFonts w:ascii="Times New Roman" w:hAnsi="Times New Roman"/>
                <w:b w:val="0"/>
                <w:bCs w:val="0"/>
                <w:sz w:val="24"/>
                <w:u w:val="none"/>
              </w:rPr>
              <w:t>Loans and advances</w:t>
            </w:r>
            <w:r>
              <w:rPr>
                <w:rStyle w:val="InstructionsTabelleberschrift"/>
                <w:rFonts w:ascii="Times New Roman" w:hAnsi="Times New Roman"/>
                <w:b w:val="0"/>
                <w:bCs w:val="0"/>
                <w:sz w:val="24"/>
                <w:u w:val="none"/>
              </w:rPr>
              <w:t>;</w:t>
            </w:r>
          </w:p>
          <w:p w14:paraId="7EB9F6CB" w14:textId="5BC8721F" w:rsidR="00741F94" w:rsidRPr="00C13743" w:rsidRDefault="00E21745"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741F94" w:rsidRPr="00C13743">
              <w:rPr>
                <w:rStyle w:val="InstructionsTabelleberschrift"/>
                <w:rFonts w:ascii="Times New Roman" w:hAnsi="Times New Roman"/>
                <w:b w:val="0"/>
                <w:bCs w:val="0"/>
                <w:sz w:val="24"/>
                <w:u w:val="none"/>
              </w:rPr>
              <w:t>Debt securities</w:t>
            </w:r>
            <w:r>
              <w:rPr>
                <w:rStyle w:val="InstructionsTabelleberschrift"/>
                <w:rFonts w:ascii="Times New Roman" w:hAnsi="Times New Roman"/>
                <w:b w:val="0"/>
                <w:bCs w:val="0"/>
                <w:sz w:val="24"/>
                <w:u w:val="none"/>
              </w:rPr>
              <w:t>;</w:t>
            </w:r>
          </w:p>
          <w:p w14:paraId="3F3DC394" w14:textId="6A8C3B03" w:rsidR="00741F94" w:rsidRPr="00C13743" w:rsidRDefault="00E21745"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741F94" w:rsidRPr="00C13743">
              <w:rPr>
                <w:rStyle w:val="InstructionsTabelleberschrift"/>
                <w:rFonts w:ascii="Times New Roman" w:hAnsi="Times New Roman"/>
                <w:b w:val="0"/>
                <w:bCs w:val="0"/>
                <w:sz w:val="24"/>
                <w:u w:val="none"/>
              </w:rPr>
              <w:t>Derivatives</w:t>
            </w:r>
            <w:r w:rsidR="00EF3ACE">
              <w:rPr>
                <w:rStyle w:val="InstructionsTabelleberschrift"/>
                <w:rFonts w:ascii="Times New Roman" w:hAnsi="Times New Roman"/>
                <w:b w:val="0"/>
                <w:bCs w:val="0"/>
                <w:sz w:val="24"/>
                <w:u w:val="none"/>
              </w:rPr>
              <w:t xml:space="preserve"> hedging assets</w:t>
            </w:r>
            <w:r>
              <w:rPr>
                <w:rStyle w:val="InstructionsTabelleberschrift"/>
                <w:rFonts w:ascii="Times New Roman" w:hAnsi="Times New Roman"/>
                <w:b w:val="0"/>
                <w:bCs w:val="0"/>
                <w:sz w:val="24"/>
                <w:u w:val="none"/>
              </w:rPr>
              <w:t>;</w:t>
            </w:r>
          </w:p>
          <w:p w14:paraId="3F84EC18" w14:textId="71FE3D84" w:rsidR="00741F94" w:rsidRDefault="00E21745"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741F94" w:rsidRPr="00C13743">
              <w:rPr>
                <w:rStyle w:val="InstructionsTabelleberschrift"/>
                <w:rFonts w:ascii="Times New Roman" w:hAnsi="Times New Roman"/>
                <w:b w:val="0"/>
                <w:bCs w:val="0"/>
                <w:sz w:val="24"/>
                <w:u w:val="none"/>
              </w:rPr>
              <w:t>Other</w:t>
            </w:r>
            <w:r>
              <w:rPr>
                <w:rStyle w:val="InstructionsTabelleberschrift"/>
                <w:rFonts w:ascii="Times New Roman" w:hAnsi="Times New Roman"/>
                <w:b w:val="0"/>
                <w:bCs w:val="0"/>
                <w:sz w:val="24"/>
                <w:u w:val="none"/>
              </w:rPr>
              <w:t>.</w:t>
            </w:r>
          </w:p>
          <w:p w14:paraId="69621AB3" w14:textId="038C8306" w:rsidR="00741F94" w:rsidRPr="003F20EC" w:rsidRDefault="00F13E60"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Institutions</w:t>
            </w:r>
            <w:r w:rsidRPr="003F20EC">
              <w:rPr>
                <w:rStyle w:val="InstructionsTabelleberschrift"/>
                <w:rFonts w:ascii="Times New Roman" w:hAnsi="Times New Roman"/>
                <w:b w:val="0"/>
                <w:bCs w:val="0"/>
                <w:sz w:val="24"/>
                <w:u w:val="none"/>
              </w:rPr>
              <w:t xml:space="preserve"> </w:t>
            </w:r>
            <w:r w:rsidR="00741F94" w:rsidRPr="003F20EC">
              <w:rPr>
                <w:rStyle w:val="InstructionsTabelleberschrift"/>
                <w:rFonts w:ascii="Times New Roman" w:hAnsi="Times New Roman"/>
                <w:b w:val="0"/>
                <w:bCs w:val="0"/>
                <w:sz w:val="24"/>
                <w:u w:val="none"/>
              </w:rPr>
              <w:t xml:space="preserve">shall report IRRBB exposures of assets which are not deducted from Common Equity Tier 1 (CET1) capital </w:t>
            </w:r>
            <w:r w:rsidR="009C3680">
              <w:rPr>
                <w:rStyle w:val="InstructionsTabelleberschrift"/>
                <w:rFonts w:ascii="Times New Roman" w:hAnsi="Times New Roman"/>
                <w:b w:val="0"/>
                <w:bCs w:val="0"/>
                <w:sz w:val="24"/>
                <w:u w:val="none"/>
              </w:rPr>
              <w:t>determined accord</w:t>
            </w:r>
            <w:r w:rsidR="004B691C">
              <w:rPr>
                <w:rStyle w:val="InstructionsTabelleberschrift"/>
                <w:rFonts w:ascii="Times New Roman" w:hAnsi="Times New Roman"/>
                <w:b w:val="0"/>
                <w:bCs w:val="0"/>
                <w:sz w:val="24"/>
                <w:u w:val="none"/>
              </w:rPr>
              <w:t xml:space="preserve">ing to Chapter 2 </w:t>
            </w:r>
            <w:r w:rsidR="00B0233A">
              <w:rPr>
                <w:rStyle w:val="InstructionsTabelleberschrift"/>
                <w:rFonts w:ascii="Times New Roman" w:hAnsi="Times New Roman"/>
                <w:b w:val="0"/>
                <w:bCs w:val="0"/>
                <w:sz w:val="24"/>
                <w:u w:val="none"/>
              </w:rPr>
              <w:t>of</w:t>
            </w:r>
            <w:r w:rsidR="002B5DC6">
              <w:rPr>
                <w:rStyle w:val="InstructionsTabelleberschrift"/>
                <w:rFonts w:ascii="Times New Roman" w:hAnsi="Times New Roman"/>
                <w:b w:val="0"/>
                <w:bCs w:val="0"/>
                <w:sz w:val="24"/>
                <w:u w:val="none"/>
              </w:rPr>
              <w:t xml:space="preserve"> Title 1, Part 2 </w:t>
            </w:r>
            <w:r w:rsidR="004B691C">
              <w:rPr>
                <w:rStyle w:val="InstructionsTabelleberschrift"/>
                <w:rFonts w:ascii="Times New Roman" w:hAnsi="Times New Roman"/>
                <w:b w:val="0"/>
                <w:bCs w:val="0"/>
                <w:sz w:val="24"/>
                <w:u w:val="none"/>
              </w:rPr>
              <w:t xml:space="preserve">of CRR </w:t>
            </w:r>
            <w:r w:rsidR="00741F94" w:rsidRPr="003F20EC">
              <w:rPr>
                <w:rStyle w:val="InstructionsTabelleberschrift"/>
                <w:rFonts w:ascii="Times New Roman" w:hAnsi="Times New Roman"/>
                <w:b w:val="0"/>
                <w:bCs w:val="0"/>
                <w:sz w:val="24"/>
                <w:u w:val="none"/>
              </w:rPr>
              <w:t xml:space="preserve">and excluding </w:t>
            </w:r>
            <w:r w:rsidR="00C571BC">
              <w:rPr>
                <w:rStyle w:val="InstructionsTabelleberschrift"/>
                <w:rFonts w:ascii="Times New Roman" w:hAnsi="Times New Roman"/>
                <w:b w:val="0"/>
                <w:bCs w:val="0"/>
                <w:sz w:val="24"/>
                <w:u w:val="none"/>
              </w:rPr>
              <w:t>tangible</w:t>
            </w:r>
            <w:r w:rsidR="00741F94" w:rsidRPr="003F20EC">
              <w:rPr>
                <w:rStyle w:val="InstructionsTabelleberschrift"/>
                <w:rFonts w:ascii="Times New Roman" w:hAnsi="Times New Roman"/>
                <w:b w:val="0"/>
                <w:bCs w:val="0"/>
                <w:sz w:val="24"/>
                <w:u w:val="none"/>
              </w:rPr>
              <w:t xml:space="preserve"> assets such as real estate</w:t>
            </w:r>
            <w:r w:rsidR="00E92F88">
              <w:rPr>
                <w:rStyle w:val="InstructionsTabelleberschrift"/>
                <w:rFonts w:ascii="Times New Roman" w:hAnsi="Times New Roman"/>
                <w:b w:val="0"/>
                <w:bCs w:val="0"/>
                <w:sz w:val="24"/>
                <w:u w:val="none"/>
              </w:rPr>
              <w:t>,</w:t>
            </w:r>
            <w:r w:rsidR="00741F94" w:rsidRPr="003F20EC">
              <w:rPr>
                <w:rStyle w:val="InstructionsTabelleberschrift"/>
                <w:rFonts w:ascii="Times New Roman" w:hAnsi="Times New Roman"/>
                <w:b w:val="0"/>
                <w:bCs w:val="0"/>
                <w:sz w:val="24"/>
                <w:u w:val="none"/>
              </w:rPr>
              <w:t xml:space="preserve"> as well as equity exposures in the banking book as defined in Article 133</w:t>
            </w:r>
            <w:r w:rsidR="00800491">
              <w:rPr>
                <w:rStyle w:val="InstructionsTabelleberschrift"/>
                <w:rFonts w:ascii="Times New Roman" w:hAnsi="Times New Roman"/>
                <w:b w:val="0"/>
                <w:bCs w:val="0"/>
                <w:sz w:val="24"/>
                <w:u w:val="none"/>
              </w:rPr>
              <w:t xml:space="preserve"> and </w:t>
            </w:r>
            <w:r w:rsidR="00CD1E9E">
              <w:rPr>
                <w:rStyle w:val="InstructionsTabelleberschrift"/>
                <w:rFonts w:ascii="Times New Roman" w:hAnsi="Times New Roman"/>
                <w:b w:val="0"/>
                <w:bCs w:val="0"/>
                <w:sz w:val="24"/>
                <w:u w:val="none"/>
              </w:rPr>
              <w:t xml:space="preserve">Article </w:t>
            </w:r>
            <w:r w:rsidR="00800491">
              <w:rPr>
                <w:rStyle w:val="InstructionsTabelleberschrift"/>
                <w:rFonts w:ascii="Times New Roman" w:hAnsi="Times New Roman"/>
                <w:b w:val="0"/>
                <w:bCs w:val="0"/>
                <w:sz w:val="24"/>
                <w:u w:val="none"/>
              </w:rPr>
              <w:t>147</w:t>
            </w:r>
            <w:r w:rsidR="00CD1E9E">
              <w:rPr>
                <w:rStyle w:val="InstructionsTabelleberschrift"/>
                <w:rFonts w:ascii="Times New Roman" w:hAnsi="Times New Roman"/>
                <w:b w:val="0"/>
                <w:bCs w:val="0"/>
                <w:sz w:val="24"/>
                <w:u w:val="none"/>
              </w:rPr>
              <w:t>(2)</w:t>
            </w:r>
            <w:r w:rsidR="009A11F9">
              <w:rPr>
                <w:rStyle w:val="InstructionsTabelleberschrift"/>
                <w:rFonts w:ascii="Times New Roman" w:hAnsi="Times New Roman"/>
                <w:b w:val="0"/>
                <w:bCs w:val="0"/>
                <w:sz w:val="24"/>
                <w:u w:val="none"/>
              </w:rPr>
              <w:t>,</w:t>
            </w:r>
            <w:r w:rsidR="00D10E91">
              <w:rPr>
                <w:rStyle w:val="InstructionsTabelleberschrift"/>
                <w:rFonts w:ascii="Times New Roman" w:hAnsi="Times New Roman"/>
                <w:b w:val="0"/>
                <w:bCs w:val="0"/>
                <w:sz w:val="24"/>
                <w:u w:val="none"/>
              </w:rPr>
              <w:t xml:space="preserve"> point (e</w:t>
            </w:r>
            <w:r w:rsidR="009A11F9">
              <w:rPr>
                <w:rStyle w:val="InstructionsTabelleberschrift"/>
                <w:rFonts w:ascii="Times New Roman" w:hAnsi="Times New Roman"/>
                <w:b w:val="0"/>
                <w:bCs w:val="0"/>
                <w:sz w:val="24"/>
                <w:u w:val="none"/>
              </w:rPr>
              <w:t>)</w:t>
            </w:r>
            <w:r w:rsidR="00741F94" w:rsidRPr="003F20EC">
              <w:rPr>
                <w:rStyle w:val="InstructionsTabelleberschrift"/>
                <w:rFonts w:ascii="Times New Roman" w:hAnsi="Times New Roman"/>
                <w:b w:val="0"/>
                <w:bCs w:val="0"/>
                <w:sz w:val="24"/>
                <w:u w:val="none"/>
              </w:rPr>
              <w:t xml:space="preserve"> </w:t>
            </w:r>
            <w:r w:rsidR="00165E72">
              <w:rPr>
                <w:rStyle w:val="InstructionsTabelleberschrift"/>
                <w:rFonts w:ascii="Times New Roman" w:hAnsi="Times New Roman"/>
                <w:b w:val="0"/>
                <w:bCs w:val="0"/>
                <w:sz w:val="24"/>
                <w:u w:val="none"/>
              </w:rPr>
              <w:t xml:space="preserve">of the </w:t>
            </w:r>
            <w:r w:rsidR="00741F94" w:rsidRPr="003F20EC">
              <w:rPr>
                <w:rStyle w:val="InstructionsTabelleberschrift"/>
                <w:rFonts w:ascii="Times New Roman" w:hAnsi="Times New Roman"/>
                <w:b w:val="0"/>
                <w:bCs w:val="0"/>
                <w:sz w:val="24"/>
                <w:u w:val="none"/>
              </w:rPr>
              <w:t xml:space="preserve">CRR. </w:t>
            </w:r>
            <w:r w:rsidR="002E609B" w:rsidRPr="002E609B">
              <w:rPr>
                <w:rStyle w:val="InstructionsTabelleberschrift"/>
                <w:rFonts w:ascii="Times New Roman" w:hAnsi="Times New Roman"/>
                <w:b w:val="0"/>
                <w:bCs w:val="0"/>
                <w:sz w:val="24"/>
                <w:u w:val="none"/>
              </w:rPr>
              <w:t>These exposures shall be assigned to counterparty sectors according to the nature of the immediate counterparty.</w:t>
            </w:r>
          </w:p>
        </w:tc>
      </w:tr>
      <w:tr w:rsidR="00A827A8" w:rsidRPr="00B32012" w14:paraId="000863FE" w14:textId="77777777" w:rsidTr="00466F09">
        <w:tc>
          <w:tcPr>
            <w:tcW w:w="1629" w:type="dxa"/>
            <w:tcBorders>
              <w:top w:val="single" w:sz="4" w:space="0" w:color="auto"/>
              <w:left w:val="single" w:sz="4" w:space="0" w:color="auto"/>
              <w:bottom w:val="single" w:sz="4" w:space="0" w:color="auto"/>
              <w:right w:val="single" w:sz="4" w:space="0" w:color="auto"/>
            </w:tcBorders>
          </w:tcPr>
          <w:p w14:paraId="0932E0BE" w14:textId="2547B05B" w:rsidR="00A827A8" w:rsidRPr="00B32012" w:rsidRDefault="00A827A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0020</w:t>
            </w:r>
          </w:p>
        </w:tc>
        <w:tc>
          <w:tcPr>
            <w:tcW w:w="7159" w:type="dxa"/>
            <w:tcBorders>
              <w:top w:val="single" w:sz="4" w:space="0" w:color="auto"/>
              <w:left w:val="single" w:sz="4" w:space="0" w:color="auto"/>
              <w:bottom w:val="single" w:sz="4" w:space="0" w:color="auto"/>
              <w:right w:val="single" w:sz="4" w:space="0" w:color="auto"/>
            </w:tcBorders>
          </w:tcPr>
          <w:p w14:paraId="371FFDE6" w14:textId="408B25B7" w:rsidR="001D67C3" w:rsidRPr="001D67C3" w:rsidRDefault="001D67C3" w:rsidP="0001573B">
            <w:pPr>
              <w:pStyle w:val="InstructionsText"/>
              <w:rPr>
                <w:rStyle w:val="InstructionsTabelleberschrift"/>
                <w:rFonts w:ascii="Times New Roman" w:hAnsi="Times New Roman"/>
                <w:bCs w:val="0"/>
                <w:sz w:val="24"/>
              </w:rPr>
            </w:pPr>
            <w:r w:rsidRPr="001D67C3">
              <w:rPr>
                <w:rStyle w:val="InstructionsTabelleberschrift"/>
                <w:rFonts w:ascii="Times New Roman" w:hAnsi="Times New Roman"/>
                <w:bCs w:val="0"/>
                <w:sz w:val="24"/>
              </w:rPr>
              <w:t xml:space="preserve">of which: due to automatic optionality </w:t>
            </w:r>
          </w:p>
          <w:p w14:paraId="7FE49A82" w14:textId="773964BD" w:rsidR="00364443" w:rsidRPr="00364443" w:rsidRDefault="001D67C3" w:rsidP="0001573B">
            <w:pPr>
              <w:pStyle w:val="InstructionsText"/>
              <w:rPr>
                <w:rStyle w:val="InstructionsTabelleberschrift"/>
                <w:rFonts w:ascii="Times New Roman" w:hAnsi="Times New Roman"/>
                <w:b w:val="0"/>
                <w:bCs w:val="0"/>
                <w:sz w:val="24"/>
                <w:u w:val="none"/>
              </w:rPr>
            </w:pPr>
            <w:r w:rsidRPr="007C40B0">
              <w:rPr>
                <w:lang w:val="en-US"/>
              </w:rPr>
              <w:t>Contribution of</w:t>
            </w:r>
            <w:r w:rsidRPr="579D23CD">
              <w:rPr>
                <w:lang w:val="en-US"/>
              </w:rPr>
              <w:t xml:space="preserve"> embedded and explicit</w:t>
            </w:r>
            <w:r w:rsidRPr="007C40B0">
              <w:rPr>
                <w:lang w:val="en-US"/>
              </w:rPr>
              <w:t xml:space="preserve"> automatic optionality to the t</w:t>
            </w:r>
            <w:r w:rsidRPr="001D67C3">
              <w:rPr>
                <w:lang w:val="en-US"/>
              </w:rPr>
              <w:t>otal interest rate-sensitive assets in the scope of the SOT (</w:t>
            </w:r>
            <w:r w:rsidRPr="001D67C3">
              <w:rPr>
                <w:shd w:val="clear" w:color="auto" w:fill="D3D3D3"/>
                <w:lang w:val="en-US"/>
              </w:rPr>
              <w:t>EBA RTS on</w:t>
            </w:r>
            <w:r w:rsidRPr="001D67C3">
              <w:rPr>
                <w:lang w:val="en-US"/>
              </w:rPr>
              <w:t xml:space="preserve"> </w:t>
            </w:r>
            <w:r w:rsidRPr="001D67C3">
              <w:rPr>
                <w:shd w:val="clear" w:color="auto" w:fill="D3D3D3"/>
                <w:lang w:val="en-US"/>
              </w:rPr>
              <w:t>SOT)</w:t>
            </w:r>
            <w:r w:rsidRPr="001D67C3">
              <w:rPr>
                <w:lang w:val="en-US"/>
              </w:rPr>
              <w:t xml:space="preserve"> irrespective of their accounting treatment.</w:t>
            </w:r>
          </w:p>
        </w:tc>
      </w:tr>
      <w:tr w:rsidR="00741F94" w:rsidRPr="00B32012" w14:paraId="09CBB10F" w14:textId="77777777" w:rsidTr="00466F09">
        <w:tc>
          <w:tcPr>
            <w:tcW w:w="1629" w:type="dxa"/>
            <w:tcBorders>
              <w:top w:val="single" w:sz="4" w:space="0" w:color="auto"/>
              <w:left w:val="single" w:sz="4" w:space="0" w:color="auto"/>
              <w:bottom w:val="single" w:sz="4" w:space="0" w:color="auto"/>
              <w:right w:val="single" w:sz="4" w:space="0" w:color="auto"/>
            </w:tcBorders>
            <w:hideMark/>
          </w:tcPr>
          <w:p w14:paraId="7118111F" w14:textId="4400AE1A" w:rsidR="00741F94" w:rsidRPr="00B32012" w:rsidRDefault="00741F94" w:rsidP="0001573B">
            <w:pPr>
              <w:pStyle w:val="InstructionsText"/>
              <w:rPr>
                <w:rStyle w:val="FormatvorlageInstructionsTabelleText"/>
                <w:rFonts w:ascii="Times New Roman" w:hAnsi="Times New Roman"/>
                <w:sz w:val="24"/>
                <w:lang w:eastAsia="en-US"/>
              </w:rPr>
            </w:pPr>
            <w:r w:rsidRPr="00B32012">
              <w:rPr>
                <w:rStyle w:val="FormatvorlageInstructionsTabelleText"/>
                <w:rFonts w:ascii="Times New Roman" w:hAnsi="Times New Roman"/>
                <w:sz w:val="24"/>
              </w:rPr>
              <w:t>00</w:t>
            </w:r>
            <w:r w:rsidR="002E7204">
              <w:rPr>
                <w:rStyle w:val="FormatvorlageInstructionsTabelleText"/>
                <w:rFonts w:ascii="Times New Roman" w:hAnsi="Times New Roman"/>
                <w:sz w:val="24"/>
              </w:rPr>
              <w:t>3</w:t>
            </w:r>
            <w:r>
              <w:rPr>
                <w:rStyle w:val="FormatvorlageInstructionsTabelleText"/>
                <w:rFonts w:ascii="Times New Roman" w:hAnsi="Times New Roman"/>
                <w:sz w:val="24"/>
              </w:rPr>
              <w:t>0</w:t>
            </w:r>
          </w:p>
        </w:tc>
        <w:tc>
          <w:tcPr>
            <w:tcW w:w="7159" w:type="dxa"/>
            <w:tcBorders>
              <w:top w:val="single" w:sz="4" w:space="0" w:color="auto"/>
              <w:left w:val="single" w:sz="4" w:space="0" w:color="auto"/>
              <w:bottom w:val="single" w:sz="4" w:space="0" w:color="auto"/>
              <w:right w:val="single" w:sz="4" w:space="0" w:color="auto"/>
            </w:tcBorders>
            <w:hideMark/>
          </w:tcPr>
          <w:p w14:paraId="4355D6A9" w14:textId="39B6AB85"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Central bank</w:t>
            </w:r>
          </w:p>
          <w:p w14:paraId="4F18E9BC" w14:textId="649D0E89" w:rsidR="00741F94" w:rsidRPr="00DC7148" w:rsidRDefault="000503D6" w:rsidP="0001573B">
            <w:pPr>
              <w:pStyle w:val="InstructionsText"/>
              <w:rPr>
                <w:rStyle w:val="InstructionsTabelleberschrift"/>
                <w:rFonts w:ascii="Times New Roman" w:hAnsi="Times New Roman"/>
                <w:b w:val="0"/>
                <w:bCs w:val="0"/>
                <w:sz w:val="24"/>
                <w:u w:val="none"/>
              </w:rPr>
            </w:pPr>
            <w:r w:rsidRPr="579D23CD">
              <w:rPr>
                <w:lang w:val="en-US"/>
              </w:rPr>
              <w:t>Assets vis a vis central banks</w:t>
            </w:r>
            <w:r w:rsidR="001F5039">
              <w:rPr>
                <w:lang w:val="en-US"/>
              </w:rPr>
              <w:t>, including cash balances and demand deposits,</w:t>
            </w:r>
            <w:r w:rsidRPr="579D23CD">
              <w:rPr>
                <w:lang w:val="en-US"/>
              </w:rPr>
              <w:t xml:space="preserve"> as defined</w:t>
            </w:r>
            <w:r w:rsidRPr="007C40B0">
              <w:rPr>
                <w:lang w:val="en-US"/>
              </w:rPr>
              <w:t xml:space="preserve"> in</w:t>
            </w:r>
            <w:r w:rsidRPr="003520A1">
              <w:rPr>
                <w:lang w:val="en-US"/>
              </w:rPr>
              <w:t xml:space="preserve"> </w:t>
            </w:r>
            <w:r w:rsidRPr="579D23CD">
              <w:rPr>
                <w:lang w:val="en-US"/>
              </w:rPr>
              <w:t>paragraph 42(a) of Part 1 of Annex V of the ITS on supervisory reporting</w:t>
            </w:r>
            <w:r w:rsidR="0048198B">
              <w:rPr>
                <w:lang w:val="en-US"/>
              </w:rPr>
              <w:t>.</w:t>
            </w:r>
          </w:p>
        </w:tc>
      </w:tr>
      <w:tr w:rsidR="00544C58" w:rsidRPr="00B32012" w14:paraId="520FA57A" w14:textId="77777777" w:rsidTr="00466F09">
        <w:tc>
          <w:tcPr>
            <w:tcW w:w="1629" w:type="dxa"/>
            <w:tcBorders>
              <w:top w:val="single" w:sz="4" w:space="0" w:color="auto"/>
              <w:left w:val="single" w:sz="4" w:space="0" w:color="auto"/>
              <w:bottom w:val="single" w:sz="4" w:space="0" w:color="auto"/>
              <w:right w:val="single" w:sz="4" w:space="0" w:color="auto"/>
            </w:tcBorders>
          </w:tcPr>
          <w:p w14:paraId="4ACE6ED4" w14:textId="692403AB" w:rsidR="00544C58" w:rsidRPr="00B32012" w:rsidRDefault="002E7204"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0040</w:t>
            </w:r>
          </w:p>
        </w:tc>
        <w:tc>
          <w:tcPr>
            <w:tcW w:w="7159" w:type="dxa"/>
            <w:tcBorders>
              <w:top w:val="single" w:sz="4" w:space="0" w:color="auto"/>
              <w:left w:val="single" w:sz="4" w:space="0" w:color="auto"/>
              <w:bottom w:val="single" w:sz="4" w:space="0" w:color="auto"/>
              <w:right w:val="single" w:sz="4" w:space="0" w:color="auto"/>
            </w:tcBorders>
          </w:tcPr>
          <w:p w14:paraId="034E6FD3" w14:textId="77777777" w:rsidR="00544C58" w:rsidRDefault="00E92235"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Interbank</w:t>
            </w:r>
          </w:p>
          <w:p w14:paraId="6C7EA869" w14:textId="033845A4" w:rsidR="00544C58" w:rsidRPr="00D942AB" w:rsidRDefault="00CB3FAD" w:rsidP="0001573B">
            <w:pPr>
              <w:pStyle w:val="InstructionsText"/>
              <w:rPr>
                <w:rStyle w:val="InstructionsTabelleberschrift"/>
                <w:rFonts w:ascii="Times New Roman" w:hAnsi="Times New Roman"/>
                <w:b w:val="0"/>
                <w:bCs w:val="0"/>
                <w:sz w:val="24"/>
                <w:u w:val="none"/>
              </w:rPr>
            </w:pPr>
            <w:r w:rsidRPr="00B11D50">
              <w:rPr>
                <w:rStyle w:val="InstructionsTabelleberschrift"/>
                <w:rFonts w:ascii="Times New Roman" w:hAnsi="Times New Roman"/>
                <w:b w:val="0"/>
                <w:bCs w:val="0"/>
                <w:sz w:val="24"/>
                <w:u w:val="none"/>
              </w:rPr>
              <w:t>All assets</w:t>
            </w:r>
            <w:r w:rsidR="00C0643E" w:rsidRPr="00B11D50">
              <w:rPr>
                <w:rStyle w:val="InstructionsTabelleberschrift"/>
                <w:rFonts w:ascii="Times New Roman" w:hAnsi="Times New Roman"/>
                <w:b w:val="0"/>
                <w:bCs w:val="0"/>
                <w:sz w:val="24"/>
                <w:u w:val="none"/>
              </w:rPr>
              <w:t xml:space="preserve"> </w:t>
            </w:r>
            <w:r w:rsidR="0026568B" w:rsidRPr="00B11D50">
              <w:rPr>
                <w:rStyle w:val="InstructionsTabelleberschrift"/>
                <w:rFonts w:ascii="Times New Roman" w:hAnsi="Times New Roman"/>
                <w:b w:val="0"/>
                <w:bCs w:val="0"/>
                <w:sz w:val="24"/>
                <w:u w:val="none"/>
              </w:rPr>
              <w:t>whose</w:t>
            </w:r>
            <w:r w:rsidR="00C0643E" w:rsidRPr="00B11D50">
              <w:rPr>
                <w:rStyle w:val="InstructionsTabelleberschrift"/>
                <w:rFonts w:ascii="Times New Roman" w:hAnsi="Times New Roman"/>
                <w:b w:val="0"/>
                <w:bCs w:val="0"/>
                <w:sz w:val="24"/>
                <w:u w:val="none"/>
              </w:rPr>
              <w:t xml:space="preserve"> counterparty is a credit institution as </w:t>
            </w:r>
            <w:r w:rsidR="00C0643E" w:rsidRPr="00B22F22">
              <w:rPr>
                <w:rStyle w:val="InstructionsTabelleberschrift"/>
                <w:rFonts w:ascii="Times New Roman" w:hAnsi="Times New Roman"/>
                <w:b w:val="0"/>
                <w:bCs w:val="0"/>
                <w:sz w:val="24"/>
                <w:u w:val="none"/>
              </w:rPr>
              <w:t>defined in paragraph</w:t>
            </w:r>
            <w:r w:rsidR="00C0643E" w:rsidRPr="00380A28">
              <w:rPr>
                <w:rStyle w:val="InstructionsTabelleberschrift"/>
                <w:rFonts w:ascii="Times New Roman" w:hAnsi="Times New Roman"/>
                <w:b w:val="0"/>
                <w:bCs w:val="0"/>
                <w:sz w:val="24"/>
                <w:u w:val="none"/>
              </w:rPr>
              <w:t xml:space="preserve"> </w:t>
            </w:r>
            <w:r w:rsidR="00D942AB">
              <w:rPr>
                <w:rStyle w:val="InstructionsTabelleberschrift"/>
                <w:rFonts w:ascii="Times New Roman" w:hAnsi="Times New Roman"/>
                <w:b w:val="0"/>
                <w:bCs w:val="0"/>
                <w:sz w:val="24"/>
                <w:u w:val="none"/>
              </w:rPr>
              <w:t>42</w:t>
            </w:r>
            <w:r w:rsidR="00C0643E" w:rsidRPr="00380A28">
              <w:rPr>
                <w:rStyle w:val="InstructionsTabelleberschrift"/>
                <w:rFonts w:ascii="Times New Roman" w:hAnsi="Times New Roman"/>
                <w:b w:val="0"/>
                <w:bCs w:val="0"/>
                <w:sz w:val="24"/>
                <w:u w:val="none"/>
              </w:rPr>
              <w:t>(</w:t>
            </w:r>
            <w:r w:rsidR="00D942AB">
              <w:rPr>
                <w:rStyle w:val="InstructionsTabelleberschrift"/>
                <w:rFonts w:ascii="Times New Roman" w:hAnsi="Times New Roman"/>
                <w:b w:val="0"/>
                <w:bCs w:val="0"/>
                <w:sz w:val="24"/>
                <w:u w:val="none"/>
              </w:rPr>
              <w:t>c</w:t>
            </w:r>
            <w:r w:rsidR="00C0643E" w:rsidRPr="00380A28">
              <w:rPr>
                <w:rStyle w:val="InstructionsTabelleberschrift"/>
                <w:rFonts w:ascii="Times New Roman" w:hAnsi="Times New Roman"/>
                <w:b w:val="0"/>
                <w:bCs w:val="0"/>
                <w:sz w:val="24"/>
                <w:u w:val="none"/>
              </w:rPr>
              <w:t xml:space="preserve">) of Part </w:t>
            </w:r>
            <w:r w:rsidR="0022725C">
              <w:rPr>
                <w:rStyle w:val="InstructionsTabelleberschrift"/>
                <w:rFonts w:ascii="Times New Roman" w:hAnsi="Times New Roman"/>
                <w:b w:val="0"/>
                <w:bCs w:val="0"/>
                <w:sz w:val="24"/>
                <w:u w:val="none"/>
              </w:rPr>
              <w:t>1</w:t>
            </w:r>
            <w:r w:rsidR="00C0643E" w:rsidRPr="00380A28">
              <w:rPr>
                <w:rStyle w:val="InstructionsTabelleberschrift"/>
                <w:rFonts w:ascii="Times New Roman" w:hAnsi="Times New Roman"/>
                <w:b w:val="0"/>
                <w:bCs w:val="0"/>
                <w:sz w:val="24"/>
                <w:u w:val="none"/>
              </w:rPr>
              <w:t xml:space="preserve"> of </w:t>
            </w:r>
            <w:r w:rsidR="00C0643E" w:rsidRPr="00F302B4">
              <w:rPr>
                <w:rStyle w:val="InstructionsTabelleberschrift"/>
                <w:rFonts w:ascii="Times New Roman" w:hAnsi="Times New Roman"/>
                <w:b w:val="0"/>
                <w:sz w:val="24"/>
                <w:u w:val="none"/>
              </w:rPr>
              <w:t>Annex V of the ITS</w:t>
            </w:r>
            <w:r w:rsidR="00C0643E">
              <w:rPr>
                <w:rStyle w:val="InstructionsTabelleberschrift"/>
                <w:rFonts w:ascii="Times New Roman" w:hAnsi="Times New Roman"/>
                <w:b w:val="0"/>
                <w:sz w:val="24"/>
                <w:u w:val="none"/>
              </w:rPr>
              <w:t xml:space="preserve"> on supervisory reporting</w:t>
            </w:r>
            <w:r w:rsidR="00ED4622" w:rsidRPr="579D23CD">
              <w:rPr>
                <w:lang w:val="en-US"/>
              </w:rPr>
              <w:t>, excluding securities and derivative exposures</w:t>
            </w:r>
            <w:r w:rsidR="00C0643E" w:rsidRPr="00F302B4">
              <w:rPr>
                <w:rStyle w:val="InstructionsTabelleberschrift"/>
                <w:rFonts w:ascii="Times New Roman" w:hAnsi="Times New Roman"/>
                <w:b w:val="0"/>
                <w:sz w:val="24"/>
                <w:u w:val="none"/>
              </w:rPr>
              <w:t>.</w:t>
            </w:r>
            <w:r w:rsidR="00C0643E">
              <w:rPr>
                <w:rStyle w:val="InstructionsTabelleberschrift"/>
                <w:rFonts w:ascii="Times New Roman" w:hAnsi="Times New Roman"/>
                <w:b w:val="0"/>
                <w:sz w:val="24"/>
                <w:u w:val="none"/>
              </w:rPr>
              <w:t xml:space="preserve"> </w:t>
            </w:r>
          </w:p>
        </w:tc>
      </w:tr>
      <w:tr w:rsidR="00741F94" w:rsidRPr="00B32012" w14:paraId="57CB6133" w14:textId="77777777" w:rsidTr="00466F09">
        <w:tc>
          <w:tcPr>
            <w:tcW w:w="1629" w:type="dxa"/>
            <w:tcBorders>
              <w:top w:val="single" w:sz="4" w:space="0" w:color="auto"/>
              <w:left w:val="single" w:sz="4" w:space="0" w:color="auto"/>
              <w:bottom w:val="single" w:sz="4" w:space="0" w:color="auto"/>
              <w:right w:val="single" w:sz="4" w:space="0" w:color="auto"/>
            </w:tcBorders>
            <w:hideMark/>
          </w:tcPr>
          <w:p w14:paraId="6654452B" w14:textId="47AAF884" w:rsidR="00741F94" w:rsidRPr="00B32012" w:rsidRDefault="002E72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0050</w:t>
            </w:r>
          </w:p>
        </w:tc>
        <w:tc>
          <w:tcPr>
            <w:tcW w:w="7159" w:type="dxa"/>
            <w:tcBorders>
              <w:top w:val="single" w:sz="4" w:space="0" w:color="auto"/>
              <w:left w:val="single" w:sz="4" w:space="0" w:color="auto"/>
              <w:bottom w:val="single" w:sz="4" w:space="0" w:color="auto"/>
              <w:right w:val="single" w:sz="4" w:space="0" w:color="auto"/>
            </w:tcBorders>
            <w:hideMark/>
          </w:tcPr>
          <w:p w14:paraId="49EE6FB7" w14:textId="77777777"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Loans and advances</w:t>
            </w:r>
          </w:p>
          <w:p w14:paraId="5B40AB4D" w14:textId="6A9AEE1F" w:rsidR="00741F94" w:rsidRDefault="00CE0544"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D</w:t>
            </w:r>
            <w:r w:rsidR="00741F94" w:rsidRPr="00380A28">
              <w:rPr>
                <w:rStyle w:val="InstructionsTabelleberschrift"/>
                <w:rFonts w:ascii="Times New Roman" w:hAnsi="Times New Roman"/>
                <w:b w:val="0"/>
                <w:bCs w:val="0"/>
                <w:sz w:val="24"/>
                <w:u w:val="none"/>
              </w:rPr>
              <w:t xml:space="preserve">ebt instruments held by institutions that are not </w:t>
            </w:r>
            <w:r w:rsidR="00741F94" w:rsidRPr="00EC31BC">
              <w:rPr>
                <w:rStyle w:val="InstructionsTabelleberschrift"/>
                <w:rFonts w:ascii="Times New Roman" w:hAnsi="Times New Roman"/>
                <w:b w:val="0"/>
                <w:bCs w:val="0"/>
                <w:sz w:val="24"/>
                <w:u w:val="none"/>
              </w:rPr>
              <w:t>securities</w:t>
            </w:r>
            <w:r w:rsidR="00651E27">
              <w:rPr>
                <w:rStyle w:val="InstructionsTabelleberschrift"/>
                <w:rFonts w:ascii="Times New Roman" w:hAnsi="Times New Roman"/>
                <w:b w:val="0"/>
                <w:bCs w:val="0"/>
                <w:sz w:val="24"/>
                <w:u w:val="none"/>
              </w:rPr>
              <w:t xml:space="preserve">, </w:t>
            </w:r>
            <w:r w:rsidR="00651E27" w:rsidRPr="007C40B0">
              <w:rPr>
                <w:lang w:val="en-US"/>
              </w:rPr>
              <w:t>as defined in paragraph 32 of Part 1 of Annex V of the ITS on supervisory reporting</w:t>
            </w:r>
            <w:r w:rsidR="00741F94" w:rsidRPr="00EC31BC">
              <w:rPr>
                <w:rStyle w:val="InstructionsTabelleberschrift"/>
                <w:rFonts w:ascii="Times New Roman" w:hAnsi="Times New Roman"/>
                <w:b w:val="0"/>
                <w:bCs w:val="0"/>
                <w:sz w:val="24"/>
                <w:u w:val="none"/>
              </w:rPr>
              <w:t xml:space="preserve">. </w:t>
            </w:r>
            <w:r w:rsidR="004254D2" w:rsidRPr="004254D2">
              <w:rPr>
                <w:rStyle w:val="InstructionsTabelleberschrift"/>
                <w:rFonts w:ascii="Times New Roman" w:hAnsi="Times New Roman"/>
                <w:b w:val="0"/>
                <w:sz w:val="24"/>
                <w:u w:val="none"/>
              </w:rPr>
              <w:t xml:space="preserve">This </w:t>
            </w:r>
            <w:r w:rsidR="00B0261B">
              <w:rPr>
                <w:rStyle w:val="InstructionsTabelleberschrift"/>
                <w:rFonts w:ascii="Times New Roman" w:hAnsi="Times New Roman"/>
                <w:b w:val="0"/>
                <w:sz w:val="24"/>
                <w:u w:val="none"/>
              </w:rPr>
              <w:t>row</w:t>
            </w:r>
            <w:r w:rsidR="004254D2" w:rsidRPr="004254D2">
              <w:rPr>
                <w:rStyle w:val="InstructionsTabelleberschrift"/>
                <w:rFonts w:ascii="Times New Roman" w:hAnsi="Times New Roman"/>
                <w:b w:val="0"/>
                <w:sz w:val="24"/>
                <w:u w:val="none"/>
              </w:rPr>
              <w:t xml:space="preserve"> shall</w:t>
            </w:r>
            <w:r w:rsidR="00B0261B">
              <w:rPr>
                <w:rStyle w:val="InstructionsTabelleberschrift"/>
                <w:rFonts w:ascii="Times New Roman" w:hAnsi="Times New Roman"/>
                <w:b w:val="0"/>
                <w:sz w:val="24"/>
                <w:u w:val="none"/>
              </w:rPr>
              <w:t xml:space="preserve"> </w:t>
            </w:r>
            <w:r w:rsidR="004254D2" w:rsidRPr="004254D2">
              <w:rPr>
                <w:rStyle w:val="InstructionsTabelleberschrift"/>
                <w:rFonts w:ascii="Times New Roman" w:hAnsi="Times New Roman"/>
                <w:b w:val="0"/>
                <w:sz w:val="24"/>
                <w:u w:val="none"/>
              </w:rPr>
              <w:t xml:space="preserve">not include exposures </w:t>
            </w:r>
            <w:r w:rsidR="00B0261B">
              <w:rPr>
                <w:rStyle w:val="InstructionsTabelleberschrift"/>
                <w:rFonts w:ascii="Times New Roman" w:hAnsi="Times New Roman"/>
                <w:b w:val="0"/>
                <w:sz w:val="24"/>
                <w:u w:val="none"/>
              </w:rPr>
              <w:t>included</w:t>
            </w:r>
            <w:r w:rsidR="000A7A58">
              <w:rPr>
                <w:rStyle w:val="InstructionsTabelleberschrift"/>
                <w:rFonts w:ascii="Times New Roman" w:hAnsi="Times New Roman"/>
                <w:b w:val="0"/>
                <w:sz w:val="24"/>
                <w:u w:val="none"/>
              </w:rPr>
              <w:t xml:space="preserve"> in rows 0030 and 0040. </w:t>
            </w:r>
          </w:p>
          <w:p w14:paraId="64597ADD" w14:textId="66BD80B6" w:rsidR="00741F94" w:rsidRPr="00380A28" w:rsidRDefault="00741F94" w:rsidP="0001573B">
            <w:pPr>
              <w:pStyle w:val="InstructionsText"/>
              <w:rPr>
                <w:rStyle w:val="InstructionsTabelleberschrift"/>
                <w:rFonts w:ascii="Times New Roman" w:hAnsi="Times New Roman"/>
                <w:b w:val="0"/>
                <w:bCs w:val="0"/>
                <w:sz w:val="24"/>
                <w:u w:val="none"/>
                <w:lang w:eastAsia="en-US"/>
              </w:rPr>
            </w:pPr>
          </w:p>
        </w:tc>
      </w:tr>
      <w:tr w:rsidR="00D82538" w:rsidRPr="00B32012" w14:paraId="3BB1E4DD" w14:textId="77777777" w:rsidTr="00466F09">
        <w:tc>
          <w:tcPr>
            <w:tcW w:w="1629" w:type="dxa"/>
            <w:tcBorders>
              <w:top w:val="single" w:sz="4" w:space="0" w:color="auto"/>
              <w:left w:val="single" w:sz="4" w:space="0" w:color="auto"/>
              <w:bottom w:val="single" w:sz="4" w:space="0" w:color="auto"/>
              <w:right w:val="single" w:sz="4" w:space="0" w:color="auto"/>
            </w:tcBorders>
          </w:tcPr>
          <w:p w14:paraId="59B4E6A9" w14:textId="0189D751" w:rsidR="00D82538" w:rsidDel="002E7204" w:rsidRDefault="00D8253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0060</w:t>
            </w:r>
            <w:r w:rsidR="004D7CCC">
              <w:rPr>
                <w:rStyle w:val="FormatvorlageInstructionsTabelleText"/>
                <w:rFonts w:ascii="Times New Roman" w:hAnsi="Times New Roman"/>
                <w:sz w:val="24"/>
              </w:rPr>
              <w:t xml:space="preserve">, 0130, 0150, 0250, 0280, </w:t>
            </w:r>
            <w:r w:rsidR="00F83A82">
              <w:rPr>
                <w:rStyle w:val="FormatvorlageInstructionsTabelleText"/>
                <w:rFonts w:ascii="Times New Roman" w:hAnsi="Times New Roman"/>
                <w:sz w:val="24"/>
              </w:rPr>
              <w:t>0320, 0360, 0400, 0430, 0480</w:t>
            </w:r>
          </w:p>
        </w:tc>
        <w:tc>
          <w:tcPr>
            <w:tcW w:w="7159" w:type="dxa"/>
            <w:tcBorders>
              <w:top w:val="single" w:sz="4" w:space="0" w:color="auto"/>
              <w:left w:val="single" w:sz="4" w:space="0" w:color="auto"/>
              <w:bottom w:val="single" w:sz="4" w:space="0" w:color="auto"/>
              <w:right w:val="single" w:sz="4" w:space="0" w:color="auto"/>
            </w:tcBorders>
          </w:tcPr>
          <w:p w14:paraId="05C72029" w14:textId="77777777" w:rsidR="00D82538" w:rsidRDefault="003E575E" w:rsidP="0001573B">
            <w:pPr>
              <w:pStyle w:val="InstructionsText"/>
              <w:rPr>
                <w:rStyle w:val="InstructionsTabelleberschrift"/>
                <w:rFonts w:ascii="Times New Roman" w:hAnsi="Times New Roman"/>
                <w:sz w:val="24"/>
              </w:rPr>
            </w:pPr>
            <w:r w:rsidRPr="003E575E">
              <w:rPr>
                <w:rStyle w:val="InstructionsTabelleberschrift"/>
                <w:rFonts w:ascii="Times New Roman" w:hAnsi="Times New Roman"/>
                <w:sz w:val="24"/>
              </w:rPr>
              <w:t>of which: fixed rate</w:t>
            </w:r>
          </w:p>
          <w:p w14:paraId="0C01CA13" w14:textId="0DCCDC8E" w:rsidR="003E575E" w:rsidRPr="00B32012" w:rsidRDefault="003E575E" w:rsidP="0001573B">
            <w:pPr>
              <w:pStyle w:val="InstructionsText"/>
              <w:rPr>
                <w:rStyle w:val="InstructionsTabelleberschrift"/>
                <w:rFonts w:ascii="Times New Roman" w:hAnsi="Times New Roman"/>
                <w:sz w:val="24"/>
              </w:rPr>
            </w:pPr>
            <w:r w:rsidRPr="00466F09">
              <w:t xml:space="preserve">Institutions shall report </w:t>
            </w:r>
            <w:r w:rsidR="00C13673">
              <w:t>figures</w:t>
            </w:r>
            <w:r w:rsidR="00C13673" w:rsidRPr="00466F09">
              <w:t xml:space="preserve"> </w:t>
            </w:r>
            <w:r w:rsidRPr="00466F09">
              <w:t xml:space="preserve">related to fixed rate instruments, according to the convention specified in section </w:t>
            </w:r>
            <w:r w:rsidRPr="00466F09">
              <w:fldChar w:fldCharType="begin"/>
            </w:r>
            <w:r w:rsidRPr="00466F09">
              <w:instrText xml:space="preserve"> REF _Ref125115357 \r \h </w:instrText>
            </w:r>
            <w:r>
              <w:instrText xml:space="preserve"> \* MERGEFORMAT </w:instrText>
            </w:r>
            <w:r w:rsidRPr="00466F09">
              <w:fldChar w:fldCharType="separate"/>
            </w:r>
            <w:r w:rsidR="003520A1">
              <w:t>3</w:t>
            </w:r>
            <w:r w:rsidRPr="00466F09">
              <w:fldChar w:fldCharType="end"/>
            </w:r>
            <w:r w:rsidRPr="00466F09">
              <w:t xml:space="preserve"> of Part I of this document.</w:t>
            </w:r>
          </w:p>
        </w:tc>
      </w:tr>
      <w:tr w:rsidR="00741F94" w:rsidRPr="00B32012" w14:paraId="0BC793E4" w14:textId="77777777" w:rsidTr="00466F09">
        <w:tc>
          <w:tcPr>
            <w:tcW w:w="1629" w:type="dxa"/>
            <w:tcBorders>
              <w:top w:val="single" w:sz="4" w:space="0" w:color="auto"/>
              <w:left w:val="single" w:sz="4" w:space="0" w:color="auto"/>
              <w:bottom w:val="single" w:sz="4" w:space="0" w:color="auto"/>
              <w:right w:val="single" w:sz="4" w:space="0" w:color="auto"/>
            </w:tcBorders>
          </w:tcPr>
          <w:p w14:paraId="305CD777" w14:textId="42B71776" w:rsidR="00741F94" w:rsidRPr="008B3266" w:rsidRDefault="002E7204" w:rsidP="0001573B">
            <w:pPr>
              <w:pStyle w:val="InstructionsText"/>
              <w:rPr>
                <w:rStyle w:val="FormatvorlageInstructionsTabelleText"/>
                <w:rFonts w:ascii="Times New Roman" w:hAnsi="Times New Roman"/>
                <w:sz w:val="24"/>
                <w:highlight w:val="yellow"/>
                <w:lang w:eastAsia="en-US"/>
              </w:rPr>
            </w:pPr>
            <w:r w:rsidRPr="002D2E42">
              <w:rPr>
                <w:rStyle w:val="FormatvorlageInstructionsTabelleText"/>
                <w:rFonts w:ascii="Times New Roman" w:hAnsi="Times New Roman"/>
                <w:sz w:val="24"/>
                <w:lang w:eastAsia="en-US"/>
              </w:rPr>
              <w:t>00</w:t>
            </w:r>
            <w:r>
              <w:rPr>
                <w:rStyle w:val="FormatvorlageInstructionsTabelleText"/>
                <w:rFonts w:ascii="Times New Roman" w:hAnsi="Times New Roman"/>
                <w:sz w:val="24"/>
                <w:lang w:eastAsia="en-US"/>
              </w:rPr>
              <w:t>7</w:t>
            </w:r>
            <w:r w:rsidRPr="008B3266">
              <w:rPr>
                <w:rStyle w:val="FormatvorlageInstructionsTabelleText"/>
                <w:rFonts w:ascii="Times New Roman" w:hAnsi="Times New Roman"/>
                <w:sz w:val="24"/>
                <w:lang w:eastAsia="en-US"/>
              </w:rPr>
              <w:t>0</w:t>
            </w:r>
          </w:p>
        </w:tc>
        <w:tc>
          <w:tcPr>
            <w:tcW w:w="7159" w:type="dxa"/>
            <w:tcBorders>
              <w:top w:val="single" w:sz="4" w:space="0" w:color="auto"/>
              <w:left w:val="single" w:sz="4" w:space="0" w:color="auto"/>
              <w:bottom w:val="single" w:sz="4" w:space="0" w:color="auto"/>
              <w:right w:val="single" w:sz="4" w:space="0" w:color="auto"/>
            </w:tcBorders>
          </w:tcPr>
          <w:p w14:paraId="74C2C652" w14:textId="51F81D0F" w:rsidR="00741F94" w:rsidRPr="00B32012" w:rsidRDefault="00741F94" w:rsidP="0001573B">
            <w:pPr>
              <w:pStyle w:val="InstructionsText"/>
              <w:rPr>
                <w:rStyle w:val="InstructionsTabelleberschrift"/>
                <w:rFonts w:ascii="Times New Roman" w:hAnsi="Times New Roman"/>
                <w:sz w:val="24"/>
              </w:rPr>
            </w:pPr>
            <w:r w:rsidRPr="00B32012">
              <w:rPr>
                <w:rStyle w:val="InstructionsTabelleberschrift"/>
                <w:rFonts w:ascii="Times New Roman" w:hAnsi="Times New Roman"/>
                <w:sz w:val="24"/>
              </w:rPr>
              <w:t xml:space="preserve">Of which: </w:t>
            </w:r>
            <w:r w:rsidR="00EF08E1">
              <w:rPr>
                <w:rStyle w:val="InstructionsTabelleberschrift"/>
                <w:rFonts w:ascii="Times New Roman" w:hAnsi="Times New Roman"/>
                <w:sz w:val="24"/>
              </w:rPr>
              <w:t>n</w:t>
            </w:r>
            <w:r w:rsidRPr="00B32012">
              <w:rPr>
                <w:rStyle w:val="InstructionsTabelleberschrift"/>
                <w:rFonts w:ascii="Times New Roman" w:hAnsi="Times New Roman"/>
                <w:sz w:val="24"/>
              </w:rPr>
              <w:t>on-performing</w:t>
            </w:r>
          </w:p>
          <w:p w14:paraId="65A1D079" w14:textId="3266E3AF" w:rsidR="00741F94" w:rsidRPr="00D65159" w:rsidRDefault="007F62B7"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sz w:val="24"/>
                <w:u w:val="none"/>
              </w:rPr>
              <w:t xml:space="preserve">Non-performing </w:t>
            </w:r>
            <w:r w:rsidR="00E97253">
              <w:rPr>
                <w:rStyle w:val="InstructionsTabelleberschrift"/>
                <w:rFonts w:ascii="Times New Roman" w:hAnsi="Times New Roman"/>
                <w:b w:val="0"/>
                <w:sz w:val="24"/>
                <w:u w:val="none"/>
              </w:rPr>
              <w:t xml:space="preserve">loans and advances </w:t>
            </w:r>
            <w:r>
              <w:rPr>
                <w:rStyle w:val="InstructionsTabelleberschrift"/>
                <w:rFonts w:ascii="Times New Roman" w:hAnsi="Times New Roman"/>
                <w:b w:val="0"/>
                <w:sz w:val="24"/>
                <w:u w:val="none"/>
              </w:rPr>
              <w:t xml:space="preserve">in accordance with Article 4(g) of the </w:t>
            </w:r>
            <w:r w:rsidRPr="63452C95">
              <w:rPr>
                <w:highlight w:val="lightGray"/>
              </w:rPr>
              <w:t>EBA RTS on SO</w:t>
            </w:r>
            <w:r w:rsidRPr="00490A70">
              <w:rPr>
                <w:highlight w:val="lightGray"/>
              </w:rPr>
              <w:t>T</w:t>
            </w:r>
            <w:r w:rsidR="00E30CD1">
              <w:rPr>
                <w:rStyle w:val="InstructionsTabelleberschrift"/>
                <w:rFonts w:ascii="Times New Roman" w:hAnsi="Times New Roman"/>
                <w:b w:val="0"/>
                <w:sz w:val="24"/>
                <w:u w:val="none"/>
              </w:rPr>
              <w:t xml:space="preserve"> and</w:t>
            </w:r>
            <w:r>
              <w:rPr>
                <w:rStyle w:val="InstructionsTabelleberschrift"/>
                <w:rFonts w:ascii="Times New Roman" w:hAnsi="Times New Roman"/>
                <w:b w:val="0"/>
                <w:sz w:val="24"/>
                <w:u w:val="none"/>
              </w:rPr>
              <w:t xml:space="preserve"> with</w:t>
            </w:r>
            <w:r w:rsidRPr="00EC6B08">
              <w:rPr>
                <w:rStyle w:val="InstructionsTabelleberschrift"/>
                <w:rFonts w:ascii="Times New Roman" w:hAnsi="Times New Roman"/>
                <w:b w:val="0"/>
                <w:sz w:val="24"/>
                <w:u w:val="none"/>
              </w:rPr>
              <w:t xml:space="preserve"> Article 47a(3) </w:t>
            </w:r>
            <w:r w:rsidR="009166F8">
              <w:rPr>
                <w:rStyle w:val="InstructionsTabelleberschrift"/>
                <w:rFonts w:ascii="Times New Roman" w:hAnsi="Times New Roman"/>
                <w:b w:val="0"/>
                <w:sz w:val="24"/>
                <w:u w:val="none"/>
              </w:rPr>
              <w:t>of the CRR</w:t>
            </w:r>
            <w:r w:rsidRPr="00F302B4">
              <w:rPr>
                <w:rStyle w:val="InstructionsTabelleberschrift"/>
                <w:rFonts w:ascii="Times New Roman" w:hAnsi="Times New Roman"/>
                <w:b w:val="0"/>
                <w:sz w:val="24"/>
                <w:u w:val="none"/>
              </w:rPr>
              <w:t xml:space="preserve">. </w:t>
            </w:r>
          </w:p>
        </w:tc>
      </w:tr>
      <w:tr w:rsidR="00741F94" w:rsidRPr="00B32012" w14:paraId="50137C48" w14:textId="77777777" w:rsidTr="00466F09">
        <w:tc>
          <w:tcPr>
            <w:tcW w:w="1629" w:type="dxa"/>
            <w:tcBorders>
              <w:top w:val="single" w:sz="4" w:space="0" w:color="auto"/>
              <w:left w:val="single" w:sz="4" w:space="0" w:color="auto"/>
              <w:bottom w:val="single" w:sz="4" w:space="0" w:color="auto"/>
              <w:right w:val="single" w:sz="4" w:space="0" w:color="auto"/>
            </w:tcBorders>
          </w:tcPr>
          <w:p w14:paraId="028154D1" w14:textId="78D583D6" w:rsidR="00741F94" w:rsidRPr="008B3266" w:rsidRDefault="002E7204" w:rsidP="0001573B">
            <w:pPr>
              <w:pStyle w:val="InstructionsText"/>
              <w:rPr>
                <w:rStyle w:val="FormatvorlageInstructionsTabelleText"/>
                <w:rFonts w:ascii="Times New Roman" w:hAnsi="Times New Roman"/>
                <w:sz w:val="24"/>
                <w:highlight w:val="yellow"/>
                <w:lang w:eastAsia="en-US"/>
              </w:rPr>
            </w:pPr>
            <w:r w:rsidRPr="00C30F55">
              <w:rPr>
                <w:rStyle w:val="FormatvorlageInstructionsTabelleText"/>
                <w:rFonts w:ascii="Times New Roman" w:hAnsi="Times New Roman"/>
                <w:sz w:val="24"/>
                <w:lang w:eastAsia="en-US"/>
              </w:rPr>
              <w:t>00</w:t>
            </w:r>
            <w:r>
              <w:rPr>
                <w:rStyle w:val="FormatvorlageInstructionsTabelleText"/>
                <w:rFonts w:ascii="Times New Roman" w:hAnsi="Times New Roman"/>
                <w:sz w:val="24"/>
                <w:lang w:eastAsia="en-US"/>
              </w:rPr>
              <w:t>8</w:t>
            </w:r>
            <w:r w:rsidRPr="00C30F55">
              <w:rPr>
                <w:rStyle w:val="FormatvorlageInstructionsTabelleText"/>
                <w:rFonts w:ascii="Times New Roman" w:hAnsi="Times New Roman"/>
                <w:sz w:val="24"/>
                <w:lang w:eastAsia="en-US"/>
              </w:rPr>
              <w:t>0</w:t>
            </w:r>
          </w:p>
        </w:tc>
        <w:tc>
          <w:tcPr>
            <w:tcW w:w="7159" w:type="dxa"/>
            <w:tcBorders>
              <w:top w:val="single" w:sz="4" w:space="0" w:color="auto"/>
              <w:left w:val="single" w:sz="4" w:space="0" w:color="auto"/>
              <w:bottom w:val="single" w:sz="4" w:space="0" w:color="auto"/>
              <w:right w:val="single" w:sz="4" w:space="0" w:color="auto"/>
            </w:tcBorders>
            <w:hideMark/>
          </w:tcPr>
          <w:p w14:paraId="369F983D" w14:textId="77777777"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Retail</w:t>
            </w:r>
          </w:p>
          <w:p w14:paraId="6F9561E9" w14:textId="022ED988" w:rsidR="00BB1FA5" w:rsidRDefault="007F62B7" w:rsidP="0001573B">
            <w:pPr>
              <w:pStyle w:val="InstructionsText"/>
            </w:pPr>
            <w:r>
              <w:t>Loans and advances to a</w:t>
            </w:r>
            <w:r w:rsidR="00BB1FA5">
              <w:t xml:space="preserve"> natural person or a SME, where the </w:t>
            </w:r>
            <w:r w:rsidR="00FB68B2">
              <w:t xml:space="preserve">exposure toward </w:t>
            </w:r>
            <w:r w:rsidR="007963FC" w:rsidRPr="00080F38">
              <w:rPr>
                <w:rStyle w:val="cf01"/>
                <w:rFonts w:ascii="Times New Roman" w:hAnsi="Times New Roman" w:cs="Times New Roman"/>
                <w:sz w:val="24"/>
                <w:szCs w:val="24"/>
              </w:rPr>
              <w:t>small and medium-sized enterprise</w:t>
            </w:r>
            <w:r w:rsidR="007963FC" w:rsidDel="007963FC">
              <w:t xml:space="preserve"> </w:t>
            </w:r>
            <w:r w:rsidR="003A246C">
              <w:t>(‘</w:t>
            </w:r>
            <w:r w:rsidR="00BB1FA5">
              <w:t>SME</w:t>
            </w:r>
            <w:r w:rsidR="003A246C">
              <w:t>’)</w:t>
            </w:r>
            <w:r w:rsidR="00BB1FA5">
              <w:t xml:space="preserve"> </w:t>
            </w:r>
            <w:r>
              <w:t>shall</w:t>
            </w:r>
            <w:r w:rsidR="00BB1FA5">
              <w:t xml:space="preserve"> qualify for the retail exposure class under the Standardised or </w:t>
            </w:r>
            <w:r w:rsidR="00416D84">
              <w:t>Internal Ratings Based (‘</w:t>
            </w:r>
            <w:r w:rsidR="00BB1FA5">
              <w:t>IRB</w:t>
            </w:r>
            <w:r w:rsidR="00C5442F">
              <w:t>’)</w:t>
            </w:r>
            <w:r w:rsidR="00BB1FA5">
              <w:t xml:space="preserve"> approaches for credit risk</w:t>
            </w:r>
            <w:r w:rsidR="009166F8">
              <w:t xml:space="preserve"> as defined in Chapters 2 and 3 of the CRR</w:t>
            </w:r>
            <w:r w:rsidR="00BB1FA5">
              <w:t xml:space="preserve">, or a company which is eligible for the treatment set out in Article 153(4) </w:t>
            </w:r>
            <w:r w:rsidR="009166F8">
              <w:t>of the CRR</w:t>
            </w:r>
            <w:r w:rsidR="00D40C0F">
              <w:t xml:space="preserve"> </w:t>
            </w:r>
            <w:r w:rsidR="00BB1FA5">
              <w:t>and where the aggregate deposits by that SME or company on a group basis do not exceed EUR 1 million.</w:t>
            </w:r>
          </w:p>
          <w:p w14:paraId="2F00E30F" w14:textId="05247D51" w:rsidR="00741F94" w:rsidRPr="007A3DC5" w:rsidRDefault="00741F94" w:rsidP="0001573B">
            <w:pPr>
              <w:pStyle w:val="InstructionsText"/>
              <w:rPr>
                <w:rStyle w:val="InstructionsTabelleberschrift"/>
                <w:rFonts w:ascii="Times New Roman" w:hAnsi="Times New Roman"/>
                <w:b w:val="0"/>
                <w:bCs w:val="0"/>
                <w:sz w:val="24"/>
                <w:u w:val="none"/>
              </w:rPr>
            </w:pPr>
            <w:r>
              <w:t xml:space="preserve">Both performing and non-performing retail loans and advances </w:t>
            </w:r>
            <w:r w:rsidR="00D12970">
              <w:t>shall</w:t>
            </w:r>
            <w:r>
              <w:t xml:space="preserve"> be reported in this row.</w:t>
            </w:r>
          </w:p>
        </w:tc>
      </w:tr>
      <w:tr w:rsidR="00741F94" w:rsidRPr="00B32012" w14:paraId="13DA4198" w14:textId="77777777" w:rsidTr="00466F09">
        <w:tc>
          <w:tcPr>
            <w:tcW w:w="1629" w:type="dxa"/>
            <w:tcBorders>
              <w:top w:val="single" w:sz="4" w:space="0" w:color="auto"/>
              <w:left w:val="single" w:sz="4" w:space="0" w:color="auto"/>
              <w:bottom w:val="single" w:sz="4" w:space="0" w:color="auto"/>
              <w:right w:val="single" w:sz="4" w:space="0" w:color="auto"/>
            </w:tcBorders>
          </w:tcPr>
          <w:p w14:paraId="1693BB16" w14:textId="755ECBC6" w:rsidR="00741F94" w:rsidRPr="00B32012" w:rsidRDefault="002E72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0090</w:t>
            </w:r>
          </w:p>
        </w:tc>
        <w:tc>
          <w:tcPr>
            <w:tcW w:w="7159" w:type="dxa"/>
            <w:tcBorders>
              <w:top w:val="single" w:sz="4" w:space="0" w:color="auto"/>
              <w:left w:val="single" w:sz="4" w:space="0" w:color="auto"/>
              <w:bottom w:val="single" w:sz="4" w:space="0" w:color="auto"/>
              <w:right w:val="single" w:sz="4" w:space="0" w:color="auto"/>
            </w:tcBorders>
            <w:hideMark/>
          </w:tcPr>
          <w:p w14:paraId="3C7D082B" w14:textId="5178D44B"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 xml:space="preserve">Of which: </w:t>
            </w:r>
            <w:r w:rsidR="003C2C8A">
              <w:rPr>
                <w:rStyle w:val="InstructionsTabelleberschrift"/>
                <w:rFonts w:ascii="Times New Roman" w:hAnsi="Times New Roman"/>
                <w:sz w:val="24"/>
              </w:rPr>
              <w:t>s</w:t>
            </w:r>
            <w:r w:rsidR="00C14E1B">
              <w:rPr>
                <w:rStyle w:val="InstructionsTabelleberschrift"/>
                <w:rFonts w:ascii="Times New Roman" w:hAnsi="Times New Roman"/>
                <w:sz w:val="24"/>
              </w:rPr>
              <w:t xml:space="preserve">ecured </w:t>
            </w:r>
            <w:r w:rsidR="0066029F">
              <w:rPr>
                <w:rStyle w:val="InstructionsTabelleberschrift"/>
                <w:rFonts w:ascii="Times New Roman" w:hAnsi="Times New Roman"/>
                <w:sz w:val="24"/>
              </w:rPr>
              <w:t xml:space="preserve">by </w:t>
            </w:r>
            <w:r w:rsidR="0090560C">
              <w:rPr>
                <w:rStyle w:val="InstructionsTabelleberschrift"/>
                <w:rFonts w:ascii="Times New Roman" w:hAnsi="Times New Roman"/>
                <w:sz w:val="24"/>
              </w:rPr>
              <w:t xml:space="preserve">residential </w:t>
            </w:r>
            <w:r w:rsidR="004967ED">
              <w:rPr>
                <w:rStyle w:val="InstructionsTabelleberschrift"/>
                <w:rFonts w:ascii="Times New Roman" w:hAnsi="Times New Roman"/>
                <w:sz w:val="24"/>
              </w:rPr>
              <w:t>real estate</w:t>
            </w:r>
          </w:p>
          <w:p w14:paraId="23AF36E9" w14:textId="4321E006" w:rsidR="00741F94" w:rsidRPr="00B32012" w:rsidRDefault="006E4174">
            <w:pPr>
              <w:rPr>
                <w:rStyle w:val="InstructionsTabelleberschrift"/>
                <w:rFonts w:ascii="Times New Roman" w:hAnsi="Times New Roman"/>
                <w:b w:val="0"/>
                <w:bCs w:val="0"/>
                <w:sz w:val="24"/>
                <w:lang w:bidi="ne-NP"/>
              </w:rPr>
            </w:pPr>
            <w:r>
              <w:rPr>
                <w:rStyle w:val="InstructionsTabelleberschrift"/>
                <w:rFonts w:ascii="Times New Roman" w:hAnsi="Times New Roman"/>
                <w:b w:val="0"/>
                <w:bCs w:val="0"/>
                <w:sz w:val="24"/>
                <w:u w:val="none"/>
                <w:lang w:bidi="ne-NP"/>
              </w:rPr>
              <w:t>R</w:t>
            </w:r>
            <w:r w:rsidR="007F62B7">
              <w:rPr>
                <w:rFonts w:ascii="Times New Roman" w:hAnsi="Times New Roman"/>
                <w:sz w:val="24"/>
                <w:lang w:bidi="ne-NP"/>
              </w:rPr>
              <w:t xml:space="preserve">etail </w:t>
            </w:r>
            <w:r w:rsidR="00741F94" w:rsidRPr="00B32012">
              <w:rPr>
                <w:rFonts w:ascii="Times New Roman" w:hAnsi="Times New Roman"/>
                <w:sz w:val="24"/>
                <w:lang w:bidi="ne-NP"/>
              </w:rPr>
              <w:t>loans formally secured by residential immovable property collateral, regardless of their loan/collateral ratio (commonly referred as ‘loan</w:t>
            </w:r>
            <w:r w:rsidR="00D71CFD">
              <w:rPr>
                <w:rFonts w:ascii="Times New Roman" w:hAnsi="Times New Roman"/>
                <w:sz w:val="24"/>
                <w:lang w:bidi="ne-NP"/>
              </w:rPr>
              <w:t>-</w:t>
            </w:r>
            <w:r w:rsidR="00741F94" w:rsidRPr="00B32012">
              <w:rPr>
                <w:rFonts w:ascii="Times New Roman" w:hAnsi="Times New Roman"/>
                <w:sz w:val="24"/>
                <w:lang w:bidi="ne-NP"/>
              </w:rPr>
              <w:t>to-value’) and the legal form of the collateral.</w:t>
            </w:r>
          </w:p>
        </w:tc>
      </w:tr>
      <w:tr w:rsidR="00741F94" w:rsidRPr="00B32012" w14:paraId="315C92D4" w14:textId="77777777" w:rsidTr="00466F09">
        <w:tc>
          <w:tcPr>
            <w:tcW w:w="1629" w:type="dxa"/>
            <w:tcBorders>
              <w:top w:val="single" w:sz="4" w:space="0" w:color="auto"/>
              <w:left w:val="single" w:sz="4" w:space="0" w:color="auto"/>
              <w:bottom w:val="single" w:sz="4" w:space="0" w:color="auto"/>
              <w:right w:val="single" w:sz="4" w:space="0" w:color="auto"/>
            </w:tcBorders>
          </w:tcPr>
          <w:p w14:paraId="63CA55BE" w14:textId="6527E2F6" w:rsidR="00741F94" w:rsidRPr="00B32012" w:rsidRDefault="0041056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0100</w:t>
            </w:r>
          </w:p>
        </w:tc>
        <w:tc>
          <w:tcPr>
            <w:tcW w:w="7159" w:type="dxa"/>
            <w:tcBorders>
              <w:top w:val="single" w:sz="4" w:space="0" w:color="auto"/>
              <w:left w:val="single" w:sz="4" w:space="0" w:color="auto"/>
              <w:bottom w:val="single" w:sz="4" w:space="0" w:color="auto"/>
              <w:right w:val="single" w:sz="4" w:space="0" w:color="auto"/>
            </w:tcBorders>
            <w:hideMark/>
          </w:tcPr>
          <w:p w14:paraId="64484C70" w14:textId="77777777" w:rsidR="00741F94" w:rsidRPr="00B32012" w:rsidRDefault="00741F94" w:rsidP="0001573B">
            <w:pPr>
              <w:pStyle w:val="InstructionsText"/>
              <w:rPr>
                <w:rStyle w:val="InstructionsTabelleberschrift"/>
                <w:rFonts w:ascii="Times New Roman" w:hAnsi="Times New Roman"/>
                <w:sz w:val="24"/>
              </w:rPr>
            </w:pPr>
            <w:r w:rsidRPr="00B32012">
              <w:rPr>
                <w:rStyle w:val="InstructionsTabelleberschrift"/>
                <w:rFonts w:ascii="Times New Roman" w:hAnsi="Times New Roman"/>
                <w:sz w:val="24"/>
              </w:rPr>
              <w:t>Wholesale non-financial</w:t>
            </w:r>
          </w:p>
          <w:p w14:paraId="44A9638B" w14:textId="3C6965E7" w:rsidR="00741F94" w:rsidRPr="008457C1" w:rsidRDefault="002612D5" w:rsidP="0001573B">
            <w:pPr>
              <w:pStyle w:val="InstructionsText"/>
              <w:rPr>
                <w:rStyle w:val="InstructionsTabelleberschrift"/>
                <w:rFonts w:ascii="Times New Roman" w:hAnsi="Times New Roman"/>
                <w:b w:val="0"/>
                <w:bCs w:val="0"/>
                <w:sz w:val="24"/>
                <w:u w:val="none"/>
              </w:rPr>
            </w:pPr>
            <w:r w:rsidRPr="00093EE3">
              <w:rPr>
                <w:lang w:val="en-US"/>
              </w:rPr>
              <w:t xml:space="preserve">Loans and advances to </w:t>
            </w:r>
            <w:r w:rsidR="002F24CE">
              <w:rPr>
                <w:lang w:val="en-US"/>
              </w:rPr>
              <w:t xml:space="preserve">general governments and </w:t>
            </w:r>
            <w:r w:rsidRPr="00093EE3">
              <w:rPr>
                <w:lang w:val="en-US"/>
              </w:rPr>
              <w:t>non-financial corporations</w:t>
            </w:r>
            <w:r w:rsidRPr="007C40B0">
              <w:rPr>
                <w:lang w:val="en-US"/>
              </w:rPr>
              <w:t xml:space="preserve"> </w:t>
            </w:r>
            <w:r w:rsidRPr="00093EE3">
              <w:rPr>
                <w:lang w:val="en-US"/>
              </w:rPr>
              <w:t>in accordance</w:t>
            </w:r>
            <w:r w:rsidR="00AE47EF">
              <w:rPr>
                <w:lang w:val="en-US"/>
              </w:rPr>
              <w:t xml:space="preserve"> to</w:t>
            </w:r>
            <w:r w:rsidRPr="00093EE3">
              <w:rPr>
                <w:lang w:val="en-US"/>
              </w:rPr>
              <w:t xml:space="preserve"> point</w:t>
            </w:r>
            <w:r w:rsidR="00AE47EF">
              <w:rPr>
                <w:lang w:val="en-US"/>
              </w:rPr>
              <w:t>s</w:t>
            </w:r>
            <w:r w:rsidR="002F24CE">
              <w:rPr>
                <w:lang w:val="en-US"/>
              </w:rPr>
              <w:t xml:space="preserve"> (b) and</w:t>
            </w:r>
            <w:r w:rsidRPr="00093EE3">
              <w:rPr>
                <w:lang w:val="en-US"/>
              </w:rPr>
              <w:t xml:space="preserve"> (e) of paragraph 42 of Part 1 of Annex V of the ITS on supervisory reporting</w:t>
            </w:r>
            <w:r w:rsidR="003520A1">
              <w:rPr>
                <w:lang w:val="en-US"/>
              </w:rPr>
              <w:t>.</w:t>
            </w:r>
            <w:r w:rsidRPr="00093EE3">
              <w:rPr>
                <w:lang w:val="en-US"/>
              </w:rPr>
              <w:t xml:space="preserve"> This </w:t>
            </w:r>
            <w:r w:rsidR="00C31AEC">
              <w:rPr>
                <w:lang w:val="en-US"/>
              </w:rPr>
              <w:t>row</w:t>
            </w:r>
            <w:r w:rsidRPr="00093EE3">
              <w:rPr>
                <w:lang w:val="en-US"/>
              </w:rPr>
              <w:t xml:space="preserve"> shall not include exposures </w:t>
            </w:r>
            <w:r w:rsidR="00C31AEC">
              <w:rPr>
                <w:lang w:val="en-US"/>
              </w:rPr>
              <w:t>included in row</w:t>
            </w:r>
            <w:r w:rsidRPr="00093EE3">
              <w:rPr>
                <w:lang w:val="en-US"/>
              </w:rPr>
              <w:t xml:space="preserve"> 0080.</w:t>
            </w:r>
          </w:p>
        </w:tc>
      </w:tr>
      <w:tr w:rsidR="00741F94" w:rsidRPr="00B32012" w14:paraId="340D17C5" w14:textId="77777777" w:rsidTr="00466F09">
        <w:tc>
          <w:tcPr>
            <w:tcW w:w="1629" w:type="dxa"/>
            <w:tcBorders>
              <w:top w:val="single" w:sz="4" w:space="0" w:color="auto"/>
              <w:left w:val="single" w:sz="4" w:space="0" w:color="auto"/>
              <w:bottom w:val="single" w:sz="4" w:space="0" w:color="auto"/>
              <w:right w:val="single" w:sz="4" w:space="0" w:color="auto"/>
            </w:tcBorders>
          </w:tcPr>
          <w:p w14:paraId="4779A5DB" w14:textId="463AEA4F" w:rsidR="00741F94" w:rsidRPr="00B32012" w:rsidRDefault="0041056A"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lang w:eastAsia="en-US"/>
              </w:rPr>
              <w:t>0110</w:t>
            </w:r>
          </w:p>
        </w:tc>
        <w:tc>
          <w:tcPr>
            <w:tcW w:w="7159" w:type="dxa"/>
            <w:tcBorders>
              <w:top w:val="single" w:sz="4" w:space="0" w:color="auto"/>
              <w:left w:val="single" w:sz="4" w:space="0" w:color="auto"/>
              <w:bottom w:val="single" w:sz="4" w:space="0" w:color="auto"/>
              <w:right w:val="single" w:sz="4" w:space="0" w:color="auto"/>
            </w:tcBorders>
            <w:hideMark/>
          </w:tcPr>
          <w:p w14:paraId="20DCB068" w14:textId="77777777" w:rsidR="00741F94" w:rsidRPr="00466F09" w:rsidRDefault="00741F94" w:rsidP="0001573B">
            <w:pPr>
              <w:pStyle w:val="InstructionsText"/>
              <w:rPr>
                <w:rStyle w:val="FormatvorlageInstructionsTabelleText"/>
                <w:rFonts w:ascii="Times New Roman" w:hAnsi="Times New Roman"/>
                <w:b/>
                <w:bCs w:val="0"/>
                <w:sz w:val="24"/>
                <w:u w:val="single"/>
              </w:rPr>
            </w:pPr>
            <w:r w:rsidRPr="00466F09">
              <w:rPr>
                <w:rStyle w:val="FormatvorlageInstructionsTabelleText"/>
                <w:rFonts w:ascii="Times New Roman" w:hAnsi="Times New Roman"/>
                <w:b/>
                <w:bCs w:val="0"/>
                <w:sz w:val="24"/>
                <w:u w:val="single"/>
              </w:rPr>
              <w:t>Wholesale financial</w:t>
            </w:r>
          </w:p>
          <w:p w14:paraId="3F2BE169" w14:textId="5903BB83" w:rsidR="00DB5A3F" w:rsidRPr="00466F09" w:rsidRDefault="00741F94" w:rsidP="0001573B">
            <w:pPr>
              <w:pStyle w:val="InstructionsText"/>
              <w:rPr>
                <w:rStyle w:val="FormatvorlageInstructionsTabelleText"/>
                <w:rFonts w:ascii="Times New Roman" w:hAnsi="Times New Roman"/>
                <w:sz w:val="24"/>
              </w:rPr>
            </w:pPr>
            <w:r w:rsidRPr="00466F09">
              <w:rPr>
                <w:rStyle w:val="FormatvorlageInstructionsTabelleText"/>
                <w:rFonts w:ascii="Times New Roman" w:hAnsi="Times New Roman"/>
                <w:sz w:val="24"/>
              </w:rPr>
              <w:t xml:space="preserve">Loans and advances to </w:t>
            </w:r>
            <w:r w:rsidR="00DB5A3F" w:rsidRPr="00466F09">
              <w:rPr>
                <w:rStyle w:val="FormatvorlageInstructionsTabelleText"/>
                <w:rFonts w:ascii="Times New Roman" w:hAnsi="Times New Roman"/>
                <w:sz w:val="24"/>
              </w:rPr>
              <w:t>other financial corporations in accordance with poin</w:t>
            </w:r>
            <w:r w:rsidR="00091017" w:rsidRPr="00466F09">
              <w:rPr>
                <w:rStyle w:val="FormatvorlageInstructionsTabelleText"/>
                <w:rFonts w:ascii="Times New Roman" w:hAnsi="Times New Roman"/>
                <w:sz w:val="24"/>
              </w:rPr>
              <w:t>t</w:t>
            </w:r>
            <w:r w:rsidR="00595017">
              <w:rPr>
                <w:rStyle w:val="FormatvorlageInstructionsTabelleText"/>
                <w:rFonts w:ascii="Times New Roman" w:hAnsi="Times New Roman"/>
                <w:sz w:val="24"/>
              </w:rPr>
              <w:t xml:space="preserve"> </w:t>
            </w:r>
            <w:r w:rsidR="00DB5A3F" w:rsidRPr="00466F09">
              <w:rPr>
                <w:rStyle w:val="FormatvorlageInstructionsTabelleText"/>
                <w:rFonts w:ascii="Times New Roman" w:hAnsi="Times New Roman"/>
                <w:sz w:val="24"/>
              </w:rPr>
              <w:t xml:space="preserve">(d) of paragraph 42 </w:t>
            </w:r>
            <w:r w:rsidR="001A3BCE" w:rsidRPr="00466F09">
              <w:rPr>
                <w:rStyle w:val="FormatvorlageInstructionsTabelleText"/>
                <w:rFonts w:ascii="Times New Roman" w:hAnsi="Times New Roman"/>
                <w:sz w:val="24"/>
              </w:rPr>
              <w:t>of</w:t>
            </w:r>
            <w:r w:rsidR="00DB5A3F" w:rsidRPr="00466F09">
              <w:rPr>
                <w:rStyle w:val="FormatvorlageInstructionsTabelleText"/>
                <w:rFonts w:ascii="Times New Roman" w:hAnsi="Times New Roman"/>
                <w:sz w:val="24"/>
              </w:rPr>
              <w:t xml:space="preserve"> Part </w:t>
            </w:r>
            <w:r w:rsidR="0022725C" w:rsidRPr="00466F09">
              <w:rPr>
                <w:rStyle w:val="FormatvorlageInstructionsTabelleText"/>
                <w:rFonts w:ascii="Times New Roman" w:hAnsi="Times New Roman"/>
                <w:sz w:val="24"/>
              </w:rPr>
              <w:t>1</w:t>
            </w:r>
            <w:r w:rsidR="00DB5A3F" w:rsidRPr="00466F09">
              <w:rPr>
                <w:rStyle w:val="FormatvorlageInstructionsTabelleText"/>
                <w:rFonts w:ascii="Times New Roman" w:hAnsi="Times New Roman"/>
                <w:sz w:val="24"/>
              </w:rPr>
              <w:t>, Annex V of the ITS on supervisory reporting</w:t>
            </w:r>
            <w:r w:rsidR="00F424FE">
              <w:rPr>
                <w:rStyle w:val="FormatvorlageInstructionsTabelleText"/>
                <w:rFonts w:ascii="Times New Roman" w:hAnsi="Times New Roman"/>
                <w:sz w:val="24"/>
              </w:rPr>
              <w:t>.</w:t>
            </w:r>
            <w:r w:rsidR="009D5DE3">
              <w:rPr>
                <w:rStyle w:val="FormatvorlageInstructionsTabelleText"/>
                <w:rFonts w:ascii="Times New Roman" w:hAnsi="Times New Roman"/>
                <w:sz w:val="24"/>
              </w:rPr>
              <w:t xml:space="preserve"> </w:t>
            </w:r>
          </w:p>
          <w:p w14:paraId="4D684432" w14:textId="5CC9F061" w:rsidR="00741F94" w:rsidRPr="00466F09" w:rsidRDefault="00741F94" w:rsidP="0001573B">
            <w:pPr>
              <w:pStyle w:val="InstructionsText"/>
              <w:rPr>
                <w:rStyle w:val="FormatvorlageInstructionsTabelleText"/>
                <w:rFonts w:ascii="Times New Roman" w:hAnsi="Times New Roman"/>
                <w:sz w:val="24"/>
              </w:rPr>
            </w:pPr>
          </w:p>
        </w:tc>
      </w:tr>
      <w:tr w:rsidR="00741F94" w:rsidRPr="00B32012" w14:paraId="53F7FDE2" w14:textId="77777777" w:rsidTr="00466F09">
        <w:tc>
          <w:tcPr>
            <w:tcW w:w="1629" w:type="dxa"/>
            <w:tcBorders>
              <w:top w:val="single" w:sz="4" w:space="0" w:color="auto"/>
              <w:left w:val="single" w:sz="4" w:space="0" w:color="auto"/>
              <w:bottom w:val="single" w:sz="4" w:space="0" w:color="auto"/>
              <w:right w:val="single" w:sz="4" w:space="0" w:color="auto"/>
            </w:tcBorders>
          </w:tcPr>
          <w:p w14:paraId="75559FBA" w14:textId="061F4296" w:rsidR="00741F94" w:rsidRPr="00B32012" w:rsidRDefault="0041056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0120</w:t>
            </w:r>
          </w:p>
        </w:tc>
        <w:tc>
          <w:tcPr>
            <w:tcW w:w="7159" w:type="dxa"/>
            <w:tcBorders>
              <w:top w:val="single" w:sz="4" w:space="0" w:color="auto"/>
              <w:left w:val="single" w:sz="4" w:space="0" w:color="auto"/>
              <w:bottom w:val="single" w:sz="4" w:space="0" w:color="auto"/>
              <w:right w:val="single" w:sz="4" w:space="0" w:color="auto"/>
            </w:tcBorders>
            <w:hideMark/>
          </w:tcPr>
          <w:p w14:paraId="70DDA77E" w14:textId="74958CC2"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Debt securities</w:t>
            </w:r>
          </w:p>
          <w:p w14:paraId="4F3589E5" w14:textId="5D119C16" w:rsidR="00741F94" w:rsidRPr="008457C1" w:rsidRDefault="006E4174"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D</w:t>
            </w:r>
            <w:r w:rsidR="00741F94" w:rsidRPr="008457C1">
              <w:rPr>
                <w:rStyle w:val="InstructionsTabelleberschrift"/>
                <w:rFonts w:ascii="Times New Roman" w:hAnsi="Times New Roman"/>
                <w:b w:val="0"/>
                <w:bCs w:val="0"/>
                <w:sz w:val="24"/>
                <w:u w:val="none"/>
              </w:rPr>
              <w:t>ebt instruments held by the institution issued as securities that are not loans</w:t>
            </w:r>
            <w:r w:rsidR="00741F94">
              <w:rPr>
                <w:rStyle w:val="InstructionsTabelleberschrift"/>
                <w:rFonts w:ascii="Times New Roman" w:hAnsi="Times New Roman"/>
                <w:b w:val="0"/>
                <w:bCs w:val="0"/>
                <w:sz w:val="24"/>
                <w:u w:val="none"/>
              </w:rPr>
              <w:t xml:space="preserve">, </w:t>
            </w:r>
            <w:r w:rsidR="00741F94" w:rsidRPr="00D732EB">
              <w:rPr>
                <w:rFonts w:cstheme="minorHAnsi"/>
              </w:rPr>
              <w:t xml:space="preserve">as defined in </w:t>
            </w:r>
            <w:r w:rsidR="002E0E83">
              <w:rPr>
                <w:rFonts w:cstheme="minorHAnsi"/>
              </w:rPr>
              <w:t>p</w:t>
            </w:r>
            <w:r w:rsidR="00F409D5">
              <w:rPr>
                <w:rFonts w:cstheme="minorHAnsi"/>
              </w:rPr>
              <w:t>aragraph</w:t>
            </w:r>
            <w:r w:rsidR="00741F94" w:rsidRPr="00D732EB">
              <w:rPr>
                <w:rFonts w:cstheme="minorHAnsi"/>
              </w:rPr>
              <w:t xml:space="preserve"> 31 of </w:t>
            </w:r>
            <w:r w:rsidR="000A67F9">
              <w:rPr>
                <w:rFonts w:cstheme="minorHAnsi"/>
              </w:rPr>
              <w:t xml:space="preserve">Part 1 </w:t>
            </w:r>
            <w:r w:rsidR="00741F94" w:rsidRPr="00D732EB">
              <w:rPr>
                <w:rFonts w:cstheme="minorHAnsi"/>
              </w:rPr>
              <w:t xml:space="preserve">of Annex V of the </w:t>
            </w:r>
            <w:r w:rsidR="005764D6" w:rsidRPr="00F302B4">
              <w:rPr>
                <w:rStyle w:val="InstructionsTabelleberschrift"/>
                <w:rFonts w:ascii="Times New Roman" w:hAnsi="Times New Roman"/>
                <w:b w:val="0"/>
                <w:sz w:val="24"/>
                <w:u w:val="none"/>
              </w:rPr>
              <w:t>ITS</w:t>
            </w:r>
            <w:r w:rsidR="005764D6">
              <w:rPr>
                <w:rStyle w:val="InstructionsTabelleberschrift"/>
                <w:rFonts w:ascii="Times New Roman" w:hAnsi="Times New Roman"/>
                <w:b w:val="0"/>
                <w:sz w:val="24"/>
                <w:u w:val="none"/>
              </w:rPr>
              <w:t xml:space="preserve"> on supervisory reporting</w:t>
            </w:r>
            <w:r w:rsidR="007F62B7">
              <w:rPr>
                <w:rStyle w:val="InstructionsTabelleberschrift"/>
                <w:rFonts w:ascii="Times New Roman" w:hAnsi="Times New Roman"/>
                <w:b w:val="0"/>
                <w:sz w:val="24"/>
                <w:u w:val="none"/>
              </w:rPr>
              <w:t>,</w:t>
            </w:r>
            <w:r w:rsidR="007F62B7">
              <w:rPr>
                <w:rFonts w:cstheme="minorHAnsi"/>
              </w:rPr>
              <w:t xml:space="preserve"> including covered bonds and s</w:t>
            </w:r>
            <w:r w:rsidR="007F62B7" w:rsidRPr="00DF5367">
              <w:rPr>
                <w:rFonts w:cstheme="minorHAnsi"/>
              </w:rPr>
              <w:t>ecuritisation exposure</w:t>
            </w:r>
            <w:r w:rsidR="007F62B7">
              <w:rPr>
                <w:rFonts w:cstheme="minorHAnsi"/>
              </w:rPr>
              <w:t>s</w:t>
            </w:r>
            <w:r w:rsidR="007F62B7" w:rsidRPr="00D732EB">
              <w:rPr>
                <w:rFonts w:cstheme="minorHAnsi"/>
              </w:rPr>
              <w:t>.</w:t>
            </w:r>
          </w:p>
        </w:tc>
      </w:tr>
      <w:tr w:rsidR="00551014" w:rsidRPr="00B32012" w:rsidDel="00551014" w14:paraId="3FDF4C19" w14:textId="77777777" w:rsidTr="00466F09">
        <w:tc>
          <w:tcPr>
            <w:tcW w:w="1629" w:type="dxa"/>
            <w:tcBorders>
              <w:top w:val="single" w:sz="4" w:space="0" w:color="auto"/>
              <w:left w:val="single" w:sz="4" w:space="0" w:color="auto"/>
              <w:bottom w:val="single" w:sz="4" w:space="0" w:color="auto"/>
              <w:right w:val="single" w:sz="4" w:space="0" w:color="auto"/>
            </w:tcBorders>
          </w:tcPr>
          <w:p w14:paraId="61188830" w14:textId="1455FAFF" w:rsidR="00551014" w:rsidDel="00551014" w:rsidRDefault="0041056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0140</w:t>
            </w:r>
          </w:p>
        </w:tc>
        <w:tc>
          <w:tcPr>
            <w:tcW w:w="7159" w:type="dxa"/>
            <w:tcBorders>
              <w:top w:val="single" w:sz="4" w:space="0" w:color="auto"/>
              <w:left w:val="single" w:sz="4" w:space="0" w:color="auto"/>
              <w:bottom w:val="single" w:sz="4" w:space="0" w:color="auto"/>
              <w:right w:val="single" w:sz="4" w:space="0" w:color="auto"/>
            </w:tcBorders>
          </w:tcPr>
          <w:p w14:paraId="5D9F98E2" w14:textId="77777777" w:rsidR="00551014" w:rsidRDefault="003F1BF2"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Derivatives </w:t>
            </w:r>
            <w:r w:rsidR="0099403E">
              <w:rPr>
                <w:rStyle w:val="InstructionsTabelleberschrift"/>
                <w:rFonts w:ascii="Times New Roman" w:hAnsi="Times New Roman"/>
                <w:sz w:val="24"/>
              </w:rPr>
              <w:t>hedging assets</w:t>
            </w:r>
          </w:p>
          <w:p w14:paraId="052D8F4E" w14:textId="0FA0F993" w:rsidR="001E5979" w:rsidRPr="00466F09" w:rsidDel="00551014" w:rsidRDefault="00E04F77" w:rsidP="0001573B">
            <w:pPr>
              <w:pStyle w:val="InstructionsText"/>
              <w:rPr>
                <w:rStyle w:val="InstructionsTabelleberschrift"/>
                <w:rFonts w:ascii="Times New Roman" w:hAnsi="Times New Roman"/>
                <w:b w:val="0"/>
                <w:sz w:val="24"/>
                <w:u w:val="none"/>
                <w:lang w:eastAsia="en-US"/>
              </w:rPr>
            </w:pPr>
            <w:r>
              <w:rPr>
                <w:rStyle w:val="InstructionsTabelleberschrift"/>
                <w:rFonts w:ascii="Times New Roman" w:hAnsi="Times New Roman"/>
                <w:b w:val="0"/>
                <w:bCs w:val="0"/>
                <w:sz w:val="24"/>
                <w:u w:val="none"/>
              </w:rPr>
              <w:t xml:space="preserve">Derivatives in accordance with </w:t>
            </w:r>
            <w:r w:rsidRPr="003F3D6D">
              <w:rPr>
                <w:rStyle w:val="InstructionsTabelleberschrift"/>
                <w:rFonts w:ascii="Times New Roman" w:hAnsi="Times New Roman"/>
                <w:b w:val="0"/>
                <w:bCs w:val="0"/>
                <w:sz w:val="24"/>
                <w:u w:val="none"/>
              </w:rPr>
              <w:t>point (29) of Article 2(1) of Regulation (EU) No 600/2014 of the European Parliament and of the Council</w:t>
            </w:r>
            <w:r w:rsidRPr="001F2F4B">
              <w:rPr>
                <w:rStyle w:val="InstructionsTabelleberschrift"/>
                <w:rFonts w:ascii="Times New Roman" w:hAnsi="Times New Roman"/>
                <w:b w:val="0"/>
                <w:bCs w:val="0"/>
                <w:sz w:val="24"/>
                <w:u w:val="none"/>
              </w:rPr>
              <w:t>.</w:t>
            </w:r>
            <w:r>
              <w:rPr>
                <w:rStyle w:val="InstructionsTabelleberschrift"/>
                <w:rFonts w:ascii="Times New Roman" w:hAnsi="Times New Roman"/>
                <w:sz w:val="24"/>
                <w:u w:val="none"/>
              </w:rPr>
              <w:t xml:space="preserve"> </w:t>
            </w:r>
            <w:r w:rsidR="00F33F6B" w:rsidRPr="000A67F9">
              <w:rPr>
                <w:rStyle w:val="InstructionsTabelleberschrift"/>
                <w:rFonts w:ascii="Times New Roman" w:hAnsi="Times New Roman"/>
                <w:b w:val="0"/>
                <w:bCs w:val="0"/>
                <w:sz w:val="24"/>
                <w:u w:val="none"/>
              </w:rPr>
              <w:t>Institutions</w:t>
            </w:r>
            <w:r w:rsidR="00624305" w:rsidRPr="000A67F9">
              <w:rPr>
                <w:rStyle w:val="InstructionsTabelleberschrift"/>
                <w:rFonts w:ascii="Times New Roman" w:hAnsi="Times New Roman"/>
                <w:b w:val="0"/>
                <w:bCs w:val="0"/>
                <w:sz w:val="24"/>
                <w:u w:val="none"/>
              </w:rPr>
              <w:t xml:space="preserve"> </w:t>
            </w:r>
            <w:r w:rsidR="00F33F6B" w:rsidRPr="00755ABF">
              <w:t xml:space="preserve">shall </w:t>
            </w:r>
            <w:r w:rsidR="00F33F6B">
              <w:t>report</w:t>
            </w:r>
            <w:r w:rsidR="00F33F6B" w:rsidRPr="00755ABF">
              <w:t xml:space="preserve"> derivatives held </w:t>
            </w:r>
            <w:r w:rsidR="00C84E71">
              <w:t>under</w:t>
            </w:r>
            <w:r w:rsidR="00F33F6B" w:rsidRPr="00755ABF">
              <w:t xml:space="preserve"> hedge accounting</w:t>
            </w:r>
            <w:r w:rsidR="004B6691">
              <w:t xml:space="preserve"> regime,</w:t>
            </w:r>
            <w:r w:rsidR="00F33F6B" w:rsidRPr="00755ABF">
              <w:t xml:space="preserve"> under </w:t>
            </w:r>
            <w:r w:rsidR="00F33F6B">
              <w:t>the applicable accounting framework</w:t>
            </w:r>
            <w:r w:rsidR="009C57C5">
              <w:t>, being the hedged item an interest rate sensitive asset.</w:t>
            </w:r>
            <w:r w:rsidR="00F33F6B">
              <w:t xml:space="preserve"> </w:t>
            </w:r>
          </w:p>
        </w:tc>
      </w:tr>
      <w:tr w:rsidR="00B60371" w:rsidRPr="00B32012" w:rsidDel="00551014" w14:paraId="1F75A43F" w14:textId="77777777" w:rsidTr="00466F09">
        <w:tc>
          <w:tcPr>
            <w:tcW w:w="1629" w:type="dxa"/>
            <w:tcBorders>
              <w:top w:val="single" w:sz="4" w:space="0" w:color="auto"/>
              <w:left w:val="single" w:sz="4" w:space="0" w:color="auto"/>
              <w:bottom w:val="single" w:sz="4" w:space="0" w:color="auto"/>
              <w:right w:val="single" w:sz="4" w:space="0" w:color="auto"/>
            </w:tcBorders>
          </w:tcPr>
          <w:p w14:paraId="49F23B80" w14:textId="6601E1A1" w:rsidR="00B60371" w:rsidRDefault="0041056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0160</w:t>
            </w:r>
          </w:p>
        </w:tc>
        <w:tc>
          <w:tcPr>
            <w:tcW w:w="7159" w:type="dxa"/>
            <w:tcBorders>
              <w:top w:val="single" w:sz="4" w:space="0" w:color="auto"/>
              <w:left w:val="single" w:sz="4" w:space="0" w:color="auto"/>
              <w:bottom w:val="single" w:sz="4" w:space="0" w:color="auto"/>
              <w:right w:val="single" w:sz="4" w:space="0" w:color="auto"/>
            </w:tcBorders>
          </w:tcPr>
          <w:p w14:paraId="75DCDCEB" w14:textId="77777777" w:rsidR="00B60371" w:rsidRDefault="007D1A3B"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Hedging debt securities</w:t>
            </w:r>
          </w:p>
          <w:p w14:paraId="6CE16F3F" w14:textId="57795022" w:rsidR="00B60371" w:rsidRPr="00816E70" w:rsidRDefault="00CC25CA" w:rsidP="0001573B">
            <w:pPr>
              <w:pStyle w:val="InstructionsText"/>
              <w:rPr>
                <w:rStyle w:val="InstructionsTabelleberschrift"/>
                <w:rFonts w:ascii="Times New Roman" w:hAnsi="Times New Roman"/>
                <w:b w:val="0"/>
                <w:sz w:val="24"/>
                <w:u w:val="none"/>
              </w:rPr>
            </w:pPr>
            <w:r w:rsidRPr="579D23CD">
              <w:rPr>
                <w:lang w:val="en-US"/>
              </w:rPr>
              <w:t>Hedge accounting derivatives</w:t>
            </w:r>
            <w:r w:rsidR="00CB39A1" w:rsidRPr="00816E70">
              <w:rPr>
                <w:rStyle w:val="InstructionsTabelleberschrift"/>
                <w:rFonts w:ascii="Times New Roman" w:hAnsi="Times New Roman"/>
                <w:b w:val="0"/>
                <w:bCs w:val="0"/>
                <w:sz w:val="24"/>
                <w:u w:val="none"/>
              </w:rPr>
              <w:t xml:space="preserve"> h</w:t>
            </w:r>
            <w:r w:rsidR="00816E70" w:rsidRPr="00816E70">
              <w:rPr>
                <w:rStyle w:val="InstructionsTabelleberschrift"/>
                <w:rFonts w:ascii="Times New Roman" w:hAnsi="Times New Roman"/>
                <w:b w:val="0"/>
                <w:bCs w:val="0"/>
                <w:sz w:val="24"/>
                <w:u w:val="none"/>
              </w:rPr>
              <w:t>edging assets</w:t>
            </w:r>
            <w:r w:rsidR="00816E70">
              <w:rPr>
                <w:rStyle w:val="InstructionsTabelleberschrift"/>
                <w:rFonts w:ascii="Times New Roman" w:hAnsi="Times New Roman"/>
                <w:b w:val="0"/>
                <w:bCs w:val="0"/>
                <w:sz w:val="24"/>
                <w:u w:val="none"/>
              </w:rPr>
              <w:t xml:space="preserve"> which are debt securities. </w:t>
            </w:r>
          </w:p>
        </w:tc>
      </w:tr>
      <w:tr w:rsidR="00B60371" w:rsidRPr="00B32012" w:rsidDel="00551014" w14:paraId="4CBFEE57" w14:textId="77777777" w:rsidTr="00466F09">
        <w:tc>
          <w:tcPr>
            <w:tcW w:w="1629" w:type="dxa"/>
            <w:tcBorders>
              <w:top w:val="single" w:sz="4" w:space="0" w:color="auto"/>
              <w:left w:val="single" w:sz="4" w:space="0" w:color="auto"/>
              <w:bottom w:val="single" w:sz="4" w:space="0" w:color="auto"/>
              <w:right w:val="single" w:sz="4" w:space="0" w:color="auto"/>
            </w:tcBorders>
          </w:tcPr>
          <w:p w14:paraId="3A21FFB1" w14:textId="4D3081DE" w:rsidR="00B60371" w:rsidRDefault="0041056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0170</w:t>
            </w:r>
          </w:p>
        </w:tc>
        <w:tc>
          <w:tcPr>
            <w:tcW w:w="7159" w:type="dxa"/>
            <w:tcBorders>
              <w:top w:val="single" w:sz="4" w:space="0" w:color="auto"/>
              <w:left w:val="single" w:sz="4" w:space="0" w:color="auto"/>
              <w:bottom w:val="single" w:sz="4" w:space="0" w:color="auto"/>
              <w:right w:val="single" w:sz="4" w:space="0" w:color="auto"/>
            </w:tcBorders>
          </w:tcPr>
          <w:p w14:paraId="17F88214" w14:textId="77777777" w:rsidR="00B60371" w:rsidRDefault="007D1A3B"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Hedging other assets</w:t>
            </w:r>
          </w:p>
          <w:p w14:paraId="455AF042" w14:textId="0B1C6939" w:rsidR="00B60371" w:rsidRDefault="00881542" w:rsidP="0001573B">
            <w:pPr>
              <w:pStyle w:val="InstructionsText"/>
              <w:rPr>
                <w:rStyle w:val="InstructionsTabelleberschrift"/>
                <w:rFonts w:ascii="Times New Roman" w:hAnsi="Times New Roman"/>
                <w:sz w:val="24"/>
              </w:rPr>
            </w:pPr>
            <w:r w:rsidRPr="579D23CD">
              <w:rPr>
                <w:lang w:val="en-US"/>
              </w:rPr>
              <w:t>Hedge accounting derivatives</w:t>
            </w:r>
            <w:r w:rsidR="0085593F" w:rsidRPr="00816E70">
              <w:rPr>
                <w:rStyle w:val="InstructionsTabelleberschrift"/>
                <w:rFonts w:ascii="Times New Roman" w:hAnsi="Times New Roman"/>
                <w:b w:val="0"/>
                <w:bCs w:val="0"/>
                <w:sz w:val="24"/>
                <w:u w:val="none"/>
              </w:rPr>
              <w:t xml:space="preserve"> hedging assets</w:t>
            </w:r>
            <w:r w:rsidR="0085593F">
              <w:rPr>
                <w:rStyle w:val="InstructionsTabelleberschrift"/>
                <w:rFonts w:ascii="Times New Roman" w:hAnsi="Times New Roman"/>
                <w:b w:val="0"/>
                <w:bCs w:val="0"/>
                <w:sz w:val="24"/>
                <w:u w:val="none"/>
              </w:rPr>
              <w:t xml:space="preserve"> which are not debt securities.</w:t>
            </w:r>
          </w:p>
        </w:tc>
      </w:tr>
      <w:tr w:rsidR="007F62B7" w:rsidRPr="00B32012" w14:paraId="16EF9A3C" w14:textId="77777777" w:rsidTr="00466F09">
        <w:tc>
          <w:tcPr>
            <w:tcW w:w="1629" w:type="dxa"/>
            <w:tcBorders>
              <w:top w:val="single" w:sz="4" w:space="0" w:color="auto"/>
              <w:left w:val="single" w:sz="4" w:space="0" w:color="auto"/>
              <w:bottom w:val="single" w:sz="4" w:space="0" w:color="auto"/>
              <w:right w:val="single" w:sz="4" w:space="0" w:color="auto"/>
            </w:tcBorders>
          </w:tcPr>
          <w:p w14:paraId="5C6AACBF" w14:textId="77DFFD02" w:rsidR="007F62B7" w:rsidRPr="00B32012" w:rsidRDefault="0041056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0180</w:t>
            </w:r>
          </w:p>
        </w:tc>
        <w:tc>
          <w:tcPr>
            <w:tcW w:w="7159" w:type="dxa"/>
            <w:tcBorders>
              <w:top w:val="single" w:sz="4" w:space="0" w:color="auto"/>
              <w:left w:val="single" w:sz="4" w:space="0" w:color="auto"/>
              <w:bottom w:val="single" w:sz="4" w:space="0" w:color="auto"/>
              <w:right w:val="single" w:sz="4" w:space="0" w:color="auto"/>
            </w:tcBorders>
            <w:hideMark/>
          </w:tcPr>
          <w:p w14:paraId="5CBEED4B" w14:textId="77777777" w:rsidR="007F62B7" w:rsidRPr="00B32012" w:rsidRDefault="007F62B7" w:rsidP="0001573B">
            <w:pPr>
              <w:pStyle w:val="InstructionsText"/>
              <w:rPr>
                <w:rStyle w:val="InstructionsTabelleberschrift"/>
                <w:rFonts w:ascii="Times New Roman" w:hAnsi="Times New Roman"/>
                <w:sz w:val="24"/>
              </w:rPr>
            </w:pPr>
            <w:r w:rsidRPr="00B32012">
              <w:rPr>
                <w:rStyle w:val="InstructionsTabelleberschrift"/>
                <w:rFonts w:ascii="Times New Roman" w:hAnsi="Times New Roman"/>
                <w:sz w:val="24"/>
              </w:rPr>
              <w:t>Other</w:t>
            </w:r>
          </w:p>
          <w:p w14:paraId="483AE853" w14:textId="32773246" w:rsidR="007F62B7" w:rsidRPr="00B32012" w:rsidRDefault="007F62B7"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bCs w:val="0"/>
                <w:sz w:val="24"/>
                <w:u w:val="none"/>
              </w:rPr>
              <w:t>O</w:t>
            </w:r>
            <w:r w:rsidRPr="001D16D7">
              <w:rPr>
                <w:rStyle w:val="InstructionsTabelleberschrift"/>
                <w:rFonts w:ascii="Times New Roman" w:hAnsi="Times New Roman"/>
                <w:b w:val="0"/>
                <w:bCs w:val="0"/>
                <w:sz w:val="24"/>
                <w:u w:val="none"/>
              </w:rPr>
              <w:t>ther</w:t>
            </w:r>
            <w:r>
              <w:rPr>
                <w:rStyle w:val="InstructionsTabelleberschrift"/>
                <w:rFonts w:ascii="Times New Roman" w:hAnsi="Times New Roman"/>
                <w:b w:val="0"/>
                <w:bCs w:val="0"/>
                <w:sz w:val="24"/>
                <w:u w:val="none"/>
              </w:rPr>
              <w:t xml:space="preserve"> on-balance</w:t>
            </w:r>
            <w:r w:rsidRPr="001D16D7">
              <w:rPr>
                <w:rStyle w:val="InstructionsTabelleberschrift"/>
                <w:rFonts w:ascii="Times New Roman" w:hAnsi="Times New Roman"/>
                <w:b w:val="0"/>
                <w:bCs w:val="0"/>
                <w:sz w:val="24"/>
                <w:u w:val="none"/>
              </w:rPr>
              <w:t xml:space="preserve"> </w:t>
            </w:r>
            <w:r>
              <w:rPr>
                <w:rStyle w:val="InstructionsTabelleberschrift"/>
                <w:rFonts w:ascii="Times New Roman" w:hAnsi="Times New Roman"/>
                <w:b w:val="0"/>
                <w:bCs w:val="0"/>
                <w:sz w:val="24"/>
                <w:u w:val="none"/>
              </w:rPr>
              <w:t>interest rate</w:t>
            </w:r>
            <w:r w:rsidR="008024BD">
              <w:rPr>
                <w:rStyle w:val="InstructionsTabelleberschrift"/>
                <w:rFonts w:ascii="Times New Roman" w:hAnsi="Times New Roman"/>
                <w:b w:val="0"/>
                <w:bCs w:val="0"/>
                <w:sz w:val="24"/>
                <w:u w:val="none"/>
              </w:rPr>
              <w:t>-</w:t>
            </w:r>
            <w:r>
              <w:rPr>
                <w:rStyle w:val="InstructionsTabelleberschrift"/>
                <w:rFonts w:ascii="Times New Roman" w:hAnsi="Times New Roman"/>
                <w:b w:val="0"/>
                <w:bCs w:val="0"/>
                <w:sz w:val="24"/>
                <w:u w:val="none"/>
              </w:rPr>
              <w:t xml:space="preserve">sensitive </w:t>
            </w:r>
            <w:r w:rsidRPr="001D16D7">
              <w:rPr>
                <w:rStyle w:val="InstructionsTabelleberschrift"/>
                <w:rFonts w:ascii="Times New Roman" w:hAnsi="Times New Roman"/>
                <w:b w:val="0"/>
                <w:bCs w:val="0"/>
                <w:sz w:val="24"/>
                <w:u w:val="none"/>
              </w:rPr>
              <w:t>assets</w:t>
            </w:r>
            <w:r>
              <w:rPr>
                <w:rStyle w:val="InstructionsTabelleberschrift"/>
                <w:rFonts w:ascii="Times New Roman" w:hAnsi="Times New Roman"/>
                <w:b w:val="0"/>
                <w:bCs w:val="0"/>
                <w:sz w:val="24"/>
                <w:u w:val="none"/>
              </w:rPr>
              <w:t xml:space="preserve"> </w:t>
            </w:r>
            <w:r w:rsidRPr="001D16D7">
              <w:rPr>
                <w:rStyle w:val="InstructionsTabelleberschrift"/>
                <w:rFonts w:ascii="Times New Roman" w:hAnsi="Times New Roman"/>
                <w:b w:val="0"/>
                <w:bCs w:val="0"/>
                <w:sz w:val="24"/>
                <w:u w:val="none"/>
              </w:rPr>
              <w:t>that</w:t>
            </w:r>
            <w:r w:rsidRPr="4CA66656">
              <w:rPr>
                <w:rStyle w:val="InstructionsTabelleberschrift"/>
                <w:rFonts w:ascii="Times New Roman" w:hAnsi="Times New Roman"/>
                <w:b w:val="0"/>
                <w:sz w:val="24"/>
                <w:u w:val="none"/>
              </w:rPr>
              <w:t xml:space="preserve"> </w:t>
            </w:r>
            <w:r>
              <w:t>do not fall under</w:t>
            </w:r>
            <w:r w:rsidRPr="00B32012">
              <w:t xml:space="preserve"> </w:t>
            </w:r>
            <w:r>
              <w:t xml:space="preserve">the </w:t>
            </w:r>
            <w:r w:rsidRPr="00B32012">
              <w:t xml:space="preserve">rows above </w:t>
            </w:r>
            <w:r w:rsidR="003E4C18" w:rsidRPr="00B32012">
              <w:t>shall</w:t>
            </w:r>
            <w:r w:rsidRPr="00B32012">
              <w:t xml:space="preserve"> be reported </w:t>
            </w:r>
            <w:r>
              <w:t>in this row</w:t>
            </w:r>
            <w:r w:rsidRPr="00B32012">
              <w:t>.</w:t>
            </w:r>
          </w:p>
        </w:tc>
      </w:tr>
      <w:tr w:rsidR="00741F94" w:rsidRPr="00B32012" w14:paraId="0A12EE35" w14:textId="77777777" w:rsidTr="00466F09">
        <w:tc>
          <w:tcPr>
            <w:tcW w:w="1629" w:type="dxa"/>
            <w:tcBorders>
              <w:top w:val="single" w:sz="4" w:space="0" w:color="auto"/>
              <w:left w:val="single" w:sz="4" w:space="0" w:color="auto"/>
              <w:bottom w:val="single" w:sz="4" w:space="0" w:color="auto"/>
              <w:right w:val="single" w:sz="4" w:space="0" w:color="auto"/>
            </w:tcBorders>
          </w:tcPr>
          <w:p w14:paraId="00FCC0B9" w14:textId="1411477B" w:rsidR="00741F94" w:rsidRPr="00B32012" w:rsidRDefault="0041056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0190</w:t>
            </w:r>
          </w:p>
        </w:tc>
        <w:tc>
          <w:tcPr>
            <w:tcW w:w="7159" w:type="dxa"/>
            <w:tcBorders>
              <w:top w:val="single" w:sz="4" w:space="0" w:color="auto"/>
              <w:left w:val="single" w:sz="4" w:space="0" w:color="auto"/>
              <w:bottom w:val="single" w:sz="4" w:space="0" w:color="auto"/>
              <w:right w:val="single" w:sz="4" w:space="0" w:color="auto"/>
            </w:tcBorders>
            <w:hideMark/>
          </w:tcPr>
          <w:p w14:paraId="7B7A3346" w14:textId="77777777" w:rsidR="00741F94" w:rsidRPr="00B32012" w:rsidRDefault="00741F94" w:rsidP="0001573B">
            <w:pPr>
              <w:pStyle w:val="InstructionsText"/>
              <w:rPr>
                <w:rStyle w:val="InstructionsTabelleberschrift"/>
                <w:rFonts w:ascii="Times New Roman" w:hAnsi="Times New Roman"/>
                <w:bCs w:val="0"/>
                <w:sz w:val="24"/>
              </w:rPr>
            </w:pPr>
            <w:bookmarkStart w:id="49" w:name="_Hlk120269837"/>
            <w:r w:rsidRPr="00B32012">
              <w:rPr>
                <w:rStyle w:val="InstructionsTabelleberschrift"/>
                <w:rFonts w:ascii="Times New Roman" w:hAnsi="Times New Roman"/>
                <w:sz w:val="24"/>
              </w:rPr>
              <w:t>Off-balance sheet assets: contingent assets</w:t>
            </w:r>
          </w:p>
          <w:bookmarkEnd w:id="49"/>
          <w:p w14:paraId="6EED4CE2" w14:textId="3A1CB647" w:rsidR="007F62B7" w:rsidRDefault="005F0A8B"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O</w:t>
            </w:r>
            <w:r w:rsidR="007F62B7" w:rsidRPr="00EB4109">
              <w:rPr>
                <w:rStyle w:val="InstructionsTabelleberschrift"/>
                <w:rFonts w:ascii="Times New Roman" w:hAnsi="Times New Roman"/>
                <w:b w:val="0"/>
                <w:bCs w:val="0"/>
                <w:sz w:val="24"/>
                <w:u w:val="none"/>
              </w:rPr>
              <w:t xml:space="preserve">ff-balance sheet </w:t>
            </w:r>
            <w:r w:rsidR="005A6F9B">
              <w:rPr>
                <w:rStyle w:val="InstructionsTabelleberschrift"/>
                <w:rFonts w:ascii="Times New Roman" w:hAnsi="Times New Roman"/>
                <w:b w:val="0"/>
                <w:bCs w:val="0"/>
                <w:sz w:val="24"/>
                <w:u w:val="none"/>
              </w:rPr>
              <w:t>assets</w:t>
            </w:r>
            <w:r w:rsidR="005A6F9B" w:rsidRPr="00EB4109">
              <w:rPr>
                <w:rStyle w:val="InstructionsTabelleberschrift"/>
                <w:rFonts w:ascii="Times New Roman" w:hAnsi="Times New Roman"/>
                <w:b w:val="0"/>
                <w:bCs w:val="0"/>
                <w:sz w:val="24"/>
                <w:u w:val="none"/>
              </w:rPr>
              <w:t xml:space="preserve"> </w:t>
            </w:r>
            <w:r w:rsidR="007F62B7" w:rsidRPr="00EB4109">
              <w:rPr>
                <w:rStyle w:val="InstructionsTabelleberschrift"/>
                <w:rFonts w:ascii="Times New Roman" w:hAnsi="Times New Roman"/>
                <w:b w:val="0"/>
                <w:bCs w:val="0"/>
                <w:sz w:val="24"/>
                <w:u w:val="none"/>
              </w:rPr>
              <w:t>listed in Annex I to CRR</w:t>
            </w:r>
            <w:r w:rsidR="007F62B7">
              <w:rPr>
                <w:rStyle w:val="InstructionsTabelleberschrift"/>
                <w:rFonts w:ascii="Times New Roman" w:hAnsi="Times New Roman"/>
                <w:b w:val="0"/>
                <w:bCs w:val="0"/>
                <w:sz w:val="24"/>
                <w:u w:val="none"/>
              </w:rPr>
              <w:t xml:space="preserve"> </w:t>
            </w:r>
            <w:r w:rsidR="00C35970">
              <w:rPr>
                <w:rStyle w:val="InstructionsTabelleberschrift"/>
                <w:rFonts w:ascii="Times New Roman" w:hAnsi="Times New Roman"/>
                <w:b w:val="0"/>
                <w:bCs w:val="0"/>
                <w:sz w:val="24"/>
                <w:u w:val="none"/>
              </w:rPr>
              <w:t xml:space="preserve">which are sensitive to the interest rate </w:t>
            </w:r>
            <w:r w:rsidR="007F62B7">
              <w:rPr>
                <w:rStyle w:val="InstructionsTabelleberschrift"/>
                <w:rFonts w:ascii="Times New Roman" w:hAnsi="Times New Roman"/>
                <w:b w:val="0"/>
                <w:bCs w:val="0"/>
                <w:sz w:val="24"/>
                <w:u w:val="none"/>
              </w:rPr>
              <w:t xml:space="preserve">and which </w:t>
            </w:r>
            <w:r w:rsidR="004B4AC1">
              <w:rPr>
                <w:rStyle w:val="InstructionsTabelleberschrift"/>
                <w:rFonts w:ascii="Times New Roman" w:hAnsi="Times New Roman"/>
                <w:b w:val="0"/>
                <w:bCs w:val="0"/>
                <w:sz w:val="24"/>
                <w:u w:val="none"/>
              </w:rPr>
              <w:t>are in</w:t>
            </w:r>
            <w:r w:rsidR="007F62B7">
              <w:rPr>
                <w:rStyle w:val="InstructionsTabelleberschrift"/>
                <w:rFonts w:ascii="Times New Roman" w:hAnsi="Times New Roman"/>
                <w:b w:val="0"/>
                <w:bCs w:val="0"/>
                <w:sz w:val="24"/>
                <w:u w:val="none"/>
              </w:rPr>
              <w:t xml:space="preserve"> the scope of the </w:t>
            </w:r>
            <w:r w:rsidR="007F62B7" w:rsidRPr="63452C95">
              <w:rPr>
                <w:highlight w:val="lightGray"/>
              </w:rPr>
              <w:t>EBA RTS on SO</w:t>
            </w:r>
            <w:r w:rsidR="007F62B7" w:rsidRPr="003755F5">
              <w:rPr>
                <w:highlight w:val="lightGray"/>
              </w:rPr>
              <w:t>T</w:t>
            </w:r>
            <w:r w:rsidR="007F62B7" w:rsidRPr="00EB4109">
              <w:rPr>
                <w:rStyle w:val="InstructionsTabelleberschrift"/>
                <w:rFonts w:ascii="Times New Roman" w:hAnsi="Times New Roman"/>
                <w:b w:val="0"/>
                <w:bCs w:val="0"/>
                <w:sz w:val="24"/>
                <w:u w:val="none"/>
              </w:rPr>
              <w:t xml:space="preserve">. </w:t>
            </w:r>
          </w:p>
          <w:p w14:paraId="25844732" w14:textId="0DBAA74A" w:rsidR="00741F94" w:rsidRDefault="00741F94" w:rsidP="0001573B">
            <w:pPr>
              <w:pStyle w:val="InstructionsTex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Fix</w:t>
            </w:r>
            <w:r w:rsidR="0043622D">
              <w:rPr>
                <w:rStyle w:val="InstructionsTabelleberschrift"/>
                <w:rFonts w:ascii="Times New Roman" w:hAnsi="Times New Roman"/>
                <w:b w:val="0"/>
                <w:sz w:val="24"/>
                <w:u w:val="none"/>
              </w:rPr>
              <w:t>ed</w:t>
            </w:r>
            <w:r>
              <w:rPr>
                <w:rStyle w:val="InstructionsTabelleberschrift"/>
                <w:rFonts w:ascii="Times New Roman" w:hAnsi="Times New Roman"/>
                <w:b w:val="0"/>
                <w:sz w:val="24"/>
                <w:u w:val="none"/>
              </w:rPr>
              <w:t xml:space="preserve"> rate loan commitments with prospective borrowers </w:t>
            </w:r>
            <w:r w:rsidR="00F43D2B" w:rsidRPr="003217A9">
              <w:rPr>
                <w:rStyle w:val="InstructionsTabelleberschrift"/>
                <w:rFonts w:ascii="Times New Roman" w:hAnsi="Times New Roman"/>
                <w:b w:val="0"/>
                <w:sz w:val="24"/>
                <w:u w:val="none"/>
              </w:rPr>
              <w:t>shall</w:t>
            </w:r>
            <w:r w:rsidRPr="003217A9">
              <w:rPr>
                <w:rStyle w:val="InstructionsTabelleberschrift"/>
                <w:rFonts w:ascii="Times New Roman" w:hAnsi="Times New Roman"/>
                <w:b w:val="0"/>
                <w:sz w:val="24"/>
                <w:u w:val="none"/>
              </w:rPr>
              <w:t xml:space="preserve"> be also included</w:t>
            </w:r>
            <w:r>
              <w:rPr>
                <w:rStyle w:val="InstructionsTabelleberschrift"/>
                <w:rFonts w:ascii="Times New Roman" w:hAnsi="Times New Roman"/>
                <w:b w:val="0"/>
                <w:sz w:val="24"/>
                <w:u w:val="none"/>
              </w:rPr>
              <w:t xml:space="preserve"> in this section.  </w:t>
            </w:r>
          </w:p>
          <w:p w14:paraId="5EAC10F2" w14:textId="0677E600" w:rsidR="00741F94" w:rsidRPr="00EB4109" w:rsidRDefault="00741F94"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sz w:val="24"/>
                <w:u w:val="none"/>
              </w:rPr>
              <w:t xml:space="preserve">Loan commitment </w:t>
            </w:r>
            <w:r w:rsidR="00F43D2B" w:rsidRPr="003217A9">
              <w:rPr>
                <w:rStyle w:val="InstructionsTabelleberschrift"/>
                <w:rFonts w:ascii="Times New Roman" w:hAnsi="Times New Roman"/>
                <w:b w:val="0"/>
                <w:sz w:val="24"/>
                <w:u w:val="none"/>
              </w:rPr>
              <w:t>shall</w:t>
            </w:r>
            <w:r w:rsidRPr="003217A9">
              <w:rPr>
                <w:rStyle w:val="InstructionsTabelleberschrift"/>
                <w:rFonts w:ascii="Times New Roman" w:hAnsi="Times New Roman"/>
                <w:b w:val="0"/>
                <w:sz w:val="24"/>
                <w:u w:val="none"/>
              </w:rPr>
              <w:t xml:space="preserve"> be </w:t>
            </w:r>
            <w:r w:rsidR="00DF09BB" w:rsidRPr="003217A9">
              <w:rPr>
                <w:rStyle w:val="InstructionsTabelleberschrift"/>
                <w:rFonts w:ascii="Times New Roman" w:hAnsi="Times New Roman"/>
                <w:b w:val="0"/>
                <w:sz w:val="24"/>
                <w:u w:val="none"/>
              </w:rPr>
              <w:t xml:space="preserve">reported </w:t>
            </w:r>
            <w:r w:rsidRPr="003217A9">
              <w:rPr>
                <w:rStyle w:val="InstructionsTabelleberschrift"/>
                <w:rFonts w:ascii="Times New Roman" w:hAnsi="Times New Roman"/>
                <w:b w:val="0"/>
                <w:sz w:val="24"/>
                <w:u w:val="none"/>
              </w:rPr>
              <w:t>as</w:t>
            </w:r>
            <w:r>
              <w:rPr>
                <w:rStyle w:val="InstructionsTabelleberschrift"/>
                <w:rFonts w:ascii="Times New Roman" w:hAnsi="Times New Roman"/>
                <w:b w:val="0"/>
                <w:sz w:val="24"/>
                <w:u w:val="none"/>
              </w:rPr>
              <w:t xml:space="preserve"> a combination of a short and a long position. </w:t>
            </w:r>
            <w:r w:rsidR="009206BE">
              <w:rPr>
                <w:rStyle w:val="InstructionsTabelleberschrift"/>
                <w:rFonts w:ascii="Times New Roman" w:hAnsi="Times New Roman"/>
                <w:b w:val="0"/>
                <w:sz w:val="24"/>
                <w:u w:val="none"/>
              </w:rPr>
              <w:t>It is the</w:t>
            </w:r>
            <w:r>
              <w:rPr>
                <w:rStyle w:val="InstructionsTabelleberschrift"/>
                <w:rFonts w:ascii="Times New Roman" w:hAnsi="Times New Roman"/>
                <w:b w:val="0"/>
                <w:sz w:val="24"/>
                <w:u w:val="none"/>
              </w:rPr>
              <w:t xml:space="preserve"> case of</w:t>
            </w:r>
            <w:r w:rsidR="00DB5A3F">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a fix</w:t>
            </w:r>
            <w:r w:rsidR="000B4334">
              <w:rPr>
                <w:rStyle w:val="InstructionsTabelleberschrift"/>
                <w:rFonts w:ascii="Times New Roman" w:hAnsi="Times New Roman"/>
                <w:b w:val="0"/>
                <w:sz w:val="24"/>
                <w:u w:val="none"/>
              </w:rPr>
              <w:t>ed</w:t>
            </w:r>
            <w:r>
              <w:rPr>
                <w:rStyle w:val="InstructionsTabelleberschrift"/>
                <w:rFonts w:ascii="Times New Roman" w:hAnsi="Times New Roman"/>
                <w:b w:val="0"/>
                <w:sz w:val="24"/>
                <w:u w:val="none"/>
              </w:rPr>
              <w:t xml:space="preserve"> rate loan commitment the bank has a long position </w:t>
            </w:r>
            <w:r w:rsidR="009B7004">
              <w:rPr>
                <w:rStyle w:val="InstructionsTabelleberschrift"/>
                <w:rFonts w:ascii="Times New Roman" w:hAnsi="Times New Roman"/>
                <w:b w:val="0"/>
                <w:sz w:val="24"/>
                <w:u w:val="none"/>
              </w:rPr>
              <w:t>i</w:t>
            </w:r>
            <w:r>
              <w:rPr>
                <w:rStyle w:val="InstructionsTabelleberschrift"/>
                <w:rFonts w:ascii="Times New Roman" w:hAnsi="Times New Roman"/>
                <w:b w:val="0"/>
                <w:sz w:val="24"/>
                <w:u w:val="none"/>
              </w:rPr>
              <w:t xml:space="preserve">n the loan at the inception of the commitment and a short position when the loan is supposed to be </w:t>
            </w:r>
            <w:r w:rsidR="001C16C0">
              <w:rPr>
                <w:rStyle w:val="InstructionsTabelleberschrift"/>
                <w:rFonts w:ascii="Times New Roman" w:hAnsi="Times New Roman"/>
                <w:b w:val="0"/>
                <w:sz w:val="24"/>
                <w:u w:val="none"/>
              </w:rPr>
              <w:t>draw</w:t>
            </w:r>
            <w:r w:rsidR="004B4AC1">
              <w:rPr>
                <w:rStyle w:val="InstructionsTabelleberschrift"/>
                <w:rFonts w:ascii="Times New Roman" w:hAnsi="Times New Roman"/>
                <w:b w:val="0"/>
                <w:sz w:val="24"/>
                <w:u w:val="none"/>
              </w:rPr>
              <w:t>n</w:t>
            </w:r>
            <w:r>
              <w:rPr>
                <w:rStyle w:val="InstructionsTabelleberschrift"/>
                <w:rFonts w:ascii="Times New Roman" w:hAnsi="Times New Roman"/>
                <w:b w:val="0"/>
                <w:sz w:val="24"/>
                <w:u w:val="none"/>
              </w:rPr>
              <w:t xml:space="preserve">. </w:t>
            </w:r>
            <w:r w:rsidR="00220C99">
              <w:rPr>
                <w:rStyle w:val="InstructionsTabelleberschrift"/>
                <w:rFonts w:ascii="Times New Roman" w:hAnsi="Times New Roman"/>
                <w:b w:val="0"/>
                <w:sz w:val="24"/>
                <w:u w:val="none"/>
              </w:rPr>
              <w:t>Long positions shall be reported as assets while short position shall be reported as liabilities.</w:t>
            </w:r>
            <w:r w:rsidR="00331C54">
              <w:rPr>
                <w:rStyle w:val="InstructionsTabelleberschrift"/>
                <w:rFonts w:ascii="Times New Roman" w:hAnsi="Times New Roman"/>
                <w:b w:val="0"/>
                <w:sz w:val="24"/>
                <w:u w:val="none"/>
              </w:rPr>
              <w:t xml:space="preserve"> </w:t>
            </w:r>
            <w:r w:rsidR="007F62B7" w:rsidRPr="00954BFA">
              <w:rPr>
                <w:rStyle w:val="InstructionsTabelleberschrift"/>
                <w:rFonts w:ascii="Times New Roman" w:hAnsi="Times New Roman"/>
                <w:b w:val="0"/>
                <w:sz w:val="24"/>
                <w:u w:val="none"/>
                <w:lang w:eastAsia="en-US"/>
              </w:rPr>
              <w:t xml:space="preserve">Only the contingent </w:t>
            </w:r>
            <w:r w:rsidR="00011ED2">
              <w:rPr>
                <w:rStyle w:val="InstructionsTabelleberschrift"/>
                <w:rFonts w:ascii="Times New Roman" w:hAnsi="Times New Roman"/>
                <w:b w:val="0"/>
                <w:sz w:val="24"/>
                <w:u w:val="none"/>
                <w:lang w:eastAsia="en-US"/>
              </w:rPr>
              <w:t>instruments</w:t>
            </w:r>
            <w:r w:rsidR="00011ED2" w:rsidRPr="00954BFA">
              <w:rPr>
                <w:rStyle w:val="InstructionsTabelleberschrift"/>
                <w:rFonts w:ascii="Times New Roman" w:hAnsi="Times New Roman"/>
                <w:b w:val="0"/>
                <w:sz w:val="24"/>
                <w:u w:val="none"/>
                <w:lang w:eastAsia="en-US"/>
              </w:rPr>
              <w:t xml:space="preserve"> </w:t>
            </w:r>
            <w:r w:rsidR="00011ED2">
              <w:rPr>
                <w:rStyle w:val="InstructionsTabelleberschrift"/>
                <w:rFonts w:ascii="Times New Roman" w:hAnsi="Times New Roman"/>
                <w:b w:val="0"/>
                <w:sz w:val="24"/>
                <w:u w:val="none"/>
                <w:lang w:eastAsia="en-US"/>
              </w:rPr>
              <w:t xml:space="preserve">qualifying as assets </w:t>
            </w:r>
            <w:r w:rsidR="007F62B7" w:rsidRPr="00954BFA">
              <w:rPr>
                <w:rStyle w:val="InstructionsTabelleberschrift"/>
                <w:rFonts w:ascii="Times New Roman" w:hAnsi="Times New Roman"/>
                <w:b w:val="0"/>
                <w:sz w:val="24"/>
                <w:u w:val="none"/>
                <w:lang w:eastAsia="en-US"/>
              </w:rPr>
              <w:t>shall be reported in this row</w:t>
            </w:r>
            <w:r w:rsidR="00F358B8">
              <w:rPr>
                <w:rStyle w:val="InstructionsTabelleberschrift"/>
                <w:rFonts w:ascii="Times New Roman" w:hAnsi="Times New Roman"/>
                <w:b w:val="0"/>
                <w:sz w:val="24"/>
                <w:u w:val="none"/>
                <w:lang w:eastAsia="en-US"/>
              </w:rPr>
              <w:t>.</w:t>
            </w:r>
          </w:p>
        </w:tc>
      </w:tr>
      <w:tr w:rsidR="00741F94" w:rsidRPr="00B32012" w14:paraId="64151DDC" w14:textId="77777777" w:rsidTr="00466F09">
        <w:tc>
          <w:tcPr>
            <w:tcW w:w="1629" w:type="dxa"/>
            <w:tcBorders>
              <w:top w:val="single" w:sz="4" w:space="0" w:color="auto"/>
              <w:left w:val="single" w:sz="4" w:space="0" w:color="auto"/>
              <w:bottom w:val="single" w:sz="4" w:space="0" w:color="auto"/>
              <w:right w:val="single" w:sz="4" w:space="0" w:color="auto"/>
            </w:tcBorders>
          </w:tcPr>
          <w:p w14:paraId="13491603" w14:textId="32E96712" w:rsidR="00741F94" w:rsidRPr="00B32012" w:rsidDel="001D16D7" w:rsidRDefault="0041056A"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0200</w:t>
            </w:r>
          </w:p>
        </w:tc>
        <w:tc>
          <w:tcPr>
            <w:tcW w:w="7159" w:type="dxa"/>
            <w:tcBorders>
              <w:top w:val="single" w:sz="4" w:space="0" w:color="auto"/>
              <w:left w:val="single" w:sz="4" w:space="0" w:color="auto"/>
              <w:bottom w:val="single" w:sz="4" w:space="0" w:color="auto"/>
              <w:right w:val="single" w:sz="4" w:space="0" w:color="auto"/>
            </w:tcBorders>
          </w:tcPr>
          <w:p w14:paraId="75DE31C0" w14:textId="47D40083" w:rsidR="00741F94" w:rsidRPr="00B32012" w:rsidRDefault="00741F94" w:rsidP="0001573B">
            <w:pPr>
              <w:pStyle w:val="InstructionsText"/>
              <w:rPr>
                <w:rStyle w:val="InstructionsTabelleberschrift"/>
                <w:rFonts w:ascii="Times New Roman" w:hAnsi="Times New Roman"/>
                <w:bCs w:val="0"/>
                <w:sz w:val="24"/>
              </w:rPr>
            </w:pPr>
            <w:r>
              <w:rPr>
                <w:rStyle w:val="InstructionsTabelleberschrift"/>
                <w:rFonts w:ascii="Times New Roman" w:hAnsi="Times New Roman"/>
                <w:sz w:val="24"/>
              </w:rPr>
              <w:t xml:space="preserve">Total </w:t>
            </w:r>
            <w:r w:rsidR="00766BB5">
              <w:rPr>
                <w:rStyle w:val="InstructionsTabelleberschrift"/>
                <w:rFonts w:ascii="Times New Roman" w:hAnsi="Times New Roman"/>
                <w:sz w:val="24"/>
              </w:rPr>
              <w:t>l</w:t>
            </w:r>
            <w:r>
              <w:rPr>
                <w:rStyle w:val="InstructionsTabelleberschrift"/>
                <w:rFonts w:ascii="Times New Roman" w:hAnsi="Times New Roman"/>
                <w:sz w:val="24"/>
              </w:rPr>
              <w:t>iabilities</w:t>
            </w:r>
          </w:p>
          <w:p w14:paraId="7C38ACF0" w14:textId="4C9CC3BE" w:rsidR="007F62B7" w:rsidRPr="00B32012" w:rsidRDefault="007F62B7" w:rsidP="0001573B">
            <w:pPr>
              <w:pStyle w:val="InstructionsText"/>
              <w:rPr>
                <w:rStyle w:val="FormatvorlageInstructionsTabelleText"/>
                <w:rFonts w:ascii="Times New Roman" w:hAnsi="Times New Roman"/>
                <w:bCs w:val="0"/>
                <w:sz w:val="24"/>
              </w:rPr>
            </w:pPr>
            <w:r>
              <w:rPr>
                <w:rStyle w:val="FormatvorlageInstructionsTabelleText"/>
                <w:rFonts w:ascii="Times New Roman" w:hAnsi="Times New Roman"/>
                <w:sz w:val="24"/>
              </w:rPr>
              <w:t>Total interest rate</w:t>
            </w:r>
            <w:r w:rsidR="00011ED2">
              <w:rPr>
                <w:rStyle w:val="FormatvorlageInstructionsTabelleText"/>
                <w:rFonts w:ascii="Times New Roman" w:hAnsi="Times New Roman"/>
                <w:sz w:val="24"/>
              </w:rPr>
              <w:t>-</w:t>
            </w:r>
            <w:r>
              <w:rPr>
                <w:rStyle w:val="FormatvorlageInstructionsTabelleText"/>
                <w:rFonts w:ascii="Times New Roman" w:hAnsi="Times New Roman"/>
                <w:sz w:val="24"/>
              </w:rPr>
              <w:t xml:space="preserve">sensitive liabilities </w:t>
            </w:r>
            <w:r>
              <w:t>in the scope of the SOT (</w:t>
            </w:r>
            <w:r w:rsidRPr="63452C95">
              <w:rPr>
                <w:highlight w:val="lightGray"/>
              </w:rPr>
              <w:t>EBA RTS on SO</w:t>
            </w:r>
            <w:r w:rsidRPr="00490A70">
              <w:rPr>
                <w:highlight w:val="lightGray"/>
              </w:rPr>
              <w:t>T</w:t>
            </w:r>
            <w:r>
              <w:t xml:space="preserve">) and </w:t>
            </w:r>
            <w:r w:rsidRPr="006929CF">
              <w:rPr>
                <w:rStyle w:val="FormatvorlageInstructionsTabelleText"/>
                <w:rFonts w:ascii="Times New Roman" w:hAnsi="Times New Roman"/>
                <w:sz w:val="24"/>
              </w:rPr>
              <w:t xml:space="preserve">irrespective of </w:t>
            </w:r>
            <w:r>
              <w:rPr>
                <w:rStyle w:val="FormatvorlageInstructionsTabelleText"/>
                <w:rFonts w:ascii="Times New Roman" w:hAnsi="Times New Roman"/>
                <w:sz w:val="24"/>
              </w:rPr>
              <w:t>their</w:t>
            </w:r>
            <w:r w:rsidRPr="006929CF">
              <w:rPr>
                <w:rStyle w:val="FormatvorlageInstructionsTabelleText"/>
                <w:rFonts w:ascii="Times New Roman" w:hAnsi="Times New Roman"/>
                <w:sz w:val="24"/>
              </w:rPr>
              <w:t xml:space="preserve"> accounting </w:t>
            </w:r>
            <w:r>
              <w:rPr>
                <w:rStyle w:val="FormatvorlageInstructionsTabelleText"/>
                <w:rFonts w:ascii="Times New Roman" w:hAnsi="Times New Roman"/>
                <w:sz w:val="24"/>
              </w:rPr>
              <w:t>treatment.</w:t>
            </w:r>
            <w:r w:rsidRPr="00B32012">
              <w:rPr>
                <w:rStyle w:val="FormatvorlageInstructionsTabelleText"/>
                <w:rFonts w:ascii="Times New Roman" w:hAnsi="Times New Roman"/>
                <w:sz w:val="24"/>
              </w:rPr>
              <w:t xml:space="preserve">  Th</w:t>
            </w:r>
            <w:r>
              <w:rPr>
                <w:rStyle w:val="FormatvorlageInstructionsTabelleText"/>
                <w:rFonts w:ascii="Times New Roman" w:hAnsi="Times New Roman"/>
                <w:sz w:val="24"/>
              </w:rPr>
              <w:t>is row</w:t>
            </w:r>
            <w:r w:rsidRPr="00B32012">
              <w:rPr>
                <w:rStyle w:val="FormatvorlageInstructionsTabelleText"/>
                <w:rFonts w:ascii="Times New Roman" w:hAnsi="Times New Roman"/>
                <w:sz w:val="24"/>
              </w:rPr>
              <w:t xml:space="preserve"> shall include: </w:t>
            </w:r>
          </w:p>
          <w:p w14:paraId="440E6249" w14:textId="1B404BA3" w:rsidR="000D6402" w:rsidRPr="00466F09" w:rsidRDefault="00E21745" w:rsidP="0001573B">
            <w:pPr>
              <w:pStyle w:val="InstructionsText"/>
              <w:rPr>
                <w:rStyle w:val="FormatvorlageInstructionsTabelleText"/>
                <w:rFonts w:ascii="Times New Roman" w:hAnsi="Times New Roman"/>
                <w:sz w:val="24"/>
                <w:lang w:val="en-US"/>
              </w:rPr>
            </w:pPr>
            <w:r w:rsidRPr="00466F09">
              <w:rPr>
                <w:rStyle w:val="FormatvorlageInstructionsTabelleText"/>
                <w:rFonts w:ascii="Times New Roman" w:hAnsi="Times New Roman"/>
                <w:sz w:val="24"/>
                <w:lang w:val="en-US"/>
              </w:rPr>
              <w:t xml:space="preserve">- </w:t>
            </w:r>
            <w:r w:rsidR="000D6402" w:rsidRPr="00466F09">
              <w:rPr>
                <w:rStyle w:val="FormatvorlageInstructionsTabelleText"/>
                <w:rFonts w:ascii="Times New Roman" w:hAnsi="Times New Roman"/>
                <w:sz w:val="24"/>
                <w:lang w:val="en-US"/>
              </w:rPr>
              <w:t>Liabilities vis a vis Central Banks</w:t>
            </w:r>
            <w:r w:rsidR="00001BF2" w:rsidRPr="00466F09">
              <w:rPr>
                <w:rStyle w:val="FormatvorlageInstructionsTabelleText"/>
                <w:rFonts w:ascii="Times New Roman" w:hAnsi="Times New Roman"/>
                <w:sz w:val="24"/>
                <w:lang w:val="en-US"/>
              </w:rPr>
              <w:t> ;</w:t>
            </w:r>
          </w:p>
          <w:p w14:paraId="58C223B7" w14:textId="50DCE568" w:rsidR="005F0A8B" w:rsidRPr="00466F09" w:rsidRDefault="00E21745" w:rsidP="0001573B">
            <w:pPr>
              <w:pStyle w:val="InstructionsText"/>
              <w:rPr>
                <w:rStyle w:val="FormatvorlageInstructionsTabelleText"/>
                <w:rFonts w:ascii="Times New Roman" w:hAnsi="Times New Roman"/>
                <w:b/>
                <w:sz w:val="24"/>
                <w:u w:val="single"/>
                <w:lang w:val="en-US"/>
              </w:rPr>
            </w:pPr>
            <w:r w:rsidRPr="00466F09">
              <w:rPr>
                <w:rStyle w:val="FormatvorlageInstructionsTabelleText"/>
                <w:rFonts w:ascii="Times New Roman" w:hAnsi="Times New Roman"/>
                <w:sz w:val="24"/>
                <w:lang w:val="en-US"/>
              </w:rPr>
              <w:t xml:space="preserve">- </w:t>
            </w:r>
            <w:r w:rsidR="005F0A8B" w:rsidRPr="00466F09">
              <w:rPr>
                <w:rStyle w:val="FormatvorlageInstructionsTabelleText"/>
                <w:rFonts w:ascii="Times New Roman" w:hAnsi="Times New Roman"/>
                <w:sz w:val="24"/>
                <w:lang w:val="en-US"/>
              </w:rPr>
              <w:t>Interbank liabilities</w:t>
            </w:r>
            <w:r w:rsidRPr="00466F09">
              <w:rPr>
                <w:rStyle w:val="FormatvorlageInstructionsTabelleText"/>
                <w:rFonts w:ascii="Times New Roman" w:hAnsi="Times New Roman"/>
                <w:sz w:val="24"/>
                <w:lang w:val="en-US"/>
              </w:rPr>
              <w:t>;</w:t>
            </w:r>
          </w:p>
          <w:p w14:paraId="28D57E3D" w14:textId="0CA27AF8" w:rsidR="000D6402" w:rsidRDefault="00E21745"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0D6402" w:rsidRPr="00C13743">
              <w:rPr>
                <w:rStyle w:val="InstructionsTabelleberschrift"/>
                <w:rFonts w:ascii="Times New Roman" w:hAnsi="Times New Roman"/>
                <w:b w:val="0"/>
                <w:bCs w:val="0"/>
                <w:sz w:val="24"/>
                <w:u w:val="none"/>
              </w:rPr>
              <w:t>Debt securities</w:t>
            </w:r>
            <w:r w:rsidR="000D6402">
              <w:rPr>
                <w:rStyle w:val="InstructionsTabelleberschrift"/>
                <w:rFonts w:ascii="Times New Roman" w:hAnsi="Times New Roman"/>
                <w:b w:val="0"/>
                <w:bCs w:val="0"/>
                <w:sz w:val="24"/>
                <w:u w:val="none"/>
              </w:rPr>
              <w:t xml:space="preserve"> issued</w:t>
            </w:r>
            <w:r>
              <w:rPr>
                <w:rStyle w:val="InstructionsTabelleberschrift"/>
                <w:rFonts w:ascii="Times New Roman" w:hAnsi="Times New Roman"/>
                <w:b w:val="0"/>
                <w:bCs w:val="0"/>
                <w:sz w:val="24"/>
                <w:u w:val="none"/>
              </w:rPr>
              <w:t>;</w:t>
            </w:r>
          </w:p>
          <w:p w14:paraId="084236A4" w14:textId="50542BE6" w:rsidR="000D6402" w:rsidRDefault="00E21745"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0D6402">
              <w:rPr>
                <w:rStyle w:val="InstructionsTabelleberschrift"/>
                <w:rFonts w:ascii="Times New Roman" w:hAnsi="Times New Roman"/>
                <w:b w:val="0"/>
                <w:bCs w:val="0"/>
                <w:sz w:val="24"/>
                <w:u w:val="none"/>
              </w:rPr>
              <w:t>Non</w:t>
            </w:r>
            <w:r w:rsidR="00531B36">
              <w:rPr>
                <w:rStyle w:val="InstructionsTabelleberschrift"/>
                <w:rFonts w:ascii="Times New Roman" w:hAnsi="Times New Roman"/>
                <w:b w:val="0"/>
                <w:bCs w:val="0"/>
                <w:sz w:val="24"/>
                <w:u w:val="none"/>
              </w:rPr>
              <w:t>-</w:t>
            </w:r>
            <w:r w:rsidR="00011ED2">
              <w:rPr>
                <w:rStyle w:val="InstructionsTabelleberschrift"/>
                <w:rFonts w:ascii="Times New Roman" w:hAnsi="Times New Roman"/>
                <w:b w:val="0"/>
                <w:bCs w:val="0"/>
                <w:sz w:val="24"/>
                <w:u w:val="none"/>
              </w:rPr>
              <w:t>maturity deposits</w:t>
            </w:r>
            <w:r>
              <w:rPr>
                <w:rStyle w:val="InstructionsTabelleberschrift"/>
                <w:rFonts w:ascii="Times New Roman" w:hAnsi="Times New Roman"/>
                <w:b w:val="0"/>
                <w:bCs w:val="0"/>
                <w:sz w:val="24"/>
                <w:u w:val="none"/>
              </w:rPr>
              <w:t>;</w:t>
            </w:r>
          </w:p>
          <w:p w14:paraId="253174FC" w14:textId="4824EC0C" w:rsidR="00531B36" w:rsidRPr="00C13743" w:rsidRDefault="00E21745"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531B36">
              <w:rPr>
                <w:rStyle w:val="InstructionsTabelleberschrift"/>
                <w:rFonts w:ascii="Times New Roman" w:hAnsi="Times New Roman"/>
                <w:b w:val="0"/>
                <w:bCs w:val="0"/>
                <w:sz w:val="24"/>
                <w:u w:val="none"/>
              </w:rPr>
              <w:t>Term deposits</w:t>
            </w:r>
            <w:r>
              <w:rPr>
                <w:rStyle w:val="InstructionsTabelleberschrift"/>
                <w:rFonts w:ascii="Times New Roman" w:hAnsi="Times New Roman"/>
                <w:b w:val="0"/>
                <w:bCs w:val="0"/>
                <w:sz w:val="24"/>
                <w:u w:val="none"/>
              </w:rPr>
              <w:t>;</w:t>
            </w:r>
          </w:p>
          <w:p w14:paraId="2158A787" w14:textId="4B806BDD" w:rsidR="000D6402" w:rsidRPr="00C13743" w:rsidRDefault="00E21745"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0D6402" w:rsidRPr="00C13743">
              <w:rPr>
                <w:rStyle w:val="InstructionsTabelleberschrift"/>
                <w:rFonts w:ascii="Times New Roman" w:hAnsi="Times New Roman"/>
                <w:b w:val="0"/>
                <w:bCs w:val="0"/>
                <w:sz w:val="24"/>
                <w:u w:val="none"/>
              </w:rPr>
              <w:t>Derivatives</w:t>
            </w:r>
            <w:r w:rsidR="00EF3ACE">
              <w:rPr>
                <w:rStyle w:val="InstructionsTabelleberschrift"/>
                <w:rFonts w:ascii="Times New Roman" w:hAnsi="Times New Roman"/>
                <w:b w:val="0"/>
                <w:bCs w:val="0"/>
                <w:sz w:val="24"/>
                <w:u w:val="none"/>
              </w:rPr>
              <w:t xml:space="preserve"> hedging liabilities</w:t>
            </w:r>
            <w:r>
              <w:rPr>
                <w:rStyle w:val="InstructionsTabelleberschrift"/>
                <w:rFonts w:ascii="Times New Roman" w:hAnsi="Times New Roman"/>
                <w:b w:val="0"/>
                <w:bCs w:val="0"/>
                <w:sz w:val="24"/>
                <w:u w:val="none"/>
              </w:rPr>
              <w:t>;</w:t>
            </w:r>
          </w:p>
          <w:p w14:paraId="4FD61CA1" w14:textId="7090A7C4" w:rsidR="00741F94" w:rsidRPr="000D6402" w:rsidRDefault="00E21745" w:rsidP="0001573B">
            <w:pPr>
              <w:pStyle w:val="InstructionsText"/>
              <w:rPr>
                <w:rStyle w:val="InstructionsTabelleberschrift"/>
                <w:rFonts w:ascii="Times New Roman" w:hAnsi="Times New Roman"/>
                <w:b w:val="0"/>
                <w:sz w:val="24"/>
                <w:u w:val="none"/>
              </w:rPr>
            </w:pPr>
            <w:r>
              <w:rPr>
                <w:rStyle w:val="InstructionsTabelleberschrift"/>
                <w:rFonts w:ascii="Times New Roman" w:hAnsi="Times New Roman"/>
                <w:b w:val="0"/>
                <w:bCs w:val="0"/>
                <w:sz w:val="24"/>
                <w:u w:val="none"/>
              </w:rPr>
              <w:t xml:space="preserve">- </w:t>
            </w:r>
            <w:r w:rsidR="000D6402" w:rsidRPr="65B89AC3">
              <w:rPr>
                <w:rStyle w:val="InstructionsTabelleberschrift"/>
                <w:rFonts w:ascii="Times New Roman" w:hAnsi="Times New Roman"/>
                <w:b w:val="0"/>
                <w:bCs w:val="0"/>
                <w:sz w:val="24"/>
                <w:u w:val="none"/>
              </w:rPr>
              <w:t>Other</w:t>
            </w:r>
            <w:r w:rsidR="00011ED2">
              <w:rPr>
                <w:rStyle w:val="InstructionsTabelleberschrift"/>
                <w:rFonts w:ascii="Times New Roman" w:hAnsi="Times New Roman"/>
                <w:b w:val="0"/>
                <w:bCs w:val="0"/>
                <w:sz w:val="24"/>
                <w:u w:val="none"/>
              </w:rPr>
              <w:t>.</w:t>
            </w:r>
          </w:p>
        </w:tc>
      </w:tr>
      <w:tr w:rsidR="00033F40" w:rsidRPr="00B32012" w14:paraId="6105288E" w14:textId="77777777" w:rsidTr="00466F09">
        <w:tc>
          <w:tcPr>
            <w:tcW w:w="1629" w:type="dxa"/>
            <w:tcBorders>
              <w:top w:val="single" w:sz="4" w:space="0" w:color="auto"/>
              <w:left w:val="single" w:sz="4" w:space="0" w:color="auto"/>
              <w:bottom w:val="single" w:sz="4" w:space="0" w:color="auto"/>
              <w:right w:val="single" w:sz="4" w:space="0" w:color="auto"/>
            </w:tcBorders>
          </w:tcPr>
          <w:p w14:paraId="291A4155" w14:textId="772AC6EF" w:rsidR="00033F40" w:rsidRDefault="004F67A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0210</w:t>
            </w:r>
          </w:p>
        </w:tc>
        <w:tc>
          <w:tcPr>
            <w:tcW w:w="7159" w:type="dxa"/>
            <w:tcBorders>
              <w:top w:val="single" w:sz="4" w:space="0" w:color="auto"/>
              <w:left w:val="single" w:sz="4" w:space="0" w:color="auto"/>
              <w:bottom w:val="single" w:sz="4" w:space="0" w:color="auto"/>
              <w:right w:val="single" w:sz="4" w:space="0" w:color="auto"/>
            </w:tcBorders>
          </w:tcPr>
          <w:p w14:paraId="32D7F8EC" w14:textId="77777777" w:rsidR="004F67A8" w:rsidRPr="001D67C3" w:rsidRDefault="004F67A8" w:rsidP="0001573B">
            <w:pPr>
              <w:pStyle w:val="InstructionsText"/>
              <w:rPr>
                <w:rStyle w:val="InstructionsTabelleberschrift"/>
                <w:rFonts w:ascii="Times New Roman" w:hAnsi="Times New Roman"/>
                <w:bCs w:val="0"/>
                <w:sz w:val="24"/>
              </w:rPr>
            </w:pPr>
            <w:r w:rsidRPr="001D67C3">
              <w:rPr>
                <w:rStyle w:val="InstructionsTabelleberschrift"/>
                <w:rFonts w:ascii="Times New Roman" w:hAnsi="Times New Roman"/>
                <w:bCs w:val="0"/>
                <w:sz w:val="24"/>
              </w:rPr>
              <w:t xml:space="preserve">of which: due to automatic optionality </w:t>
            </w:r>
          </w:p>
          <w:p w14:paraId="6F491059" w14:textId="06BAEE0D" w:rsidR="00033F40" w:rsidRDefault="004F67A8" w:rsidP="0001573B">
            <w:pPr>
              <w:pStyle w:val="InstructionsText"/>
              <w:rPr>
                <w:rStyle w:val="InstructionsTabelleberschrift"/>
                <w:rFonts w:ascii="Times New Roman" w:hAnsi="Times New Roman"/>
                <w:sz w:val="24"/>
              </w:rPr>
            </w:pPr>
            <w:r w:rsidRPr="00771866">
              <w:rPr>
                <w:lang w:val="en-US"/>
              </w:rPr>
              <w:t>Contribution of</w:t>
            </w:r>
            <w:r w:rsidRPr="579D23CD">
              <w:rPr>
                <w:lang w:val="en-US"/>
              </w:rPr>
              <w:t xml:space="preserve"> embedded and explicit</w:t>
            </w:r>
            <w:r w:rsidRPr="00771866">
              <w:rPr>
                <w:lang w:val="en-US"/>
              </w:rPr>
              <w:t xml:space="preserve"> automatic optionality to the t</w:t>
            </w:r>
            <w:r w:rsidRPr="001D67C3">
              <w:rPr>
                <w:lang w:val="en-US"/>
              </w:rPr>
              <w:t>otal interest rate-sensitive</w:t>
            </w:r>
            <w:r>
              <w:rPr>
                <w:lang w:val="en-US"/>
              </w:rPr>
              <w:t xml:space="preserve"> liabilities</w:t>
            </w:r>
            <w:r w:rsidRPr="001D67C3">
              <w:rPr>
                <w:lang w:val="en-US"/>
              </w:rPr>
              <w:t xml:space="preserve"> in the scope of the SOT (</w:t>
            </w:r>
            <w:r w:rsidRPr="001D67C3">
              <w:rPr>
                <w:shd w:val="clear" w:color="auto" w:fill="D3D3D3"/>
                <w:lang w:val="en-US"/>
              </w:rPr>
              <w:t>EBA RTS on</w:t>
            </w:r>
            <w:r w:rsidRPr="001D67C3">
              <w:rPr>
                <w:lang w:val="en-US"/>
              </w:rPr>
              <w:t xml:space="preserve"> </w:t>
            </w:r>
            <w:r w:rsidRPr="001D67C3">
              <w:rPr>
                <w:shd w:val="clear" w:color="auto" w:fill="D3D3D3"/>
                <w:lang w:val="en-US"/>
              </w:rPr>
              <w:t>SOT)</w:t>
            </w:r>
            <w:r w:rsidRPr="001D67C3">
              <w:rPr>
                <w:lang w:val="en-US"/>
              </w:rPr>
              <w:t xml:space="preserve"> irrespective of their accounting treatment.</w:t>
            </w:r>
          </w:p>
        </w:tc>
      </w:tr>
      <w:tr w:rsidR="00741F94" w:rsidRPr="00B32012" w14:paraId="3F855494" w14:textId="77777777" w:rsidTr="00466F09">
        <w:tc>
          <w:tcPr>
            <w:tcW w:w="1629" w:type="dxa"/>
            <w:tcBorders>
              <w:top w:val="single" w:sz="4" w:space="0" w:color="auto"/>
              <w:left w:val="single" w:sz="4" w:space="0" w:color="auto"/>
              <w:bottom w:val="single" w:sz="4" w:space="0" w:color="auto"/>
              <w:right w:val="single" w:sz="4" w:space="0" w:color="auto"/>
            </w:tcBorders>
          </w:tcPr>
          <w:p w14:paraId="192764CE" w14:textId="6A9385EF" w:rsidR="00741F94" w:rsidRPr="00B32012" w:rsidRDefault="00103272"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w:t>
            </w:r>
            <w:r w:rsidR="004A608C">
              <w:rPr>
                <w:rStyle w:val="FormatvorlageInstructionsTabelleText"/>
                <w:rFonts w:ascii="Times New Roman" w:hAnsi="Times New Roman"/>
                <w:sz w:val="24"/>
                <w:lang w:eastAsia="en-US"/>
              </w:rPr>
              <w:t>22</w:t>
            </w:r>
            <w:r>
              <w:rPr>
                <w:rStyle w:val="FormatvorlageInstructionsTabelleText"/>
                <w:rFonts w:ascii="Times New Roman" w:hAnsi="Times New Roman"/>
                <w:sz w:val="24"/>
                <w:lang w:eastAsia="en-US"/>
              </w:rPr>
              <w:t>0</w:t>
            </w:r>
          </w:p>
        </w:tc>
        <w:tc>
          <w:tcPr>
            <w:tcW w:w="7159" w:type="dxa"/>
            <w:tcBorders>
              <w:top w:val="single" w:sz="4" w:space="0" w:color="auto"/>
              <w:left w:val="single" w:sz="4" w:space="0" w:color="auto"/>
              <w:bottom w:val="single" w:sz="4" w:space="0" w:color="auto"/>
              <w:right w:val="single" w:sz="4" w:space="0" w:color="auto"/>
            </w:tcBorders>
            <w:hideMark/>
          </w:tcPr>
          <w:p w14:paraId="1752EB2F" w14:textId="77777777"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 xml:space="preserve">Central bank </w:t>
            </w:r>
          </w:p>
          <w:p w14:paraId="63153454" w14:textId="7F3D6B53" w:rsidR="00741F94" w:rsidRPr="00466F09" w:rsidRDefault="00741F94" w:rsidP="0001573B">
            <w:pPr>
              <w:pStyle w:val="InstructionsText"/>
              <w:rPr>
                <w:rStyle w:val="InstructionsTabelleberschrift"/>
                <w:rFonts w:ascii="Times New Roman" w:hAnsi="Times New Roman"/>
                <w:b w:val="0"/>
                <w:sz w:val="24"/>
                <w:u w:val="none"/>
                <w:lang w:val="en-US"/>
              </w:rPr>
            </w:pPr>
            <w:r w:rsidRPr="00466F09">
              <w:rPr>
                <w:rStyle w:val="InstructionsTabelleberschrift"/>
                <w:rFonts w:ascii="Times New Roman" w:hAnsi="Times New Roman"/>
                <w:b w:val="0"/>
                <w:sz w:val="24"/>
                <w:u w:val="none"/>
                <w:lang w:val="en-US"/>
              </w:rPr>
              <w:t xml:space="preserve">Liabilities </w:t>
            </w:r>
            <w:r w:rsidR="00C93323" w:rsidRPr="579D23CD">
              <w:rPr>
                <w:lang w:val="en-US"/>
              </w:rPr>
              <w:t>vis a vis central banks as defined</w:t>
            </w:r>
            <w:r w:rsidR="00C93323" w:rsidRPr="007C40B0">
              <w:rPr>
                <w:lang w:val="en-US"/>
              </w:rPr>
              <w:t xml:space="preserve"> in</w:t>
            </w:r>
            <w:r w:rsidR="00C93323" w:rsidRPr="003520A1">
              <w:rPr>
                <w:lang w:val="en-US"/>
              </w:rPr>
              <w:t xml:space="preserve"> </w:t>
            </w:r>
            <w:r w:rsidR="00C93323" w:rsidRPr="579D23CD">
              <w:rPr>
                <w:lang w:val="en-US"/>
              </w:rPr>
              <w:t>paragraph 42(a) of Part 1 of Annex V of the ITS on supervisory reporting</w:t>
            </w:r>
            <w:r w:rsidR="00C93323">
              <w:rPr>
                <w:lang w:val="en-US"/>
              </w:rPr>
              <w:t>.</w:t>
            </w:r>
          </w:p>
        </w:tc>
      </w:tr>
      <w:tr w:rsidR="008B01DA" w:rsidRPr="00B32012" w14:paraId="7E060028" w14:textId="77777777" w:rsidTr="00466F09">
        <w:tc>
          <w:tcPr>
            <w:tcW w:w="1629" w:type="dxa"/>
            <w:tcBorders>
              <w:top w:val="single" w:sz="4" w:space="0" w:color="auto"/>
              <w:left w:val="single" w:sz="4" w:space="0" w:color="auto"/>
              <w:bottom w:val="single" w:sz="4" w:space="0" w:color="auto"/>
              <w:right w:val="single" w:sz="4" w:space="0" w:color="auto"/>
            </w:tcBorders>
          </w:tcPr>
          <w:p w14:paraId="1C661A47" w14:textId="3F23FB80" w:rsidR="008B01DA" w:rsidDel="00103272" w:rsidRDefault="0098615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w:t>
            </w:r>
            <w:r w:rsidR="004A608C">
              <w:rPr>
                <w:rStyle w:val="FormatvorlageInstructionsTabelleText"/>
                <w:rFonts w:ascii="Times New Roman" w:hAnsi="Times New Roman"/>
                <w:sz w:val="24"/>
                <w:lang w:eastAsia="en-US"/>
              </w:rPr>
              <w:t>2</w:t>
            </w:r>
            <w:r w:rsidR="00BC6EC7">
              <w:rPr>
                <w:rStyle w:val="FormatvorlageInstructionsTabelleText"/>
                <w:rFonts w:ascii="Times New Roman" w:hAnsi="Times New Roman"/>
                <w:sz w:val="24"/>
                <w:lang w:eastAsia="en-US"/>
              </w:rPr>
              <w:t>3</w:t>
            </w:r>
            <w:r>
              <w:rPr>
                <w:rStyle w:val="FormatvorlageInstructionsTabelleText"/>
                <w:rFonts w:ascii="Times New Roman" w:hAnsi="Times New Roman"/>
                <w:sz w:val="24"/>
                <w:lang w:eastAsia="en-US"/>
              </w:rPr>
              <w:t>0</w:t>
            </w:r>
          </w:p>
        </w:tc>
        <w:tc>
          <w:tcPr>
            <w:tcW w:w="7159" w:type="dxa"/>
            <w:tcBorders>
              <w:top w:val="single" w:sz="4" w:space="0" w:color="auto"/>
              <w:left w:val="single" w:sz="4" w:space="0" w:color="auto"/>
              <w:bottom w:val="single" w:sz="4" w:space="0" w:color="auto"/>
              <w:right w:val="single" w:sz="4" w:space="0" w:color="auto"/>
            </w:tcBorders>
          </w:tcPr>
          <w:p w14:paraId="1BE49544" w14:textId="77777777" w:rsidR="008B01DA" w:rsidRDefault="00AC072A"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Interbank</w:t>
            </w:r>
          </w:p>
          <w:p w14:paraId="140AD124" w14:textId="724B4E14" w:rsidR="008B01DA" w:rsidRPr="00B32012" w:rsidRDefault="00B80373" w:rsidP="0001573B">
            <w:pPr>
              <w:pStyle w:val="InstructionsText"/>
              <w:rPr>
                <w:rStyle w:val="InstructionsTabelleberschrift"/>
                <w:rFonts w:ascii="Times New Roman" w:hAnsi="Times New Roman"/>
                <w:sz w:val="24"/>
              </w:rPr>
            </w:pPr>
            <w:r w:rsidRPr="00D3605F">
              <w:rPr>
                <w:rStyle w:val="InstructionsTabelleberschrift"/>
                <w:rFonts w:ascii="Times New Roman" w:hAnsi="Times New Roman"/>
                <w:b w:val="0"/>
                <w:bCs w:val="0"/>
                <w:sz w:val="24"/>
                <w:u w:val="none"/>
              </w:rPr>
              <w:t xml:space="preserve">All </w:t>
            </w:r>
            <w:r w:rsidR="007D6447" w:rsidRPr="00D3605F">
              <w:rPr>
                <w:rStyle w:val="InstructionsTabelleberschrift"/>
                <w:rFonts w:ascii="Times New Roman" w:hAnsi="Times New Roman"/>
                <w:b w:val="0"/>
                <w:bCs w:val="0"/>
                <w:sz w:val="24"/>
                <w:u w:val="none"/>
              </w:rPr>
              <w:t>liabilities</w:t>
            </w:r>
            <w:r w:rsidRPr="00D3605F">
              <w:rPr>
                <w:rStyle w:val="InstructionsTabelleberschrift"/>
                <w:rFonts w:ascii="Times New Roman" w:hAnsi="Times New Roman"/>
                <w:b w:val="0"/>
                <w:bCs w:val="0"/>
                <w:sz w:val="24"/>
                <w:u w:val="none"/>
              </w:rPr>
              <w:t xml:space="preserve"> whose counterparty is a credit institution</w:t>
            </w:r>
            <w:r w:rsidR="00C06B3E" w:rsidRPr="579D23CD">
              <w:rPr>
                <w:lang w:val="en-US"/>
              </w:rPr>
              <w:t xml:space="preserve"> as defined</w:t>
            </w:r>
            <w:r w:rsidR="00C06B3E" w:rsidRPr="007C40B0">
              <w:rPr>
                <w:lang w:val="en-US"/>
              </w:rPr>
              <w:t xml:space="preserve"> </w:t>
            </w:r>
            <w:r w:rsidR="00AE47EF" w:rsidRPr="007C40B0">
              <w:rPr>
                <w:lang w:val="en-US"/>
              </w:rPr>
              <w:t>in</w:t>
            </w:r>
            <w:r w:rsidR="00AE47EF" w:rsidRPr="579D23CD">
              <w:rPr>
                <w:lang w:val="en-US"/>
              </w:rPr>
              <w:t xml:space="preserve"> </w:t>
            </w:r>
            <w:r w:rsidR="00C06B3E" w:rsidRPr="579D23CD">
              <w:rPr>
                <w:lang w:val="en-US"/>
              </w:rPr>
              <w:t>paragraph 42(</w:t>
            </w:r>
            <w:r w:rsidR="00AE4AE4">
              <w:rPr>
                <w:lang w:val="en-US"/>
              </w:rPr>
              <w:t>c</w:t>
            </w:r>
            <w:r w:rsidR="00C06B3E" w:rsidRPr="579D23CD">
              <w:rPr>
                <w:lang w:val="en-US"/>
              </w:rPr>
              <w:t>) of Part 1 of Annex V of the ITS on supervisory reporting</w:t>
            </w:r>
            <w:r w:rsidR="00D71CFD" w:rsidRPr="00A6215F">
              <w:rPr>
                <w:lang w:val="en-US"/>
              </w:rPr>
              <w:t>, excluding securities and derivative exposures</w:t>
            </w:r>
            <w:r w:rsidR="00C06B3E" w:rsidRPr="579D23CD">
              <w:rPr>
                <w:lang w:val="en-US"/>
              </w:rPr>
              <w:t>.</w:t>
            </w:r>
          </w:p>
        </w:tc>
      </w:tr>
      <w:tr w:rsidR="00741F94" w:rsidRPr="00B32012" w14:paraId="7CE775AB" w14:textId="77777777" w:rsidTr="00466F09">
        <w:tc>
          <w:tcPr>
            <w:tcW w:w="1629" w:type="dxa"/>
            <w:tcBorders>
              <w:top w:val="single" w:sz="4" w:space="0" w:color="auto"/>
              <w:left w:val="single" w:sz="4" w:space="0" w:color="auto"/>
              <w:bottom w:val="single" w:sz="4" w:space="0" w:color="auto"/>
              <w:right w:val="single" w:sz="4" w:space="0" w:color="auto"/>
            </w:tcBorders>
          </w:tcPr>
          <w:p w14:paraId="790A9857" w14:textId="517D13A5" w:rsidR="00741F94" w:rsidRPr="00B32012" w:rsidRDefault="00BC6EC7"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0240</w:t>
            </w:r>
          </w:p>
        </w:tc>
        <w:tc>
          <w:tcPr>
            <w:tcW w:w="7159" w:type="dxa"/>
            <w:tcBorders>
              <w:top w:val="single" w:sz="4" w:space="0" w:color="auto"/>
              <w:left w:val="single" w:sz="4" w:space="0" w:color="auto"/>
              <w:bottom w:val="single" w:sz="4" w:space="0" w:color="auto"/>
              <w:right w:val="single" w:sz="4" w:space="0" w:color="auto"/>
            </w:tcBorders>
            <w:hideMark/>
          </w:tcPr>
          <w:p w14:paraId="268334FF" w14:textId="77777777"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 xml:space="preserve">Debt securities issued </w:t>
            </w:r>
          </w:p>
          <w:p w14:paraId="5FCAA9F8" w14:textId="4DFF4A14" w:rsidR="00741F94" w:rsidRPr="00A6215F" w:rsidRDefault="0003566D" w:rsidP="0003566D">
            <w:pPr>
              <w:pStyle w:val="Baseparagraphnumbered"/>
              <w:numPr>
                <w:ilvl w:val="0"/>
                <w:numId w:val="0"/>
              </w:numPr>
              <w:jc w:val="left"/>
              <w:rPr>
                <w:rStyle w:val="InstructionsTabelleberschrift"/>
                <w:rFonts w:ascii="Times New Roman" w:hAnsi="Times New Roman"/>
                <w:b w:val="0"/>
                <w:sz w:val="24"/>
                <w:szCs w:val="24"/>
                <w:u w:val="none"/>
              </w:rPr>
            </w:pPr>
            <w:r w:rsidRPr="009C3A62">
              <w:rPr>
                <w:rStyle w:val="InstructionsTabelleberschrift"/>
                <w:rFonts w:ascii="Times New Roman" w:hAnsi="Times New Roman"/>
                <w:b w:val="0"/>
                <w:bCs w:val="0"/>
                <w:sz w:val="24"/>
                <w:szCs w:val="24"/>
                <w:u w:val="none"/>
              </w:rPr>
              <w:t>Debt instruments issued as securities by the institution that are not deposits, as defined in Part 1 Article 3</w:t>
            </w:r>
            <w:r>
              <w:rPr>
                <w:rStyle w:val="InstructionsTabelleberschrift"/>
                <w:rFonts w:ascii="Times New Roman" w:hAnsi="Times New Roman"/>
                <w:b w:val="0"/>
                <w:bCs w:val="0"/>
                <w:sz w:val="24"/>
                <w:szCs w:val="24"/>
                <w:u w:val="none"/>
              </w:rPr>
              <w:t>7</w:t>
            </w:r>
            <w:r w:rsidRPr="009C3A62">
              <w:rPr>
                <w:rStyle w:val="InstructionsTabelleberschrift"/>
                <w:rFonts w:ascii="Times New Roman" w:hAnsi="Times New Roman"/>
                <w:b w:val="0"/>
                <w:bCs w:val="0"/>
                <w:sz w:val="24"/>
                <w:szCs w:val="24"/>
                <w:u w:val="none"/>
              </w:rPr>
              <w:t xml:space="preserve"> of Annex V of the </w:t>
            </w:r>
            <w:r w:rsidRPr="00A6215F">
              <w:rPr>
                <w:rStyle w:val="InstructionsTabelleberschrift"/>
                <w:rFonts w:ascii="Times New Roman" w:hAnsi="Times New Roman"/>
                <w:b w:val="0"/>
                <w:sz w:val="24"/>
                <w:szCs w:val="24"/>
                <w:u w:val="none"/>
              </w:rPr>
              <w:t>ITS on supervisory reporting</w:t>
            </w:r>
            <w:r w:rsidR="009734BF" w:rsidRPr="00A6215F">
              <w:rPr>
                <w:szCs w:val="24"/>
                <w:lang w:val="en-US"/>
              </w:rPr>
              <w:t>.</w:t>
            </w:r>
          </w:p>
        </w:tc>
      </w:tr>
      <w:tr w:rsidR="00741F94" w:rsidRPr="00B32012" w14:paraId="18A827B3" w14:textId="77777777" w:rsidTr="00466F09">
        <w:tc>
          <w:tcPr>
            <w:tcW w:w="1629" w:type="dxa"/>
            <w:tcBorders>
              <w:top w:val="single" w:sz="4" w:space="0" w:color="auto"/>
              <w:left w:val="single" w:sz="4" w:space="0" w:color="auto"/>
              <w:bottom w:val="single" w:sz="4" w:space="0" w:color="auto"/>
              <w:right w:val="single" w:sz="4" w:space="0" w:color="auto"/>
            </w:tcBorders>
          </w:tcPr>
          <w:p w14:paraId="569A1482" w14:textId="522F4936" w:rsidR="00741F94" w:rsidRPr="00B32012" w:rsidRDefault="00BC6EC7"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0260</w:t>
            </w:r>
          </w:p>
        </w:tc>
        <w:tc>
          <w:tcPr>
            <w:tcW w:w="7159" w:type="dxa"/>
            <w:tcBorders>
              <w:top w:val="single" w:sz="4" w:space="0" w:color="auto"/>
              <w:left w:val="single" w:sz="4" w:space="0" w:color="auto"/>
              <w:bottom w:val="single" w:sz="4" w:space="0" w:color="auto"/>
              <w:right w:val="single" w:sz="4" w:space="0" w:color="auto"/>
            </w:tcBorders>
            <w:hideMark/>
          </w:tcPr>
          <w:p w14:paraId="7011B4F0" w14:textId="77777777" w:rsidR="00741F94" w:rsidRPr="00B32012" w:rsidRDefault="00741F94" w:rsidP="0001573B">
            <w:pPr>
              <w:pStyle w:val="InstructionsText"/>
              <w:rPr>
                <w:rStyle w:val="InstructionsTabelleberschrift"/>
                <w:rFonts w:ascii="Times New Roman" w:hAnsi="Times New Roman"/>
                <w:sz w:val="24"/>
              </w:rPr>
            </w:pPr>
            <w:r w:rsidRPr="00B32012">
              <w:rPr>
                <w:rStyle w:val="InstructionsTabelleberschrift"/>
                <w:rFonts w:ascii="Times New Roman" w:hAnsi="Times New Roman"/>
                <w:sz w:val="24"/>
              </w:rPr>
              <w:t>Of which: AT1 or T2</w:t>
            </w:r>
          </w:p>
          <w:p w14:paraId="725742BC" w14:textId="78118F4E" w:rsidR="00741F94" w:rsidRPr="00B32012" w:rsidRDefault="00741F94" w:rsidP="0001573B">
            <w:pPr>
              <w:pStyle w:val="InstructionsText"/>
              <w:rPr>
                <w:lang w:val="en-US"/>
              </w:rPr>
            </w:pPr>
            <w:r w:rsidRPr="00231F9A">
              <w:rPr>
                <w:rStyle w:val="InstructionsTabelleberschrift"/>
                <w:rFonts w:ascii="Times New Roman" w:hAnsi="Times New Roman"/>
                <w:b w:val="0"/>
                <w:bCs w:val="0"/>
                <w:sz w:val="24"/>
                <w:u w:val="none"/>
              </w:rPr>
              <w:t xml:space="preserve">Debt securities </w:t>
            </w:r>
            <w:r>
              <w:rPr>
                <w:rStyle w:val="InstructionsTabelleberschrift"/>
                <w:rFonts w:ascii="Times New Roman" w:hAnsi="Times New Roman"/>
                <w:b w:val="0"/>
                <w:bCs w:val="0"/>
                <w:sz w:val="24"/>
                <w:u w:val="none"/>
              </w:rPr>
              <w:t xml:space="preserve">issued </w:t>
            </w:r>
            <w:r w:rsidR="00DC75D4">
              <w:rPr>
                <w:rStyle w:val="InstructionsTabelleberschrift"/>
                <w:rFonts w:ascii="Times New Roman" w:hAnsi="Times New Roman"/>
                <w:b w:val="0"/>
                <w:bCs w:val="0"/>
                <w:sz w:val="24"/>
                <w:u w:val="none"/>
              </w:rPr>
              <w:t xml:space="preserve">in accordance with </w:t>
            </w:r>
            <w:r w:rsidR="00DC75D4" w:rsidRPr="002A677E">
              <w:rPr>
                <w:rStyle w:val="FormatvorlageInstructionsTabelleText"/>
                <w:rFonts w:ascii="Times New Roman" w:hAnsi="Times New Roman"/>
                <w:sz w:val="24"/>
              </w:rPr>
              <w:t>Article</w:t>
            </w:r>
            <w:r w:rsidR="00E16EB0">
              <w:rPr>
                <w:rStyle w:val="FormatvorlageInstructionsTabelleText"/>
                <w:rFonts w:ascii="Times New Roman" w:hAnsi="Times New Roman"/>
                <w:sz w:val="24"/>
              </w:rPr>
              <w:t>s</w:t>
            </w:r>
            <w:r w:rsidR="00DC75D4" w:rsidRPr="002A677E">
              <w:rPr>
                <w:rStyle w:val="FormatvorlageInstructionsTabelleText"/>
                <w:rFonts w:ascii="Times New Roman" w:hAnsi="Times New Roman"/>
                <w:sz w:val="24"/>
              </w:rPr>
              <w:t xml:space="preserve"> 61 </w:t>
            </w:r>
            <w:r w:rsidR="004F3C2F">
              <w:rPr>
                <w:rStyle w:val="FormatvorlageInstructionsTabelleText"/>
                <w:rFonts w:ascii="Times New Roman" w:hAnsi="Times New Roman"/>
                <w:sz w:val="24"/>
              </w:rPr>
              <w:t>or</w:t>
            </w:r>
            <w:r w:rsidR="00854FAA">
              <w:rPr>
                <w:rStyle w:val="FormatvorlageInstructionsTabelleText"/>
                <w:rFonts w:ascii="Times New Roman" w:hAnsi="Times New Roman"/>
                <w:sz w:val="24"/>
              </w:rPr>
              <w:t xml:space="preserve"> 7</w:t>
            </w:r>
            <w:r w:rsidR="00DC7B9E">
              <w:rPr>
                <w:rStyle w:val="FormatvorlageInstructionsTabelleText"/>
                <w:rFonts w:ascii="Times New Roman" w:hAnsi="Times New Roman"/>
                <w:sz w:val="24"/>
              </w:rPr>
              <w:t>1</w:t>
            </w:r>
            <w:r w:rsidR="00854FAA">
              <w:rPr>
                <w:rStyle w:val="FormatvorlageInstructionsTabelleText"/>
                <w:rFonts w:ascii="Times New Roman" w:hAnsi="Times New Roman"/>
                <w:sz w:val="24"/>
              </w:rPr>
              <w:t xml:space="preserve"> </w:t>
            </w:r>
            <w:r w:rsidR="009166F8">
              <w:rPr>
                <w:lang w:val="en-US"/>
              </w:rPr>
              <w:t>of the CRR</w:t>
            </w:r>
            <w:r w:rsidR="5C49EE9E" w:rsidRPr="4CA66656">
              <w:rPr>
                <w:lang w:val="en-US"/>
              </w:rPr>
              <w:t xml:space="preserve">, excluding perpetual own funds without any call dates (Article 4 of </w:t>
            </w:r>
            <w:r w:rsidR="6E9C8300" w:rsidRPr="4CA66656">
              <w:rPr>
                <w:highlight w:val="lightGray"/>
              </w:rPr>
              <w:t>EBA RTS on SO</w:t>
            </w:r>
            <w:r w:rsidR="6E9C8300" w:rsidRPr="00490A70">
              <w:rPr>
                <w:highlight w:val="lightGray"/>
              </w:rPr>
              <w:t>T</w:t>
            </w:r>
            <w:r w:rsidR="5C49EE9E" w:rsidRPr="4CA66656">
              <w:rPr>
                <w:lang w:val="en-US"/>
              </w:rPr>
              <w:t>).</w:t>
            </w:r>
          </w:p>
        </w:tc>
      </w:tr>
      <w:tr w:rsidR="00741F94" w:rsidRPr="00B32012" w14:paraId="66730361" w14:textId="77777777" w:rsidTr="00466F09">
        <w:tc>
          <w:tcPr>
            <w:tcW w:w="1629" w:type="dxa"/>
            <w:tcBorders>
              <w:top w:val="single" w:sz="4" w:space="0" w:color="auto"/>
              <w:left w:val="single" w:sz="4" w:space="0" w:color="auto"/>
              <w:bottom w:val="single" w:sz="4" w:space="0" w:color="auto"/>
              <w:right w:val="single" w:sz="4" w:space="0" w:color="auto"/>
            </w:tcBorders>
          </w:tcPr>
          <w:p w14:paraId="0607CC2E" w14:textId="032FA37A" w:rsidR="00741F94" w:rsidRPr="00B32012" w:rsidRDefault="00BC6EC7"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0270</w:t>
            </w:r>
          </w:p>
        </w:tc>
        <w:tc>
          <w:tcPr>
            <w:tcW w:w="7159" w:type="dxa"/>
            <w:tcBorders>
              <w:top w:val="single" w:sz="4" w:space="0" w:color="auto"/>
              <w:left w:val="single" w:sz="4" w:space="0" w:color="auto"/>
              <w:bottom w:val="single" w:sz="4" w:space="0" w:color="auto"/>
              <w:right w:val="single" w:sz="4" w:space="0" w:color="auto"/>
            </w:tcBorders>
            <w:hideMark/>
          </w:tcPr>
          <w:p w14:paraId="7430C57E" w14:textId="48B6D67C" w:rsidR="00741F94" w:rsidRPr="00B32012" w:rsidRDefault="00CF0D44" w:rsidP="0001573B">
            <w:pPr>
              <w:pStyle w:val="InstructionsText"/>
              <w:rPr>
                <w:rStyle w:val="InstructionsTabelleberschrift"/>
                <w:rFonts w:ascii="Times New Roman" w:hAnsi="Times New Roman"/>
                <w:bCs w:val="0"/>
                <w:sz w:val="24"/>
              </w:rPr>
            </w:pPr>
            <w:r w:rsidRPr="00CF0D44">
              <w:rPr>
                <w:rStyle w:val="InstructionsTabelleberschrift"/>
                <w:rFonts w:ascii="Times New Roman" w:hAnsi="Times New Roman"/>
                <w:sz w:val="24"/>
              </w:rPr>
              <w:t>NMDs</w:t>
            </w:r>
            <w:r w:rsidR="00741F94" w:rsidRPr="00B32012">
              <w:rPr>
                <w:rStyle w:val="InstructionsTabelleberschrift"/>
                <w:rFonts w:ascii="Times New Roman" w:hAnsi="Times New Roman"/>
                <w:sz w:val="24"/>
              </w:rPr>
              <w:t xml:space="preserve">: Retail </w:t>
            </w:r>
            <w:r w:rsidR="00B7589B">
              <w:rPr>
                <w:rStyle w:val="InstructionsTabelleberschrift"/>
                <w:rFonts w:ascii="Times New Roman" w:hAnsi="Times New Roman"/>
                <w:sz w:val="24"/>
              </w:rPr>
              <w:t>t</w:t>
            </w:r>
            <w:r w:rsidR="00741F94" w:rsidRPr="00B32012">
              <w:rPr>
                <w:rStyle w:val="InstructionsTabelleberschrift"/>
                <w:rFonts w:ascii="Times New Roman" w:hAnsi="Times New Roman"/>
                <w:sz w:val="24"/>
              </w:rPr>
              <w:t>ransactional</w:t>
            </w:r>
          </w:p>
          <w:p w14:paraId="0E15693D" w14:textId="3B93B364" w:rsidR="007F62B7" w:rsidRPr="007F62B7" w:rsidRDefault="00FD0B8B" w:rsidP="0001573B">
            <w:pPr>
              <w:pStyle w:val="InstructionsText"/>
              <w:rPr>
                <w:rStyle w:val="InstructionsTabelleberschrift"/>
                <w:rFonts w:ascii="Times New Roman" w:hAnsi="Times New Roman"/>
                <w:b w:val="0"/>
                <w:bCs w:val="0"/>
                <w:sz w:val="24"/>
                <w:u w:val="none"/>
              </w:rPr>
            </w:pPr>
            <w:r>
              <w:t>Retail non-maturity deposits held in a transactional account as defined</w:t>
            </w:r>
            <w:r w:rsidR="003218D7">
              <w:t xml:space="preserve"> in</w:t>
            </w:r>
            <w:r>
              <w:t xml:space="preserve"> Article 1, point 1</w:t>
            </w:r>
            <w:r w:rsidR="003218D7">
              <w:t xml:space="preserve"> (</w:t>
            </w:r>
            <w:r>
              <w:t>11</w:t>
            </w:r>
            <w:r w:rsidR="003218D7">
              <w:t>)</w:t>
            </w:r>
            <w:r>
              <w:t xml:space="preserve"> of the </w:t>
            </w:r>
            <w:r w:rsidRPr="00490A70">
              <w:rPr>
                <w:highlight w:val="lightGray"/>
              </w:rPr>
              <w:t>EBA RTS on SA</w:t>
            </w:r>
            <w:r>
              <w:t>.</w:t>
            </w:r>
            <w:r w:rsidR="00AE3D0A">
              <w:t xml:space="preserve"> </w:t>
            </w:r>
            <w:r w:rsidR="00741F94" w:rsidRPr="00B32012">
              <w:t xml:space="preserve">Retail transactional </w:t>
            </w:r>
            <w:r w:rsidR="007F62B7">
              <w:t>NMDs</w:t>
            </w:r>
            <w:r w:rsidR="00741F94" w:rsidRPr="00B32012">
              <w:t xml:space="preserve"> </w:t>
            </w:r>
            <w:r w:rsidR="007F62B7">
              <w:t xml:space="preserve">shall </w:t>
            </w:r>
            <w:r w:rsidR="00741F94" w:rsidRPr="00AE3D0A">
              <w:t>include non-interest-bearing and</w:t>
            </w:r>
            <w:r w:rsidR="00741F94" w:rsidRPr="00B32012">
              <w:t xml:space="preserve"> other retail accounts whose remuneration component is not relevant in the client’s decision to hold money in the account.</w:t>
            </w:r>
          </w:p>
        </w:tc>
      </w:tr>
      <w:tr w:rsidR="00741F94" w:rsidRPr="00B32012" w14:paraId="0A45DBFC" w14:textId="77777777" w:rsidTr="00466F09">
        <w:tc>
          <w:tcPr>
            <w:tcW w:w="1629" w:type="dxa"/>
            <w:tcBorders>
              <w:top w:val="single" w:sz="4" w:space="0" w:color="auto"/>
              <w:left w:val="single" w:sz="4" w:space="0" w:color="auto"/>
              <w:bottom w:val="single" w:sz="4" w:space="0" w:color="auto"/>
              <w:right w:val="single" w:sz="4" w:space="0" w:color="auto"/>
            </w:tcBorders>
          </w:tcPr>
          <w:p w14:paraId="65557F3F" w14:textId="3326431E" w:rsidR="00741F94" w:rsidRPr="00B32012" w:rsidRDefault="00BC6EC7"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0290</w:t>
            </w:r>
            <w:r w:rsidR="00A7054F">
              <w:rPr>
                <w:rStyle w:val="FormatvorlageInstructionsTabelleText"/>
                <w:rFonts w:ascii="Times New Roman" w:hAnsi="Times New Roman"/>
                <w:sz w:val="24"/>
                <w:lang w:eastAsia="en-US"/>
              </w:rPr>
              <w:t xml:space="preserve">, </w:t>
            </w:r>
            <w:r>
              <w:rPr>
                <w:rStyle w:val="FormatvorlageInstructionsTabelleText"/>
                <w:rFonts w:ascii="Times New Roman" w:hAnsi="Times New Roman"/>
                <w:sz w:val="24"/>
                <w:lang w:eastAsia="en-US"/>
              </w:rPr>
              <w:t>03</w:t>
            </w:r>
            <w:r w:rsidR="00167B5D">
              <w:rPr>
                <w:rStyle w:val="FormatvorlageInstructionsTabelleText"/>
                <w:rFonts w:ascii="Times New Roman" w:hAnsi="Times New Roman"/>
                <w:sz w:val="24"/>
                <w:lang w:eastAsia="en-US"/>
              </w:rPr>
              <w:t>3</w:t>
            </w:r>
            <w:r>
              <w:rPr>
                <w:rStyle w:val="FormatvorlageInstructionsTabelleText"/>
                <w:rFonts w:ascii="Times New Roman" w:hAnsi="Times New Roman"/>
                <w:sz w:val="24"/>
                <w:lang w:eastAsia="en-US"/>
              </w:rPr>
              <w:t>0</w:t>
            </w:r>
            <w:r w:rsidR="00422858">
              <w:rPr>
                <w:rStyle w:val="FormatvorlageInstructionsTabelleText"/>
                <w:rFonts w:ascii="Times New Roman" w:hAnsi="Times New Roman"/>
                <w:sz w:val="24"/>
                <w:lang w:eastAsia="en-US"/>
              </w:rPr>
              <w:t xml:space="preserve">, </w:t>
            </w:r>
            <w:r>
              <w:rPr>
                <w:rStyle w:val="FormatvorlageInstructionsTabelleText"/>
                <w:rFonts w:ascii="Times New Roman" w:hAnsi="Times New Roman"/>
                <w:sz w:val="24"/>
                <w:lang w:eastAsia="en-US"/>
              </w:rPr>
              <w:t>0370</w:t>
            </w:r>
          </w:p>
        </w:tc>
        <w:tc>
          <w:tcPr>
            <w:tcW w:w="7159" w:type="dxa"/>
            <w:tcBorders>
              <w:top w:val="single" w:sz="4" w:space="0" w:color="auto"/>
              <w:left w:val="single" w:sz="4" w:space="0" w:color="auto"/>
              <w:bottom w:val="single" w:sz="4" w:space="0" w:color="auto"/>
              <w:right w:val="single" w:sz="4" w:space="0" w:color="auto"/>
            </w:tcBorders>
            <w:hideMark/>
          </w:tcPr>
          <w:p w14:paraId="1BFF7A04" w14:textId="12956302"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 xml:space="preserve">Of which: </w:t>
            </w:r>
            <w:r w:rsidR="00AB3D67" w:rsidRPr="00B32012">
              <w:rPr>
                <w:rStyle w:val="InstructionsTabelleberschrift"/>
                <w:rFonts w:ascii="Times New Roman" w:hAnsi="Times New Roman"/>
                <w:sz w:val="24"/>
              </w:rPr>
              <w:t>core</w:t>
            </w:r>
            <w:r w:rsidR="00E60322">
              <w:rPr>
                <w:rStyle w:val="InstructionsTabelleberschrift"/>
                <w:rFonts w:ascii="Times New Roman" w:hAnsi="Times New Roman"/>
                <w:sz w:val="24"/>
              </w:rPr>
              <w:t xml:space="preserve"> component</w:t>
            </w:r>
          </w:p>
          <w:p w14:paraId="7212A9D8" w14:textId="2C55CF15" w:rsidR="00FD0B8B" w:rsidRDefault="009D614B" w:rsidP="0001573B">
            <w:pPr>
              <w:pStyle w:val="InstructionsText"/>
            </w:pPr>
            <w:r w:rsidRPr="00B32012">
              <w:t xml:space="preserve">Core </w:t>
            </w:r>
            <w:r w:rsidR="00FD0B8B">
              <w:t xml:space="preserve">component of non-maturity deposits as defined </w:t>
            </w:r>
            <w:r w:rsidR="003218D7">
              <w:t xml:space="preserve">in Article 1, point 1 (16) of the </w:t>
            </w:r>
            <w:r w:rsidR="003218D7" w:rsidRPr="00466F09">
              <w:rPr>
                <w:highlight w:val="lightGray"/>
              </w:rPr>
              <w:t>EBA RTS on SA</w:t>
            </w:r>
            <w:r w:rsidR="00FD0B8B">
              <w:t>.</w:t>
            </w:r>
          </w:p>
          <w:p w14:paraId="32F8B509" w14:textId="5DE9A2EC" w:rsidR="00741F94" w:rsidRPr="00B32012" w:rsidRDefault="008F26F7" w:rsidP="0001573B">
            <w:pPr>
              <w:pStyle w:val="InstructionsText"/>
              <w:rPr>
                <w:rStyle w:val="InstructionsTabelleberschrift"/>
                <w:rFonts w:ascii="Times New Roman" w:hAnsi="Times New Roman"/>
                <w:sz w:val="24"/>
              </w:rPr>
            </w:pPr>
            <w:r>
              <w:t>NMDs which</w:t>
            </w:r>
            <w:r w:rsidR="007F62B7">
              <w:t xml:space="preserve"> are </w:t>
            </w:r>
            <w:r w:rsidR="00741F94" w:rsidRPr="00B32012">
              <w:t xml:space="preserve">stable and unlikely to reprice even under significant changes in interest rate environment, and/or other deposits whose limited elasticity to interest rate changes </w:t>
            </w:r>
            <w:r w:rsidR="002910E4">
              <w:t>shall</w:t>
            </w:r>
            <w:r w:rsidR="002910E4" w:rsidRPr="00B32012">
              <w:t xml:space="preserve"> </w:t>
            </w:r>
            <w:r w:rsidR="00741F94" w:rsidRPr="00B32012">
              <w:t xml:space="preserve">be modelled by </w:t>
            </w:r>
            <w:r w:rsidR="00BE567A">
              <w:t>i</w:t>
            </w:r>
            <w:r w:rsidR="00C461E0">
              <w:t>nstitutions</w:t>
            </w:r>
          </w:p>
        </w:tc>
      </w:tr>
      <w:tr w:rsidR="00741F94" w:rsidRPr="00B32012" w14:paraId="03D8F8BF" w14:textId="77777777" w:rsidTr="00466F09">
        <w:tc>
          <w:tcPr>
            <w:tcW w:w="1629" w:type="dxa"/>
            <w:tcBorders>
              <w:top w:val="single" w:sz="4" w:space="0" w:color="auto"/>
              <w:left w:val="single" w:sz="4" w:space="0" w:color="auto"/>
              <w:bottom w:val="single" w:sz="4" w:space="0" w:color="auto"/>
              <w:right w:val="single" w:sz="4" w:space="0" w:color="auto"/>
            </w:tcBorders>
          </w:tcPr>
          <w:p w14:paraId="3515117D" w14:textId="6D5EA1F1" w:rsidR="00741F94" w:rsidRPr="00B32012" w:rsidRDefault="00B87C4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0300</w:t>
            </w:r>
            <w:r w:rsidR="005F20CB">
              <w:rPr>
                <w:rStyle w:val="FormatvorlageInstructionsTabelleText"/>
                <w:rFonts w:ascii="Times New Roman" w:hAnsi="Times New Roman"/>
                <w:sz w:val="24"/>
                <w:lang w:eastAsia="en-US"/>
              </w:rPr>
              <w:t xml:space="preserve">, </w:t>
            </w:r>
            <w:r>
              <w:rPr>
                <w:rStyle w:val="FormatvorlageInstructionsTabelleText"/>
                <w:rFonts w:ascii="Times New Roman" w:hAnsi="Times New Roman"/>
                <w:sz w:val="24"/>
                <w:lang w:eastAsia="en-US"/>
              </w:rPr>
              <w:t>0340</w:t>
            </w:r>
            <w:r w:rsidR="005F20CB">
              <w:rPr>
                <w:rStyle w:val="FormatvorlageInstructionsTabelleText"/>
                <w:rFonts w:ascii="Times New Roman" w:hAnsi="Times New Roman"/>
                <w:sz w:val="24"/>
                <w:lang w:eastAsia="en-US"/>
              </w:rPr>
              <w:t xml:space="preserve">, </w:t>
            </w:r>
            <w:r>
              <w:rPr>
                <w:rStyle w:val="FormatvorlageInstructionsTabelleText"/>
                <w:rFonts w:ascii="Times New Roman" w:hAnsi="Times New Roman"/>
                <w:sz w:val="24"/>
                <w:lang w:eastAsia="en-US"/>
              </w:rPr>
              <w:t>0380</w:t>
            </w:r>
          </w:p>
        </w:tc>
        <w:tc>
          <w:tcPr>
            <w:tcW w:w="7159" w:type="dxa"/>
            <w:tcBorders>
              <w:top w:val="single" w:sz="4" w:space="0" w:color="auto"/>
              <w:left w:val="single" w:sz="4" w:space="0" w:color="auto"/>
              <w:bottom w:val="single" w:sz="4" w:space="0" w:color="auto"/>
              <w:right w:val="single" w:sz="4" w:space="0" w:color="auto"/>
            </w:tcBorders>
            <w:hideMark/>
          </w:tcPr>
          <w:p w14:paraId="044CB212" w14:textId="77777777"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 xml:space="preserve">Of which: exempted from 5Y cap </w:t>
            </w:r>
          </w:p>
          <w:p w14:paraId="0D57FEDC" w14:textId="671C2D72" w:rsidR="00741F94" w:rsidRPr="00B32012" w:rsidRDefault="00741F94"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sz w:val="24"/>
                <w:u w:val="none"/>
              </w:rPr>
              <w:t>R</w:t>
            </w:r>
            <w:r w:rsidRPr="007D6714">
              <w:rPr>
                <w:rStyle w:val="InstructionsTabelleberschrift"/>
                <w:rFonts w:ascii="Times New Roman" w:hAnsi="Times New Roman"/>
                <w:b w:val="0"/>
                <w:sz w:val="24"/>
                <w:u w:val="none"/>
              </w:rPr>
              <w:t xml:space="preserve">egulated savings </w:t>
            </w:r>
            <w:r w:rsidR="007F62B7">
              <w:rPr>
                <w:rStyle w:val="InstructionsTabelleberschrift"/>
                <w:rFonts w:ascii="Times New Roman" w:hAnsi="Times New Roman"/>
                <w:b w:val="0"/>
                <w:sz w:val="24"/>
                <w:u w:val="none"/>
              </w:rPr>
              <w:t xml:space="preserve">exposures </w:t>
            </w:r>
            <w:r>
              <w:rPr>
                <w:rStyle w:val="InstructionsTabelleberschrift"/>
                <w:rFonts w:ascii="Times New Roman" w:hAnsi="Times New Roman"/>
                <w:b w:val="0"/>
                <w:sz w:val="24"/>
                <w:u w:val="none"/>
              </w:rPr>
              <w:t>according</w:t>
            </w:r>
            <w:r w:rsidRPr="007D6714">
              <w:rPr>
                <w:rStyle w:val="InstructionsTabelleberschrift"/>
                <w:rFonts w:ascii="Times New Roman" w:hAnsi="Times New Roman"/>
                <w:b w:val="0"/>
                <w:sz w:val="24"/>
                <w:u w:val="none"/>
              </w:rPr>
              <w:t xml:space="preserve"> to Article 428f(2)</w:t>
            </w:r>
            <w:r w:rsidR="00774DA9">
              <w:rPr>
                <w:rStyle w:val="InstructionsTabelleberschrift"/>
                <w:rFonts w:ascii="Times New Roman" w:hAnsi="Times New Roman"/>
                <w:b w:val="0"/>
                <w:sz w:val="24"/>
                <w:u w:val="none"/>
              </w:rPr>
              <w:t xml:space="preserve">, </w:t>
            </w:r>
            <w:r w:rsidR="00774DA9" w:rsidRPr="007D6714">
              <w:rPr>
                <w:rStyle w:val="InstructionsTabelleberschrift"/>
                <w:rFonts w:ascii="Times New Roman" w:hAnsi="Times New Roman"/>
                <w:b w:val="0"/>
                <w:sz w:val="24"/>
                <w:u w:val="none"/>
              </w:rPr>
              <w:t>paragraph (a</w:t>
            </w:r>
            <w:r w:rsidRPr="007D6714">
              <w:rPr>
                <w:rStyle w:val="InstructionsTabelleberschrift"/>
                <w:rFonts w:ascii="Times New Roman" w:hAnsi="Times New Roman"/>
                <w:b w:val="0"/>
                <w:sz w:val="24"/>
                <w:u w:val="none"/>
              </w:rPr>
              <w:t xml:space="preserve">) of the CRR, but not limited to the centralised part, </w:t>
            </w:r>
            <w:r w:rsidR="007F62B7">
              <w:rPr>
                <w:rStyle w:val="InstructionsTabelleberschrift"/>
                <w:rFonts w:ascii="Times New Roman" w:hAnsi="Times New Roman"/>
                <w:b w:val="0"/>
                <w:sz w:val="24"/>
                <w:u w:val="none"/>
              </w:rPr>
              <w:t>or</w:t>
            </w:r>
            <w:r w:rsidRPr="007D6714">
              <w:rPr>
                <w:rStyle w:val="InstructionsTabelleberschrift"/>
                <w:rFonts w:ascii="Times New Roman" w:hAnsi="Times New Roman"/>
                <w:b w:val="0"/>
                <w:sz w:val="24"/>
                <w:u w:val="none"/>
              </w:rPr>
              <w:t xml:space="preserve"> those with material economic or fiscal constraints in case of </w:t>
            </w:r>
            <w:r w:rsidRPr="79ED9C3E">
              <w:rPr>
                <w:rStyle w:val="InstructionsTabelleberschrift"/>
                <w:rFonts w:ascii="Times New Roman" w:hAnsi="Times New Roman"/>
                <w:b w:val="0"/>
                <w:bCs w:val="0"/>
                <w:sz w:val="24"/>
                <w:u w:val="none"/>
              </w:rPr>
              <w:t>withdrawal</w:t>
            </w:r>
            <w:r w:rsidR="007F62B7">
              <w:rPr>
                <w:rStyle w:val="InstructionsTabelleberschrift"/>
                <w:rFonts w:ascii="Times New Roman" w:hAnsi="Times New Roman"/>
                <w:b w:val="0"/>
                <w:sz w:val="24"/>
                <w:u w:val="none"/>
              </w:rPr>
              <w:t xml:space="preserve">, for which the institution is not constraining </w:t>
            </w:r>
            <w:r w:rsidR="007F62B7" w:rsidRPr="00954BFA">
              <w:rPr>
                <w:rStyle w:val="InstructionsTabelleberschrift"/>
                <w:rFonts w:ascii="Times New Roman" w:eastAsia="Arial" w:hAnsi="Times New Roman"/>
                <w:b w:val="0"/>
                <w:color w:val="000000"/>
                <w:sz w:val="24"/>
                <w:u w:val="none"/>
                <w:lang w:eastAsia="en-GB"/>
              </w:rPr>
              <w:t>the maximum weighted average repricing date</w:t>
            </w:r>
            <w:r w:rsidR="007F62B7">
              <w:rPr>
                <w:rStyle w:val="InstructionsTabelleberschrift"/>
                <w:rFonts w:ascii="Times New Roman" w:hAnsi="Times New Roman"/>
                <w:b w:val="0"/>
                <w:sz w:val="24"/>
                <w:u w:val="none"/>
              </w:rPr>
              <w:t xml:space="preserve"> to 5 years</w:t>
            </w:r>
            <w:r w:rsidRPr="007D6714">
              <w:rPr>
                <w:rStyle w:val="InstructionsTabelleberschrift"/>
                <w:rFonts w:ascii="Times New Roman" w:hAnsi="Times New Roman"/>
                <w:b w:val="0"/>
                <w:sz w:val="24"/>
                <w:u w:val="none"/>
              </w:rPr>
              <w:t>.</w:t>
            </w:r>
          </w:p>
        </w:tc>
      </w:tr>
      <w:tr w:rsidR="00741F94" w:rsidRPr="00B32012" w14:paraId="06E3DF23" w14:textId="77777777" w:rsidTr="00466F09">
        <w:tc>
          <w:tcPr>
            <w:tcW w:w="1629" w:type="dxa"/>
            <w:tcBorders>
              <w:top w:val="single" w:sz="4" w:space="0" w:color="auto"/>
              <w:left w:val="single" w:sz="4" w:space="0" w:color="auto"/>
              <w:bottom w:val="single" w:sz="4" w:space="0" w:color="auto"/>
              <w:right w:val="single" w:sz="4" w:space="0" w:color="auto"/>
            </w:tcBorders>
          </w:tcPr>
          <w:p w14:paraId="35CB5B0E" w14:textId="5A234DD8" w:rsidR="00741F94" w:rsidRPr="00B32012" w:rsidRDefault="00B87C4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0310</w:t>
            </w:r>
          </w:p>
        </w:tc>
        <w:tc>
          <w:tcPr>
            <w:tcW w:w="7159" w:type="dxa"/>
            <w:tcBorders>
              <w:top w:val="single" w:sz="4" w:space="0" w:color="auto"/>
              <w:left w:val="single" w:sz="4" w:space="0" w:color="auto"/>
              <w:bottom w:val="single" w:sz="4" w:space="0" w:color="auto"/>
              <w:right w:val="single" w:sz="4" w:space="0" w:color="auto"/>
            </w:tcBorders>
            <w:hideMark/>
          </w:tcPr>
          <w:p w14:paraId="5570ED3E" w14:textId="16E7FC60" w:rsidR="00741F94" w:rsidRPr="00B32012" w:rsidRDefault="00CF0D44" w:rsidP="0001573B">
            <w:pPr>
              <w:pStyle w:val="InstructionsText"/>
              <w:rPr>
                <w:rStyle w:val="InstructionsTabelleberschrift"/>
                <w:rFonts w:ascii="Times New Roman" w:hAnsi="Times New Roman"/>
                <w:bCs w:val="0"/>
                <w:sz w:val="24"/>
              </w:rPr>
            </w:pPr>
            <w:r w:rsidRPr="00CF0D44">
              <w:rPr>
                <w:rStyle w:val="InstructionsTabelleberschrift"/>
                <w:rFonts w:ascii="Times New Roman" w:hAnsi="Times New Roman"/>
                <w:sz w:val="24"/>
              </w:rPr>
              <w:t>NMDs</w:t>
            </w:r>
            <w:r w:rsidR="00741F94" w:rsidRPr="00B32012">
              <w:rPr>
                <w:rStyle w:val="InstructionsTabelleberschrift"/>
                <w:rFonts w:ascii="Times New Roman" w:hAnsi="Times New Roman"/>
                <w:sz w:val="24"/>
              </w:rPr>
              <w:t xml:space="preserve">: Retail </w:t>
            </w:r>
            <w:r w:rsidR="00CC4070">
              <w:rPr>
                <w:rStyle w:val="InstructionsTabelleberschrift"/>
                <w:rFonts w:ascii="Times New Roman" w:hAnsi="Times New Roman"/>
                <w:sz w:val="24"/>
              </w:rPr>
              <w:t>n</w:t>
            </w:r>
            <w:r w:rsidR="00741F94" w:rsidRPr="00B32012">
              <w:rPr>
                <w:rStyle w:val="InstructionsTabelleberschrift"/>
                <w:rFonts w:ascii="Times New Roman" w:hAnsi="Times New Roman"/>
                <w:sz w:val="24"/>
              </w:rPr>
              <w:t>on-</w:t>
            </w:r>
            <w:r w:rsidR="00CC4070">
              <w:rPr>
                <w:rStyle w:val="InstructionsTabelleberschrift"/>
                <w:rFonts w:ascii="Times New Roman" w:hAnsi="Times New Roman"/>
                <w:sz w:val="24"/>
              </w:rPr>
              <w:t>t</w:t>
            </w:r>
            <w:r w:rsidR="00741F94" w:rsidRPr="00B32012">
              <w:rPr>
                <w:rStyle w:val="InstructionsTabelleberschrift"/>
                <w:rFonts w:ascii="Times New Roman" w:hAnsi="Times New Roman"/>
                <w:sz w:val="24"/>
              </w:rPr>
              <w:t>ransactional</w:t>
            </w:r>
          </w:p>
          <w:p w14:paraId="67DA1BF0" w14:textId="60DC89E7" w:rsidR="00FD0B8B" w:rsidRDefault="00FD0B8B" w:rsidP="0001573B">
            <w:pPr>
              <w:pStyle w:val="InstructionsText"/>
            </w:pPr>
            <w:r>
              <w:t xml:space="preserve">Retail non-maturity deposits held in a non-transactional account as defined </w:t>
            </w:r>
            <w:r w:rsidR="003218D7">
              <w:t xml:space="preserve">in </w:t>
            </w:r>
            <w:r>
              <w:t>Article 1, point 1</w:t>
            </w:r>
            <w:r w:rsidR="003218D7">
              <w:t xml:space="preserve"> (</w:t>
            </w:r>
            <w:r>
              <w:t>12</w:t>
            </w:r>
            <w:r w:rsidR="003218D7">
              <w:t>)</w:t>
            </w:r>
            <w:r>
              <w:t xml:space="preserve"> of the </w:t>
            </w:r>
            <w:r w:rsidRPr="00466F09">
              <w:rPr>
                <w:highlight w:val="lightGray"/>
              </w:rPr>
              <w:t>EBA RTS on SA</w:t>
            </w:r>
            <w:r>
              <w:t>.</w:t>
            </w:r>
          </w:p>
          <w:p w14:paraId="2CCF1716" w14:textId="34922C7F" w:rsidR="007F62B7" w:rsidRDefault="007F62B7" w:rsidP="0001573B">
            <w:pPr>
              <w:pStyle w:val="InstructionsText"/>
            </w:pPr>
            <w:r>
              <w:t xml:space="preserve">Other retail deposits which are not considered “Non-Maturity Deposits: Retail Transactions” shall be considered as held in a non-transactional account. </w:t>
            </w:r>
          </w:p>
          <w:p w14:paraId="684A5676" w14:textId="536F0AD6" w:rsidR="00741F94" w:rsidRPr="00B32012" w:rsidRDefault="007F62B7" w:rsidP="0001573B">
            <w:pPr>
              <w:pStyle w:val="InstructionsText"/>
              <w:rPr>
                <w:rStyle w:val="InstructionsTabelleberschrift"/>
                <w:rFonts w:ascii="Times New Roman" w:hAnsi="Times New Roman"/>
                <w:sz w:val="24"/>
              </w:rPr>
            </w:pPr>
            <w:r>
              <w:t>In particular, r</w:t>
            </w:r>
            <w:r w:rsidRPr="00B32012">
              <w:t>etail</w:t>
            </w:r>
            <w:r w:rsidR="00741F94" w:rsidRPr="00B32012">
              <w:t xml:space="preserve"> non-transactional deposits </w:t>
            </w:r>
            <w:r w:rsidR="001B2E7B">
              <w:t xml:space="preserve">shall </w:t>
            </w:r>
            <w:r w:rsidR="00741F94" w:rsidRPr="00B32012">
              <w:t>include retail accounts (including regulated ones) whose remuneration component is relevant in the client’s decision to hold money in the account.</w:t>
            </w:r>
          </w:p>
        </w:tc>
      </w:tr>
      <w:tr w:rsidR="00741F94" w:rsidRPr="00B32012" w14:paraId="7F317DA1" w14:textId="77777777" w:rsidTr="00466F09">
        <w:tc>
          <w:tcPr>
            <w:tcW w:w="1629" w:type="dxa"/>
            <w:tcBorders>
              <w:top w:val="single" w:sz="4" w:space="0" w:color="auto"/>
              <w:left w:val="single" w:sz="4" w:space="0" w:color="auto"/>
              <w:bottom w:val="single" w:sz="4" w:space="0" w:color="auto"/>
              <w:right w:val="single" w:sz="4" w:space="0" w:color="auto"/>
            </w:tcBorders>
          </w:tcPr>
          <w:p w14:paraId="6EF3F543" w14:textId="42F42E21" w:rsidR="00741F94" w:rsidRPr="00B32012" w:rsidRDefault="00B87C4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0350</w:t>
            </w:r>
          </w:p>
        </w:tc>
        <w:tc>
          <w:tcPr>
            <w:tcW w:w="7159" w:type="dxa"/>
            <w:tcBorders>
              <w:top w:val="single" w:sz="4" w:space="0" w:color="auto"/>
              <w:left w:val="single" w:sz="4" w:space="0" w:color="auto"/>
              <w:bottom w:val="single" w:sz="4" w:space="0" w:color="auto"/>
              <w:right w:val="single" w:sz="4" w:space="0" w:color="auto"/>
            </w:tcBorders>
            <w:hideMark/>
          </w:tcPr>
          <w:p w14:paraId="20150A58" w14:textId="70C34925" w:rsidR="00741F94" w:rsidRPr="00B32012" w:rsidRDefault="00CF0D44" w:rsidP="0001573B">
            <w:pPr>
              <w:pStyle w:val="InstructionsText"/>
              <w:rPr>
                <w:rStyle w:val="InstructionsTabelleberschrift"/>
                <w:rFonts w:ascii="Times New Roman" w:hAnsi="Times New Roman"/>
                <w:bCs w:val="0"/>
                <w:sz w:val="24"/>
              </w:rPr>
            </w:pPr>
            <w:r w:rsidRPr="00CF0D44">
              <w:rPr>
                <w:rStyle w:val="InstructionsTabelleberschrift"/>
                <w:rFonts w:ascii="Times New Roman" w:hAnsi="Times New Roman"/>
                <w:sz w:val="24"/>
              </w:rPr>
              <w:t>NMDs</w:t>
            </w:r>
            <w:r w:rsidR="00741F94" w:rsidRPr="00B32012">
              <w:rPr>
                <w:rStyle w:val="InstructionsTabelleberschrift"/>
                <w:rFonts w:ascii="Times New Roman" w:hAnsi="Times New Roman"/>
                <w:sz w:val="24"/>
              </w:rPr>
              <w:t>: Wholesale non-financial</w:t>
            </w:r>
          </w:p>
          <w:p w14:paraId="336B1647" w14:textId="55C9C1FF" w:rsidR="00FB21AB" w:rsidRDefault="008C6415" w:rsidP="0001573B">
            <w:pPr>
              <w:pStyle w:val="InstructionsText"/>
            </w:pPr>
            <w:r>
              <w:rPr>
                <w:rStyle w:val="InstructionsTabelleberschrift"/>
                <w:rFonts w:ascii="Times New Roman" w:hAnsi="Times New Roman"/>
                <w:b w:val="0"/>
                <w:bCs w:val="0"/>
                <w:sz w:val="24"/>
                <w:u w:val="none"/>
              </w:rPr>
              <w:t xml:space="preserve">Wholesale deposits </w:t>
            </w:r>
            <w:r>
              <w:t xml:space="preserve">as defined in Article 1, point 1 (13) of the </w:t>
            </w:r>
            <w:r w:rsidRPr="005B7BD6">
              <w:rPr>
                <w:highlight w:val="lightGray"/>
              </w:rPr>
              <w:t>EBA RTS on SA</w:t>
            </w:r>
            <w:r>
              <w:t xml:space="preserve"> which are NMDs from </w:t>
            </w:r>
            <w:r w:rsidR="002A6A09">
              <w:t xml:space="preserve">general governments and </w:t>
            </w:r>
            <w:r>
              <w:t xml:space="preserve">non-financial corporations (NFCs) as defined in </w:t>
            </w:r>
            <w:r w:rsidR="006952C4">
              <w:rPr>
                <w:rStyle w:val="InstructionsTabelleberschrift"/>
                <w:rFonts w:ascii="Times New Roman" w:hAnsi="Times New Roman"/>
                <w:b w:val="0"/>
                <w:bCs w:val="0"/>
                <w:sz w:val="24"/>
                <w:u w:val="none"/>
              </w:rPr>
              <w:t>p</w:t>
            </w:r>
            <w:r w:rsidR="00FB21AB">
              <w:rPr>
                <w:rStyle w:val="InstructionsTabelleberschrift"/>
                <w:rFonts w:ascii="Times New Roman" w:hAnsi="Times New Roman"/>
                <w:b w:val="0"/>
                <w:bCs w:val="0"/>
                <w:sz w:val="24"/>
                <w:u w:val="none"/>
              </w:rPr>
              <w:t>aragraph 42</w:t>
            </w:r>
            <w:r w:rsidR="00557CBB">
              <w:rPr>
                <w:rStyle w:val="InstructionsTabelleberschrift"/>
                <w:rFonts w:ascii="Times New Roman" w:hAnsi="Times New Roman"/>
                <w:b w:val="0"/>
                <w:bCs w:val="0"/>
                <w:sz w:val="24"/>
                <w:u w:val="none"/>
              </w:rPr>
              <w:t>, points</w:t>
            </w:r>
            <w:r w:rsidR="002A6A09">
              <w:rPr>
                <w:rStyle w:val="InstructionsTabelleberschrift"/>
                <w:rFonts w:ascii="Times New Roman" w:hAnsi="Times New Roman"/>
                <w:b w:val="0"/>
                <w:bCs w:val="0"/>
                <w:sz w:val="24"/>
                <w:u w:val="none"/>
              </w:rPr>
              <w:t xml:space="preserve"> (</w:t>
            </w:r>
            <w:r w:rsidR="00AE4AE4">
              <w:rPr>
                <w:rStyle w:val="InstructionsTabelleberschrift"/>
                <w:rFonts w:ascii="Times New Roman" w:hAnsi="Times New Roman"/>
                <w:b w:val="0"/>
                <w:bCs w:val="0"/>
                <w:sz w:val="24"/>
                <w:u w:val="none"/>
              </w:rPr>
              <w:t>b</w:t>
            </w:r>
            <w:r w:rsidR="002A6A09">
              <w:rPr>
                <w:rStyle w:val="InstructionsTabelleberschrift"/>
                <w:rFonts w:ascii="Times New Roman" w:hAnsi="Times New Roman"/>
                <w:b w:val="0"/>
                <w:bCs w:val="0"/>
                <w:sz w:val="24"/>
                <w:u w:val="none"/>
              </w:rPr>
              <w:t xml:space="preserve">) and </w:t>
            </w:r>
            <w:r w:rsidR="00FB21AB">
              <w:rPr>
                <w:rStyle w:val="InstructionsTabelleberschrift"/>
                <w:rFonts w:ascii="Times New Roman" w:hAnsi="Times New Roman"/>
                <w:b w:val="0"/>
                <w:bCs w:val="0"/>
                <w:sz w:val="24"/>
                <w:u w:val="none"/>
              </w:rPr>
              <w:t xml:space="preserve">(e) of </w:t>
            </w:r>
            <w:r w:rsidR="006952C4">
              <w:rPr>
                <w:rStyle w:val="InstructionsTabelleberschrift"/>
                <w:rFonts w:ascii="Times New Roman" w:hAnsi="Times New Roman"/>
                <w:b w:val="0"/>
                <w:bCs w:val="0"/>
                <w:sz w:val="24"/>
                <w:u w:val="none"/>
              </w:rPr>
              <w:t xml:space="preserve">Part 1 </w:t>
            </w:r>
            <w:r w:rsidR="00FB21AB">
              <w:rPr>
                <w:rStyle w:val="InstructionsTabelleberschrift"/>
                <w:rFonts w:ascii="Times New Roman" w:hAnsi="Times New Roman"/>
                <w:b w:val="0"/>
                <w:bCs w:val="0"/>
                <w:sz w:val="24"/>
                <w:u w:val="none"/>
              </w:rPr>
              <w:t xml:space="preserve">of Annex V of the ITS on supervisory reporting. </w:t>
            </w:r>
          </w:p>
          <w:p w14:paraId="623AA74F" w14:textId="0F4EC49D" w:rsidR="00741F94" w:rsidRPr="00B32012" w:rsidRDefault="00741F94" w:rsidP="0001573B">
            <w:pPr>
              <w:pStyle w:val="InstructionsText"/>
              <w:rPr>
                <w:rStyle w:val="InstructionsTabelleberschrift"/>
                <w:rFonts w:ascii="Times New Roman" w:hAnsi="Times New Roman"/>
                <w:sz w:val="24"/>
              </w:rPr>
            </w:pPr>
          </w:p>
        </w:tc>
      </w:tr>
      <w:tr w:rsidR="00741F94" w:rsidRPr="00B32012" w14:paraId="2FD9C326" w14:textId="77777777" w:rsidTr="00466F09">
        <w:tc>
          <w:tcPr>
            <w:tcW w:w="1629" w:type="dxa"/>
            <w:tcBorders>
              <w:top w:val="single" w:sz="4" w:space="0" w:color="auto"/>
              <w:left w:val="single" w:sz="4" w:space="0" w:color="auto"/>
              <w:bottom w:val="single" w:sz="4" w:space="0" w:color="auto"/>
              <w:right w:val="single" w:sz="4" w:space="0" w:color="auto"/>
            </w:tcBorders>
          </w:tcPr>
          <w:p w14:paraId="28AD73F7" w14:textId="3773B142" w:rsidR="00741F94" w:rsidRPr="00B32012" w:rsidRDefault="00B87C4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0390</w:t>
            </w:r>
          </w:p>
        </w:tc>
        <w:tc>
          <w:tcPr>
            <w:tcW w:w="7159" w:type="dxa"/>
            <w:tcBorders>
              <w:top w:val="single" w:sz="4" w:space="0" w:color="auto"/>
              <w:left w:val="single" w:sz="4" w:space="0" w:color="auto"/>
              <w:bottom w:val="single" w:sz="4" w:space="0" w:color="auto"/>
              <w:right w:val="single" w:sz="4" w:space="0" w:color="auto"/>
            </w:tcBorders>
            <w:hideMark/>
          </w:tcPr>
          <w:p w14:paraId="2146828E" w14:textId="3FA2459A" w:rsidR="00741F94" w:rsidRPr="008542CA" w:rsidRDefault="00CF0D44" w:rsidP="0001573B">
            <w:pPr>
              <w:pStyle w:val="InstructionsText"/>
              <w:rPr>
                <w:rStyle w:val="InstructionsTabelleberschrift"/>
                <w:rFonts w:ascii="Times New Roman" w:hAnsi="Times New Roman"/>
                <w:bCs w:val="0"/>
                <w:sz w:val="24"/>
              </w:rPr>
            </w:pPr>
            <w:r w:rsidRPr="008542CA">
              <w:rPr>
                <w:rStyle w:val="InstructionsTabelleberschrift"/>
                <w:rFonts w:ascii="Times New Roman" w:hAnsi="Times New Roman"/>
                <w:sz w:val="24"/>
              </w:rPr>
              <w:t>NMDs</w:t>
            </w:r>
            <w:r w:rsidR="00741F94" w:rsidRPr="008542CA">
              <w:rPr>
                <w:rStyle w:val="InstructionsTabelleberschrift"/>
                <w:rFonts w:ascii="Times New Roman" w:hAnsi="Times New Roman"/>
                <w:sz w:val="24"/>
              </w:rPr>
              <w:t>: Wholesale financial</w:t>
            </w:r>
          </w:p>
          <w:p w14:paraId="73C7ACC3" w14:textId="0B639E7E" w:rsidR="00F656A1" w:rsidRPr="007C40B0" w:rsidRDefault="008C6415" w:rsidP="007C40B0">
            <w:pPr>
              <w:spacing w:after="139"/>
              <w:ind w:right="66"/>
              <w:rPr>
                <w:lang w:val="en-US"/>
              </w:rPr>
            </w:pPr>
            <w:r w:rsidRPr="008542CA">
              <w:rPr>
                <w:rStyle w:val="InstructionsTabelleberschrift"/>
                <w:rFonts w:ascii="Times New Roman" w:hAnsi="Times New Roman"/>
                <w:b w:val="0"/>
                <w:bCs w:val="0"/>
                <w:sz w:val="24"/>
                <w:u w:val="none"/>
              </w:rPr>
              <w:t xml:space="preserve">Wholesale deposits </w:t>
            </w:r>
            <w:r w:rsidRPr="007C40B0">
              <w:rPr>
                <w:rFonts w:ascii="Times New Roman" w:hAnsi="Times New Roman"/>
                <w:sz w:val="24"/>
              </w:rPr>
              <w:t xml:space="preserve">as defined in Article 1, point 1 (13) of the </w:t>
            </w:r>
            <w:r w:rsidRPr="007C40B0">
              <w:rPr>
                <w:rFonts w:ascii="Times New Roman" w:hAnsi="Times New Roman"/>
                <w:sz w:val="24"/>
                <w:highlight w:val="lightGray"/>
              </w:rPr>
              <w:t>EBA RTS on SA</w:t>
            </w:r>
            <w:r w:rsidRPr="007C40B0">
              <w:rPr>
                <w:rFonts w:ascii="Times New Roman" w:hAnsi="Times New Roman"/>
                <w:sz w:val="24"/>
              </w:rPr>
              <w:t xml:space="preserve"> which are NMDs from counterparties according to paragraph 42</w:t>
            </w:r>
            <w:r w:rsidR="00FB21AB" w:rsidRPr="008542CA">
              <w:rPr>
                <w:rStyle w:val="InstructionsTabelleberschrift"/>
                <w:rFonts w:ascii="Times New Roman" w:hAnsi="Times New Roman"/>
                <w:b w:val="0"/>
                <w:bCs w:val="0"/>
                <w:sz w:val="24"/>
                <w:u w:val="none"/>
              </w:rPr>
              <w:t>(d)</w:t>
            </w:r>
            <w:r w:rsidR="00FB21AB" w:rsidRPr="008542CA">
              <w:rPr>
                <w:rStyle w:val="InstructionsTabelleberschrift"/>
                <w:rFonts w:ascii="Times New Roman" w:hAnsi="Times New Roman"/>
                <w:b w:val="0"/>
                <w:sz w:val="24"/>
                <w:u w:val="none"/>
              </w:rPr>
              <w:t xml:space="preserve">, </w:t>
            </w:r>
            <w:r w:rsidR="004F0284" w:rsidRPr="008542CA">
              <w:rPr>
                <w:rStyle w:val="InstructionsTabelleberschrift"/>
                <w:rFonts w:ascii="Times New Roman" w:hAnsi="Times New Roman"/>
                <w:b w:val="0"/>
                <w:sz w:val="24"/>
                <w:u w:val="none"/>
              </w:rPr>
              <w:t xml:space="preserve">of Part 1 of </w:t>
            </w:r>
            <w:r w:rsidR="00FB21AB" w:rsidRPr="008542CA">
              <w:rPr>
                <w:rStyle w:val="InstructionsTabelleberschrift"/>
                <w:rFonts w:ascii="Times New Roman" w:hAnsi="Times New Roman"/>
                <w:b w:val="0"/>
                <w:sz w:val="24"/>
                <w:u w:val="none"/>
              </w:rPr>
              <w:t>Annex V of the ITS on supervisory reporting.</w:t>
            </w:r>
            <w:r w:rsidR="00F656A1" w:rsidRPr="008542CA">
              <w:rPr>
                <w:rStyle w:val="InstructionsTabelleberschrift"/>
                <w:rFonts w:ascii="Times New Roman" w:hAnsi="Times New Roman"/>
                <w:b w:val="0"/>
                <w:sz w:val="24"/>
                <w:u w:val="none"/>
              </w:rPr>
              <w:t xml:space="preserve"> </w:t>
            </w:r>
          </w:p>
          <w:p w14:paraId="290B416D" w14:textId="2345C2A6" w:rsidR="00741F94" w:rsidRPr="008542CA" w:rsidRDefault="00741F94" w:rsidP="0001573B">
            <w:pPr>
              <w:pStyle w:val="InstructionsText"/>
              <w:rPr>
                <w:rStyle w:val="InstructionsTabelleberschrift"/>
                <w:rFonts w:ascii="Times New Roman" w:hAnsi="Times New Roman"/>
                <w:sz w:val="24"/>
              </w:rPr>
            </w:pPr>
          </w:p>
        </w:tc>
      </w:tr>
      <w:tr w:rsidR="00741F94" w:rsidRPr="00B32012" w14:paraId="627CF461" w14:textId="77777777" w:rsidTr="00466F09">
        <w:tc>
          <w:tcPr>
            <w:tcW w:w="1629" w:type="dxa"/>
            <w:tcBorders>
              <w:top w:val="single" w:sz="4" w:space="0" w:color="auto"/>
              <w:left w:val="single" w:sz="4" w:space="0" w:color="auto"/>
              <w:bottom w:val="single" w:sz="4" w:space="0" w:color="auto"/>
              <w:right w:val="single" w:sz="4" w:space="0" w:color="auto"/>
            </w:tcBorders>
          </w:tcPr>
          <w:p w14:paraId="50204665" w14:textId="36C23FAD" w:rsidR="00741F94" w:rsidRPr="00B32012" w:rsidRDefault="00B87C4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0410</w:t>
            </w:r>
          </w:p>
        </w:tc>
        <w:tc>
          <w:tcPr>
            <w:tcW w:w="7159" w:type="dxa"/>
            <w:tcBorders>
              <w:top w:val="single" w:sz="4" w:space="0" w:color="auto"/>
              <w:left w:val="single" w:sz="4" w:space="0" w:color="auto"/>
              <w:bottom w:val="single" w:sz="4" w:space="0" w:color="auto"/>
              <w:right w:val="single" w:sz="4" w:space="0" w:color="auto"/>
            </w:tcBorders>
            <w:hideMark/>
          </w:tcPr>
          <w:p w14:paraId="01397660" w14:textId="641CACDE" w:rsidR="00741F94" w:rsidRPr="008542CA" w:rsidRDefault="00741F94" w:rsidP="0001573B">
            <w:pPr>
              <w:pStyle w:val="InstructionsText"/>
              <w:rPr>
                <w:rStyle w:val="InstructionsTabelleberschrift"/>
                <w:rFonts w:ascii="Times New Roman" w:hAnsi="Times New Roman"/>
                <w:bCs w:val="0"/>
                <w:sz w:val="24"/>
              </w:rPr>
            </w:pPr>
            <w:r w:rsidRPr="008542CA">
              <w:rPr>
                <w:rStyle w:val="InstructionsTabelleberschrift"/>
                <w:rFonts w:ascii="Times New Roman" w:hAnsi="Times New Roman"/>
                <w:sz w:val="24"/>
              </w:rPr>
              <w:t xml:space="preserve">Of which: </w:t>
            </w:r>
            <w:r w:rsidR="003C2C8A" w:rsidRPr="008542CA">
              <w:rPr>
                <w:rStyle w:val="InstructionsTabelleberschrift"/>
                <w:rFonts w:ascii="Times New Roman" w:hAnsi="Times New Roman"/>
                <w:sz w:val="24"/>
              </w:rPr>
              <w:t>o</w:t>
            </w:r>
            <w:r w:rsidRPr="008542CA">
              <w:rPr>
                <w:rStyle w:val="InstructionsTabelleberschrift"/>
                <w:rFonts w:ascii="Times New Roman" w:hAnsi="Times New Roman"/>
                <w:sz w:val="24"/>
              </w:rPr>
              <w:t>perational deposits</w:t>
            </w:r>
          </w:p>
          <w:p w14:paraId="147EE0A6" w14:textId="401F66E4" w:rsidR="00741F94" w:rsidRPr="008542CA" w:rsidRDefault="00A852A4" w:rsidP="0001573B">
            <w:pPr>
              <w:pStyle w:val="InstructionsText"/>
              <w:rPr>
                <w:rStyle w:val="InstructionsTabelleberschrift"/>
                <w:rFonts w:ascii="Times New Roman" w:hAnsi="Times New Roman"/>
                <w:sz w:val="24"/>
              </w:rPr>
            </w:pPr>
            <w:r w:rsidRPr="008542CA">
              <w:t>NMDs that classify</w:t>
            </w:r>
            <w:r w:rsidR="00246EFA" w:rsidRPr="008542CA">
              <w:t xml:space="preserve"> as</w:t>
            </w:r>
            <w:r w:rsidRPr="008542CA">
              <w:t xml:space="preserve"> operational deposits according to Article 27(1)(a) of the Commission Delegated Regulation (EU) 2015/61</w:t>
            </w:r>
            <w:r w:rsidR="00491D20" w:rsidRPr="008542CA">
              <w:rPr>
                <w:rStyle w:val="FootnoteReference"/>
                <w:rFonts w:ascii="Times New Roman" w:hAnsi="Times New Roman"/>
                <w:sz w:val="24"/>
                <w:szCs w:val="24"/>
              </w:rPr>
              <w:footnoteReference w:id="7"/>
            </w:r>
            <w:r w:rsidRPr="008542CA">
              <w:t xml:space="preserve"> (LCR Delegated Regulation</w:t>
            </w:r>
            <w:r w:rsidR="000130F3" w:rsidRPr="008542CA">
              <w:t>).</w:t>
            </w:r>
          </w:p>
        </w:tc>
      </w:tr>
      <w:tr w:rsidR="00741F94" w:rsidRPr="00B32012" w14:paraId="42FD9774" w14:textId="77777777" w:rsidTr="00466F09">
        <w:tc>
          <w:tcPr>
            <w:tcW w:w="1629" w:type="dxa"/>
            <w:tcBorders>
              <w:top w:val="single" w:sz="4" w:space="0" w:color="auto"/>
              <w:left w:val="single" w:sz="4" w:space="0" w:color="auto"/>
              <w:bottom w:val="single" w:sz="4" w:space="0" w:color="auto"/>
              <w:right w:val="single" w:sz="4" w:space="0" w:color="auto"/>
            </w:tcBorders>
          </w:tcPr>
          <w:p w14:paraId="6EB81BCB" w14:textId="7804F10C" w:rsidR="00741F94" w:rsidRPr="00B32012" w:rsidRDefault="00ED57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0420</w:t>
            </w:r>
          </w:p>
        </w:tc>
        <w:tc>
          <w:tcPr>
            <w:tcW w:w="7159" w:type="dxa"/>
            <w:tcBorders>
              <w:top w:val="single" w:sz="4" w:space="0" w:color="auto"/>
              <w:left w:val="single" w:sz="4" w:space="0" w:color="auto"/>
              <w:bottom w:val="single" w:sz="4" w:space="0" w:color="auto"/>
              <w:right w:val="single" w:sz="4" w:space="0" w:color="auto"/>
            </w:tcBorders>
            <w:hideMark/>
          </w:tcPr>
          <w:p w14:paraId="280F2825" w14:textId="1D6FB1A6" w:rsidR="00741F94" w:rsidRPr="008542CA" w:rsidRDefault="00741F94" w:rsidP="0001573B">
            <w:pPr>
              <w:pStyle w:val="InstructionsText"/>
              <w:rPr>
                <w:rStyle w:val="InstructionsTabelleberschrift"/>
                <w:rFonts w:ascii="Times New Roman" w:hAnsi="Times New Roman"/>
                <w:bCs w:val="0"/>
                <w:sz w:val="24"/>
              </w:rPr>
            </w:pPr>
            <w:r w:rsidRPr="008542CA">
              <w:rPr>
                <w:rStyle w:val="InstructionsTabelleberschrift"/>
                <w:rFonts w:ascii="Times New Roman" w:hAnsi="Times New Roman"/>
                <w:sz w:val="24"/>
              </w:rPr>
              <w:t>Term deposits</w:t>
            </w:r>
          </w:p>
          <w:p w14:paraId="23926A1D" w14:textId="0D6A9F6B" w:rsidR="00741F94" w:rsidRPr="007C40B0" w:rsidRDefault="00741F94" w:rsidP="007C40B0">
            <w:pPr>
              <w:spacing w:after="139"/>
              <w:ind w:right="66"/>
              <w:rPr>
                <w:rStyle w:val="InstructionsTabelleberschrift"/>
                <w:rFonts w:ascii="Times New Roman" w:hAnsi="Times New Roman"/>
                <w:b w:val="0"/>
                <w:bCs w:val="0"/>
                <w:sz w:val="24"/>
                <w:u w:val="none"/>
                <w:lang w:val="en-US"/>
              </w:rPr>
            </w:pPr>
            <w:r w:rsidRPr="007C40B0">
              <w:rPr>
                <w:rFonts w:ascii="Times New Roman" w:hAnsi="Times New Roman"/>
                <w:sz w:val="24"/>
              </w:rPr>
              <w:t xml:space="preserve">Non-transferable deposits which </w:t>
            </w:r>
            <w:r w:rsidR="00AD18D0" w:rsidRPr="007C40B0">
              <w:rPr>
                <w:rFonts w:ascii="Times New Roman" w:hAnsi="Times New Roman"/>
                <w:sz w:val="24"/>
              </w:rPr>
              <w:t xml:space="preserve">the depositor is not allowed to withdraw </w:t>
            </w:r>
            <w:r w:rsidRPr="007C40B0">
              <w:rPr>
                <w:rFonts w:ascii="Times New Roman" w:hAnsi="Times New Roman"/>
                <w:sz w:val="24"/>
              </w:rPr>
              <w:t>before an</w:t>
            </w:r>
            <w:r w:rsidR="00AD18D0" w:rsidRPr="007C40B0">
              <w:rPr>
                <w:rFonts w:ascii="Times New Roman" w:hAnsi="Times New Roman"/>
                <w:sz w:val="24"/>
              </w:rPr>
              <w:t xml:space="preserve"> </w:t>
            </w:r>
            <w:r w:rsidRPr="007C40B0">
              <w:rPr>
                <w:rFonts w:ascii="Times New Roman" w:hAnsi="Times New Roman"/>
                <w:sz w:val="24"/>
              </w:rPr>
              <w:t xml:space="preserve">agreed </w:t>
            </w:r>
            <w:r w:rsidR="00AD18D0" w:rsidRPr="007C40B0">
              <w:rPr>
                <w:rFonts w:ascii="Times New Roman" w:hAnsi="Times New Roman"/>
                <w:sz w:val="24"/>
              </w:rPr>
              <w:t>maturity</w:t>
            </w:r>
            <w:r w:rsidRPr="007C40B0">
              <w:rPr>
                <w:rFonts w:ascii="Times New Roman" w:hAnsi="Times New Roman"/>
                <w:sz w:val="24"/>
              </w:rPr>
              <w:t xml:space="preserve"> or that can be </w:t>
            </w:r>
            <w:r w:rsidR="00AD18D0" w:rsidRPr="007C40B0">
              <w:rPr>
                <w:rFonts w:ascii="Times New Roman" w:hAnsi="Times New Roman"/>
                <w:sz w:val="24"/>
              </w:rPr>
              <w:t xml:space="preserve">early withdrawn </w:t>
            </w:r>
            <w:r w:rsidRPr="007C40B0">
              <w:rPr>
                <w:rFonts w:ascii="Times New Roman" w:hAnsi="Times New Roman"/>
                <w:sz w:val="24"/>
              </w:rPr>
              <w:t xml:space="preserve">provided that the </w:t>
            </w:r>
            <w:r w:rsidR="00AD18D0" w:rsidRPr="007C40B0">
              <w:rPr>
                <w:rFonts w:ascii="Times New Roman" w:hAnsi="Times New Roman"/>
                <w:sz w:val="24"/>
              </w:rPr>
              <w:t>depositor</w:t>
            </w:r>
            <w:r w:rsidRPr="007C40B0">
              <w:rPr>
                <w:rFonts w:ascii="Times New Roman" w:hAnsi="Times New Roman"/>
                <w:sz w:val="24"/>
              </w:rPr>
              <w:t xml:space="preserve"> is charged </w:t>
            </w:r>
            <w:r w:rsidR="009055E9" w:rsidRPr="007C40B0">
              <w:rPr>
                <w:rFonts w:ascii="Times New Roman" w:hAnsi="Times New Roman"/>
                <w:sz w:val="24"/>
              </w:rPr>
              <w:t>with early withdrawal (prepayment) costs and fees</w:t>
            </w:r>
            <w:r w:rsidRPr="007C40B0">
              <w:rPr>
                <w:rFonts w:ascii="Times New Roman" w:hAnsi="Times New Roman"/>
                <w:sz w:val="24"/>
              </w:rPr>
              <w:t xml:space="preserve">. This item </w:t>
            </w:r>
            <w:r w:rsidR="009F168E" w:rsidRPr="007C40B0">
              <w:rPr>
                <w:rFonts w:ascii="Times New Roman" w:hAnsi="Times New Roman"/>
                <w:sz w:val="24"/>
              </w:rPr>
              <w:t xml:space="preserve">shall </w:t>
            </w:r>
            <w:r w:rsidRPr="007C40B0">
              <w:rPr>
                <w:rFonts w:ascii="Times New Roman" w:hAnsi="Times New Roman"/>
                <w:sz w:val="24"/>
              </w:rPr>
              <w:t xml:space="preserve">include administratively regulated savings deposits where the maturity related criterion is not relevant. Although deposits with agreed maturity may feature the possibility of earlier redemption after prior notification, or may be redeemable on demand subject to certain penalties, these features </w:t>
            </w:r>
            <w:r w:rsidR="009F168E" w:rsidRPr="007C40B0">
              <w:rPr>
                <w:rFonts w:ascii="Times New Roman" w:hAnsi="Times New Roman"/>
                <w:sz w:val="24"/>
              </w:rPr>
              <w:t xml:space="preserve">shall </w:t>
            </w:r>
            <w:r w:rsidRPr="007C40B0">
              <w:rPr>
                <w:rFonts w:ascii="Times New Roman" w:hAnsi="Times New Roman"/>
                <w:sz w:val="24"/>
              </w:rPr>
              <w:t xml:space="preserve">not </w:t>
            </w:r>
            <w:r w:rsidR="009F168E" w:rsidRPr="007C40B0">
              <w:rPr>
                <w:rFonts w:ascii="Times New Roman" w:hAnsi="Times New Roman"/>
                <w:sz w:val="24"/>
              </w:rPr>
              <w:t xml:space="preserve">be </w:t>
            </w:r>
            <w:r w:rsidRPr="007C40B0">
              <w:rPr>
                <w:rFonts w:ascii="Times New Roman" w:hAnsi="Times New Roman"/>
                <w:sz w:val="24"/>
              </w:rPr>
              <w:t>considered to be relevant for classification purposes.</w:t>
            </w:r>
            <w:r w:rsidR="00C8137A" w:rsidRPr="007C40B0">
              <w:rPr>
                <w:rFonts w:ascii="Times New Roman" w:hAnsi="Times New Roman"/>
                <w:sz w:val="24"/>
              </w:rPr>
              <w:t xml:space="preserve"> </w:t>
            </w:r>
            <w:r w:rsidR="00C8137A" w:rsidRPr="007C40B0">
              <w:rPr>
                <w:rFonts w:ascii="Times New Roman" w:hAnsi="Times New Roman"/>
                <w:sz w:val="24"/>
                <w:lang w:val="en-US"/>
              </w:rPr>
              <w:t>This row shall not include exposures in rows 0220 and 0230.</w:t>
            </w:r>
          </w:p>
        </w:tc>
      </w:tr>
      <w:tr w:rsidR="00741F94" w:rsidRPr="00B32012" w14:paraId="228274A5" w14:textId="77777777" w:rsidTr="00466F09">
        <w:tc>
          <w:tcPr>
            <w:tcW w:w="1629" w:type="dxa"/>
            <w:tcBorders>
              <w:top w:val="single" w:sz="4" w:space="0" w:color="auto"/>
              <w:left w:val="single" w:sz="4" w:space="0" w:color="auto"/>
              <w:bottom w:val="single" w:sz="4" w:space="0" w:color="auto"/>
              <w:right w:val="single" w:sz="4" w:space="0" w:color="auto"/>
            </w:tcBorders>
          </w:tcPr>
          <w:p w14:paraId="15A80A78" w14:textId="447F46C1" w:rsidR="00741F94" w:rsidRPr="00B32012" w:rsidRDefault="00ED57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0440</w:t>
            </w:r>
          </w:p>
        </w:tc>
        <w:tc>
          <w:tcPr>
            <w:tcW w:w="7159" w:type="dxa"/>
            <w:tcBorders>
              <w:top w:val="single" w:sz="4" w:space="0" w:color="auto"/>
              <w:left w:val="single" w:sz="4" w:space="0" w:color="auto"/>
              <w:bottom w:val="single" w:sz="4" w:space="0" w:color="auto"/>
              <w:right w:val="single" w:sz="4" w:space="0" w:color="auto"/>
            </w:tcBorders>
            <w:hideMark/>
          </w:tcPr>
          <w:p w14:paraId="6AA66273" w14:textId="77777777" w:rsidR="00741F94" w:rsidRPr="00B32012" w:rsidRDefault="00741F94" w:rsidP="0001573B">
            <w:pPr>
              <w:pStyle w:val="InstructionsText"/>
              <w:rPr>
                <w:rStyle w:val="InstructionsTabelleberschrift"/>
                <w:rFonts w:ascii="Times New Roman" w:hAnsi="Times New Roman"/>
                <w:sz w:val="24"/>
              </w:rPr>
            </w:pPr>
            <w:r w:rsidRPr="00B32012">
              <w:rPr>
                <w:rStyle w:val="InstructionsTabelleberschrift"/>
                <w:rFonts w:ascii="Times New Roman" w:hAnsi="Times New Roman"/>
                <w:sz w:val="24"/>
              </w:rPr>
              <w:t>Retail</w:t>
            </w:r>
          </w:p>
          <w:p w14:paraId="3FB974F9" w14:textId="37CFC154" w:rsidR="004233B3" w:rsidRDefault="00741F94" w:rsidP="0001573B">
            <w:pPr>
              <w:pStyle w:val="InstructionsText"/>
              <w:rPr>
                <w:b/>
              </w:rPr>
            </w:pPr>
            <w:r w:rsidRPr="00D77B35">
              <w:rPr>
                <w:rStyle w:val="InstructionsTabelleberschrift"/>
                <w:rFonts w:ascii="Times New Roman" w:hAnsi="Times New Roman"/>
                <w:b w:val="0"/>
                <w:bCs w:val="0"/>
                <w:sz w:val="24"/>
                <w:u w:val="none"/>
              </w:rPr>
              <w:t>This row shall include term deposit</w:t>
            </w:r>
            <w:r w:rsidR="006C72AE">
              <w:rPr>
                <w:rStyle w:val="InstructionsTabelleberschrift"/>
                <w:rFonts w:ascii="Times New Roman" w:hAnsi="Times New Roman"/>
                <w:b w:val="0"/>
                <w:bCs w:val="0"/>
                <w:sz w:val="24"/>
                <w:u w:val="none"/>
              </w:rPr>
              <w:t>s</w:t>
            </w:r>
            <w:r w:rsidRPr="00D77B35">
              <w:rPr>
                <w:rStyle w:val="InstructionsTabelleberschrift"/>
                <w:rFonts w:ascii="Times New Roman" w:hAnsi="Times New Roman"/>
                <w:b w:val="0"/>
                <w:bCs w:val="0"/>
                <w:sz w:val="24"/>
                <w:u w:val="none"/>
              </w:rPr>
              <w:t xml:space="preserve"> from retail customers</w:t>
            </w:r>
            <w:r w:rsidR="004233B3" w:rsidRPr="001A4878">
              <w:rPr>
                <w:b/>
              </w:rPr>
              <w:t xml:space="preserve">. </w:t>
            </w:r>
          </w:p>
          <w:p w14:paraId="0C1BD336" w14:textId="2ED77CC9" w:rsidR="00741F94" w:rsidRPr="00D77B35" w:rsidRDefault="00741F94" w:rsidP="0001573B">
            <w:pPr>
              <w:pStyle w:val="InstructionsText"/>
              <w:rPr>
                <w:rStyle w:val="InstructionsTabelleberschrift"/>
                <w:rFonts w:ascii="Times New Roman" w:hAnsi="Times New Roman"/>
                <w:b w:val="0"/>
                <w:bCs w:val="0"/>
                <w:sz w:val="24"/>
                <w:u w:val="none"/>
              </w:rPr>
            </w:pPr>
          </w:p>
        </w:tc>
      </w:tr>
      <w:tr w:rsidR="00741F94" w:rsidRPr="00B32012" w14:paraId="3917CDEB" w14:textId="77777777" w:rsidTr="00466F09">
        <w:tc>
          <w:tcPr>
            <w:tcW w:w="1629" w:type="dxa"/>
            <w:tcBorders>
              <w:top w:val="single" w:sz="4" w:space="0" w:color="auto"/>
              <w:left w:val="single" w:sz="4" w:space="0" w:color="auto"/>
              <w:bottom w:val="single" w:sz="4" w:space="0" w:color="auto"/>
              <w:right w:val="single" w:sz="4" w:space="0" w:color="auto"/>
            </w:tcBorders>
          </w:tcPr>
          <w:p w14:paraId="01C18FFF" w14:textId="009EF5A1" w:rsidR="00741F94" w:rsidRPr="00B32012" w:rsidRDefault="00ED57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0450</w:t>
            </w:r>
          </w:p>
        </w:tc>
        <w:tc>
          <w:tcPr>
            <w:tcW w:w="7159" w:type="dxa"/>
            <w:tcBorders>
              <w:top w:val="single" w:sz="4" w:space="0" w:color="auto"/>
              <w:left w:val="single" w:sz="4" w:space="0" w:color="auto"/>
              <w:bottom w:val="single" w:sz="4" w:space="0" w:color="auto"/>
              <w:right w:val="single" w:sz="4" w:space="0" w:color="auto"/>
            </w:tcBorders>
            <w:hideMark/>
          </w:tcPr>
          <w:p w14:paraId="79BDE9FF" w14:textId="77777777"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Wholesale non-financial</w:t>
            </w:r>
          </w:p>
          <w:p w14:paraId="0429A193" w14:textId="2BE1783B" w:rsidR="00AB4CE3" w:rsidRDefault="00AB4CE3" w:rsidP="0001573B">
            <w:pPr>
              <w:pStyle w:val="InstructionsText"/>
            </w:pPr>
            <w:r w:rsidRPr="00B32012">
              <w:t xml:space="preserve">Term deposits from wholesale </w:t>
            </w:r>
            <w:r>
              <w:t>non-</w:t>
            </w:r>
            <w:r w:rsidRPr="00B32012">
              <w:t>financial clients</w:t>
            </w:r>
            <w:r>
              <w:t>.</w:t>
            </w:r>
          </w:p>
          <w:p w14:paraId="0A231482" w14:textId="68C3675D" w:rsidR="00894CF8" w:rsidRDefault="00894CF8" w:rsidP="0001573B">
            <w:pPr>
              <w:pStyle w:val="InstructionsText"/>
            </w:pPr>
            <w:r>
              <w:rPr>
                <w:rStyle w:val="InstructionsTabelleberschrift"/>
                <w:rFonts w:ascii="Times New Roman" w:hAnsi="Times New Roman"/>
                <w:b w:val="0"/>
                <w:bCs w:val="0"/>
                <w:sz w:val="24"/>
                <w:u w:val="none"/>
              </w:rPr>
              <w:t xml:space="preserve">Wholesale deposits </w:t>
            </w:r>
            <w:r>
              <w:t xml:space="preserve">as defined in Article 1, point 1 (13) of the </w:t>
            </w:r>
            <w:r w:rsidRPr="007C40B0">
              <w:rPr>
                <w:highlight w:val="lightGray"/>
              </w:rPr>
              <w:t>EBA RTS on SA</w:t>
            </w:r>
            <w:r>
              <w:t xml:space="preserve"> which are </w:t>
            </w:r>
            <w:r w:rsidR="005740BA">
              <w:t xml:space="preserve">deposits other than </w:t>
            </w:r>
            <w:r>
              <w:t>NMDs from</w:t>
            </w:r>
            <w:r w:rsidR="00180F2A">
              <w:t xml:space="preserve"> general governments and</w:t>
            </w:r>
            <w:r>
              <w:t xml:space="preserve"> NFCs as defined in</w:t>
            </w:r>
            <w:r>
              <w:rPr>
                <w:rStyle w:val="InstructionsTabelleberschrift"/>
                <w:rFonts w:ascii="Times New Roman" w:hAnsi="Times New Roman"/>
                <w:b w:val="0"/>
                <w:sz w:val="24"/>
                <w:u w:val="none"/>
              </w:rPr>
              <w:t xml:space="preserve"> </w:t>
            </w:r>
            <w:r w:rsidR="00791DF7">
              <w:rPr>
                <w:rStyle w:val="InstructionsTabelleberschrift"/>
                <w:rFonts w:ascii="Times New Roman" w:hAnsi="Times New Roman"/>
                <w:b w:val="0"/>
                <w:bCs w:val="0"/>
                <w:sz w:val="24"/>
                <w:u w:val="none"/>
              </w:rPr>
              <w:t>p</w:t>
            </w:r>
            <w:r>
              <w:rPr>
                <w:rStyle w:val="InstructionsTabelleberschrift"/>
                <w:rFonts w:ascii="Times New Roman" w:hAnsi="Times New Roman"/>
                <w:b w:val="0"/>
                <w:bCs w:val="0"/>
                <w:sz w:val="24"/>
                <w:u w:val="none"/>
              </w:rPr>
              <w:t>aragraph 42</w:t>
            </w:r>
            <w:r w:rsidR="00CE4AA1">
              <w:rPr>
                <w:rStyle w:val="InstructionsTabelleberschrift"/>
                <w:rFonts w:ascii="Times New Roman" w:hAnsi="Times New Roman"/>
                <w:b w:val="0"/>
                <w:bCs w:val="0"/>
                <w:sz w:val="24"/>
                <w:u w:val="none"/>
              </w:rPr>
              <w:t>, points</w:t>
            </w:r>
            <w:r>
              <w:rPr>
                <w:rStyle w:val="InstructionsTabelleberschrift"/>
                <w:rFonts w:ascii="Times New Roman" w:hAnsi="Times New Roman"/>
                <w:b w:val="0"/>
                <w:bCs w:val="0"/>
                <w:sz w:val="24"/>
                <w:u w:val="none"/>
              </w:rPr>
              <w:t xml:space="preserve"> </w:t>
            </w:r>
            <w:r w:rsidR="008C1F56">
              <w:rPr>
                <w:rStyle w:val="InstructionsTabelleberschrift"/>
                <w:rFonts w:ascii="Times New Roman" w:hAnsi="Times New Roman"/>
                <w:b w:val="0"/>
                <w:bCs w:val="0"/>
                <w:sz w:val="24"/>
                <w:u w:val="none"/>
              </w:rPr>
              <w:t xml:space="preserve">(b) and </w:t>
            </w:r>
            <w:r>
              <w:rPr>
                <w:rStyle w:val="InstructionsTabelleberschrift"/>
                <w:rFonts w:ascii="Times New Roman" w:hAnsi="Times New Roman"/>
                <w:b w:val="0"/>
                <w:bCs w:val="0"/>
                <w:sz w:val="24"/>
                <w:u w:val="none"/>
              </w:rPr>
              <w:t xml:space="preserve">(e) of </w:t>
            </w:r>
            <w:r w:rsidR="00791DF7">
              <w:rPr>
                <w:rStyle w:val="InstructionsTabelleberschrift"/>
                <w:rFonts w:ascii="Times New Roman" w:hAnsi="Times New Roman"/>
                <w:b w:val="0"/>
                <w:bCs w:val="0"/>
                <w:sz w:val="24"/>
                <w:u w:val="none"/>
              </w:rPr>
              <w:t xml:space="preserve">Part 1 of </w:t>
            </w:r>
            <w:r>
              <w:rPr>
                <w:rStyle w:val="InstructionsTabelleberschrift"/>
                <w:rFonts w:ascii="Times New Roman" w:hAnsi="Times New Roman"/>
                <w:b w:val="0"/>
                <w:bCs w:val="0"/>
                <w:sz w:val="24"/>
                <w:u w:val="none"/>
              </w:rPr>
              <w:t xml:space="preserve">Annex V of the ITS on supervisory reporting. </w:t>
            </w:r>
          </w:p>
          <w:p w14:paraId="05C6DCF8" w14:textId="077DD1DC" w:rsidR="00741F94" w:rsidRPr="00B32012" w:rsidRDefault="00741F94" w:rsidP="0001573B">
            <w:pPr>
              <w:pStyle w:val="InstructionsText"/>
              <w:rPr>
                <w:rStyle w:val="InstructionsTabelleberschrift"/>
                <w:rFonts w:ascii="Times New Roman" w:hAnsi="Times New Roman"/>
                <w:sz w:val="24"/>
              </w:rPr>
            </w:pPr>
          </w:p>
        </w:tc>
      </w:tr>
      <w:tr w:rsidR="00741F94" w:rsidRPr="00B32012" w14:paraId="7A8A6871" w14:textId="77777777" w:rsidTr="00466F09">
        <w:tc>
          <w:tcPr>
            <w:tcW w:w="1629" w:type="dxa"/>
            <w:tcBorders>
              <w:top w:val="single" w:sz="4" w:space="0" w:color="auto"/>
              <w:left w:val="single" w:sz="4" w:space="0" w:color="auto"/>
              <w:bottom w:val="single" w:sz="4" w:space="0" w:color="auto"/>
              <w:right w:val="single" w:sz="4" w:space="0" w:color="auto"/>
            </w:tcBorders>
          </w:tcPr>
          <w:p w14:paraId="61437035" w14:textId="461D4C90" w:rsidR="00741F94" w:rsidRPr="00B32012" w:rsidRDefault="00ED57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0460</w:t>
            </w:r>
          </w:p>
        </w:tc>
        <w:tc>
          <w:tcPr>
            <w:tcW w:w="7159" w:type="dxa"/>
            <w:tcBorders>
              <w:top w:val="single" w:sz="4" w:space="0" w:color="auto"/>
              <w:left w:val="single" w:sz="4" w:space="0" w:color="auto"/>
              <w:bottom w:val="single" w:sz="4" w:space="0" w:color="auto"/>
              <w:right w:val="single" w:sz="4" w:space="0" w:color="auto"/>
            </w:tcBorders>
            <w:hideMark/>
          </w:tcPr>
          <w:p w14:paraId="7334982A" w14:textId="77777777" w:rsidR="00741F94" w:rsidRPr="00B32012" w:rsidRDefault="00741F94" w:rsidP="0001573B">
            <w:pPr>
              <w:pStyle w:val="InstructionsText"/>
              <w:rPr>
                <w:rStyle w:val="InstructionsTabelleberschrift"/>
                <w:rFonts w:ascii="Times New Roman" w:hAnsi="Times New Roman"/>
                <w:bCs w:val="0"/>
                <w:sz w:val="24"/>
              </w:rPr>
            </w:pPr>
            <w:r w:rsidRPr="00B32012">
              <w:rPr>
                <w:rStyle w:val="InstructionsTabelleberschrift"/>
                <w:rFonts w:ascii="Times New Roman" w:hAnsi="Times New Roman"/>
                <w:sz w:val="24"/>
              </w:rPr>
              <w:t>Wholesale financial</w:t>
            </w:r>
          </w:p>
          <w:p w14:paraId="0EAB8936" w14:textId="77777777" w:rsidR="00741F94" w:rsidRPr="00A7231D" w:rsidRDefault="00741F94" w:rsidP="0001573B">
            <w:pPr>
              <w:pStyle w:val="InstructionsText"/>
            </w:pPr>
            <w:r w:rsidRPr="00A7231D">
              <w:t>Term deposits from wholesale financial clients</w:t>
            </w:r>
            <w:r w:rsidR="00654B28" w:rsidRPr="00A7231D">
              <w:t>.</w:t>
            </w:r>
          </w:p>
          <w:p w14:paraId="43BE6736" w14:textId="77670601" w:rsidR="00894CF8" w:rsidRPr="00C40D23" w:rsidRDefault="00894CF8" w:rsidP="007C40B0">
            <w:pPr>
              <w:spacing w:after="139"/>
              <w:ind w:right="66"/>
              <w:rPr>
                <w:rStyle w:val="InstructionsTabelleberschrift"/>
                <w:rFonts w:ascii="Times New Roman" w:hAnsi="Times New Roman"/>
                <w:b w:val="0"/>
                <w:sz w:val="24"/>
                <w:u w:val="none"/>
                <w:lang w:val="en-US"/>
              </w:rPr>
            </w:pPr>
            <w:r w:rsidRPr="00A7231D">
              <w:rPr>
                <w:rStyle w:val="InstructionsTabelleberschrift"/>
                <w:rFonts w:ascii="Times New Roman" w:hAnsi="Times New Roman"/>
                <w:b w:val="0"/>
                <w:bCs w:val="0"/>
                <w:sz w:val="24"/>
                <w:u w:val="none"/>
              </w:rPr>
              <w:t xml:space="preserve">Wholesale deposits </w:t>
            </w:r>
            <w:r w:rsidRPr="007C40B0">
              <w:rPr>
                <w:rFonts w:ascii="Times New Roman" w:hAnsi="Times New Roman"/>
                <w:sz w:val="24"/>
              </w:rPr>
              <w:t xml:space="preserve">as defined in Article 1, point 1 (13) of the </w:t>
            </w:r>
            <w:r w:rsidRPr="007C40B0">
              <w:rPr>
                <w:rFonts w:ascii="Times New Roman" w:hAnsi="Times New Roman"/>
                <w:sz w:val="24"/>
                <w:highlight w:val="lightGray"/>
              </w:rPr>
              <w:t>EBA RTS on SA</w:t>
            </w:r>
            <w:r w:rsidRPr="007C40B0">
              <w:rPr>
                <w:rFonts w:ascii="Times New Roman" w:hAnsi="Times New Roman"/>
                <w:sz w:val="24"/>
              </w:rPr>
              <w:t xml:space="preserve"> which are</w:t>
            </w:r>
            <w:r>
              <w:t xml:space="preserve"> </w:t>
            </w:r>
            <w:r w:rsidR="008143BC" w:rsidRPr="008143BC">
              <w:rPr>
                <w:rFonts w:ascii="Times New Roman" w:hAnsi="Times New Roman"/>
                <w:sz w:val="24"/>
              </w:rPr>
              <w:t>deposits other than</w:t>
            </w:r>
            <w:r w:rsidRPr="007C40B0">
              <w:rPr>
                <w:rFonts w:ascii="Times New Roman" w:hAnsi="Times New Roman"/>
                <w:sz w:val="24"/>
              </w:rPr>
              <w:t xml:space="preserve"> NMDs from counterparties according to paragraph 42</w:t>
            </w:r>
            <w:r w:rsidRPr="00A7231D">
              <w:rPr>
                <w:rStyle w:val="InstructionsTabelleberschrift"/>
                <w:rFonts w:ascii="Times New Roman" w:hAnsi="Times New Roman"/>
                <w:b w:val="0"/>
                <w:bCs w:val="0"/>
                <w:sz w:val="24"/>
                <w:u w:val="none"/>
              </w:rPr>
              <w:t>(d)</w:t>
            </w:r>
            <w:r w:rsidRPr="00A7231D">
              <w:rPr>
                <w:rStyle w:val="InstructionsTabelleberschrift"/>
                <w:rFonts w:ascii="Times New Roman" w:hAnsi="Times New Roman"/>
                <w:b w:val="0"/>
                <w:sz w:val="24"/>
                <w:u w:val="none"/>
              </w:rPr>
              <w:t xml:space="preserve">, </w:t>
            </w:r>
            <w:r w:rsidR="00791DF7" w:rsidRPr="00A7231D">
              <w:rPr>
                <w:rStyle w:val="InstructionsTabelleberschrift"/>
                <w:rFonts w:ascii="Times New Roman" w:hAnsi="Times New Roman"/>
                <w:b w:val="0"/>
                <w:sz w:val="24"/>
                <w:u w:val="none"/>
              </w:rPr>
              <w:t xml:space="preserve">of Part 1 of </w:t>
            </w:r>
            <w:r w:rsidRPr="00A7231D">
              <w:rPr>
                <w:rStyle w:val="InstructionsTabelleberschrift"/>
                <w:rFonts w:ascii="Times New Roman" w:hAnsi="Times New Roman"/>
                <w:b w:val="0"/>
                <w:sz w:val="24"/>
                <w:u w:val="none"/>
              </w:rPr>
              <w:t>Annex V of the ITS on supervisory reporting.</w:t>
            </w:r>
            <w:r w:rsidR="00CE3686" w:rsidRPr="00A7231D">
              <w:rPr>
                <w:rStyle w:val="InstructionsTabelleberschrift"/>
                <w:rFonts w:ascii="Times New Roman" w:hAnsi="Times New Roman"/>
                <w:b w:val="0"/>
                <w:sz w:val="24"/>
                <w:u w:val="none"/>
              </w:rPr>
              <w:t xml:space="preserve"> </w:t>
            </w:r>
          </w:p>
        </w:tc>
      </w:tr>
      <w:tr w:rsidR="00A4472C" w:rsidRPr="00B32012" w:rsidDel="00576E55" w14:paraId="0ED788F2" w14:textId="77777777" w:rsidTr="00466F09">
        <w:tc>
          <w:tcPr>
            <w:tcW w:w="1629" w:type="dxa"/>
            <w:tcBorders>
              <w:top w:val="single" w:sz="4" w:space="0" w:color="auto"/>
              <w:left w:val="single" w:sz="4" w:space="0" w:color="auto"/>
              <w:bottom w:val="single" w:sz="4" w:space="0" w:color="auto"/>
              <w:right w:val="single" w:sz="4" w:space="0" w:color="auto"/>
            </w:tcBorders>
          </w:tcPr>
          <w:p w14:paraId="03AD6ABD" w14:textId="164CA0CD" w:rsidR="00A4472C" w:rsidDel="00576E55" w:rsidRDefault="00ED57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0470</w:t>
            </w:r>
          </w:p>
        </w:tc>
        <w:tc>
          <w:tcPr>
            <w:tcW w:w="7159" w:type="dxa"/>
            <w:tcBorders>
              <w:top w:val="single" w:sz="4" w:space="0" w:color="auto"/>
              <w:left w:val="single" w:sz="4" w:space="0" w:color="auto"/>
              <w:bottom w:val="single" w:sz="4" w:space="0" w:color="auto"/>
              <w:right w:val="single" w:sz="4" w:space="0" w:color="auto"/>
            </w:tcBorders>
          </w:tcPr>
          <w:p w14:paraId="1B5B172E" w14:textId="77777777" w:rsidR="00A4472C" w:rsidRDefault="00217CA0"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Derivatives hedging liabilities</w:t>
            </w:r>
          </w:p>
          <w:p w14:paraId="2EE47E8C" w14:textId="3A6643AF" w:rsidR="00A4472C" w:rsidRPr="00851D1D" w:rsidDel="00576E55" w:rsidRDefault="0032170D"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bCs w:val="0"/>
                <w:sz w:val="24"/>
                <w:u w:val="none"/>
              </w:rPr>
              <w:t xml:space="preserve">Derivatives in accordance with </w:t>
            </w:r>
            <w:r w:rsidRPr="003F3D6D">
              <w:rPr>
                <w:rStyle w:val="InstructionsTabelleberschrift"/>
                <w:rFonts w:ascii="Times New Roman" w:hAnsi="Times New Roman"/>
                <w:b w:val="0"/>
                <w:bCs w:val="0"/>
                <w:sz w:val="24"/>
                <w:u w:val="none"/>
              </w:rPr>
              <w:t>Article 2(1</w:t>
            </w:r>
            <w:r w:rsidRPr="00A6215F">
              <w:rPr>
                <w:rStyle w:val="InstructionsTabelleberschrift"/>
                <w:rFonts w:ascii="Times New Roman" w:hAnsi="Times New Roman"/>
                <w:b w:val="0"/>
                <w:bCs w:val="0"/>
                <w:sz w:val="24"/>
                <w:u w:val="none"/>
              </w:rPr>
              <w:t>)</w:t>
            </w:r>
            <w:r w:rsidR="003A1178">
              <w:rPr>
                <w:rStyle w:val="InstructionsTabelleberschrift"/>
                <w:rFonts w:ascii="Times New Roman" w:hAnsi="Times New Roman"/>
                <w:b w:val="0"/>
                <w:bCs w:val="0"/>
                <w:sz w:val="24"/>
                <w:u w:val="none"/>
              </w:rPr>
              <w:t>, point (29</w:t>
            </w:r>
            <w:r w:rsidRPr="003F3D6D">
              <w:rPr>
                <w:rStyle w:val="InstructionsTabelleberschrift"/>
                <w:rFonts w:ascii="Times New Roman" w:hAnsi="Times New Roman"/>
                <w:b w:val="0"/>
                <w:bCs w:val="0"/>
                <w:sz w:val="24"/>
                <w:u w:val="none"/>
              </w:rPr>
              <w:t>) of Regulation (EU) No 600/2014 of the European Parliament and of the Council</w:t>
            </w:r>
            <w:r w:rsidRPr="001F2F4B">
              <w:rPr>
                <w:rStyle w:val="InstructionsTabelleberschrift"/>
                <w:rFonts w:ascii="Times New Roman" w:hAnsi="Times New Roman"/>
                <w:b w:val="0"/>
                <w:bCs w:val="0"/>
                <w:sz w:val="24"/>
                <w:u w:val="none"/>
              </w:rPr>
              <w:t>.</w:t>
            </w:r>
            <w:r>
              <w:rPr>
                <w:rStyle w:val="InstructionsTabelleberschrift"/>
                <w:rFonts w:ascii="Times New Roman" w:hAnsi="Times New Roman"/>
                <w:sz w:val="24"/>
                <w:u w:val="none"/>
              </w:rPr>
              <w:t xml:space="preserve"> </w:t>
            </w:r>
            <w:r w:rsidRPr="000A67F9">
              <w:rPr>
                <w:rStyle w:val="InstructionsTabelleberschrift"/>
                <w:rFonts w:ascii="Times New Roman" w:hAnsi="Times New Roman"/>
                <w:b w:val="0"/>
                <w:bCs w:val="0"/>
                <w:sz w:val="24"/>
                <w:u w:val="none"/>
              </w:rPr>
              <w:t xml:space="preserve">Institutions </w:t>
            </w:r>
            <w:r w:rsidRPr="00755ABF">
              <w:t xml:space="preserve">shall </w:t>
            </w:r>
            <w:r>
              <w:t>report</w:t>
            </w:r>
            <w:r w:rsidRPr="00755ABF">
              <w:t xml:space="preserve"> derivatives held </w:t>
            </w:r>
            <w:r w:rsidR="008A50EB">
              <w:t>under</w:t>
            </w:r>
            <w:r w:rsidRPr="00755ABF">
              <w:t xml:space="preserve"> hedge accounting </w:t>
            </w:r>
            <w:r w:rsidR="008A50EB">
              <w:t xml:space="preserve">regime, </w:t>
            </w:r>
            <w:r w:rsidRPr="00755ABF">
              <w:t xml:space="preserve">under </w:t>
            </w:r>
            <w:r>
              <w:t>the applicable accounting framework</w:t>
            </w:r>
            <w:r w:rsidR="008A50EB">
              <w:t>, being the hedged item an interest rate sensitive liability.</w:t>
            </w:r>
          </w:p>
        </w:tc>
      </w:tr>
      <w:tr w:rsidR="00912ADD" w:rsidRPr="00B32012" w:rsidDel="00576E55" w14:paraId="044CCDA5" w14:textId="77777777" w:rsidTr="00466F09">
        <w:tc>
          <w:tcPr>
            <w:tcW w:w="1629" w:type="dxa"/>
            <w:tcBorders>
              <w:top w:val="single" w:sz="4" w:space="0" w:color="auto"/>
              <w:left w:val="single" w:sz="4" w:space="0" w:color="auto"/>
              <w:bottom w:val="single" w:sz="4" w:space="0" w:color="auto"/>
              <w:right w:val="single" w:sz="4" w:space="0" w:color="auto"/>
            </w:tcBorders>
          </w:tcPr>
          <w:p w14:paraId="00014BBF" w14:textId="68A39A56" w:rsidR="00912ADD" w:rsidRDefault="00ED57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0490</w:t>
            </w:r>
          </w:p>
        </w:tc>
        <w:tc>
          <w:tcPr>
            <w:tcW w:w="7159" w:type="dxa"/>
            <w:tcBorders>
              <w:top w:val="single" w:sz="4" w:space="0" w:color="auto"/>
              <w:left w:val="single" w:sz="4" w:space="0" w:color="auto"/>
              <w:bottom w:val="single" w:sz="4" w:space="0" w:color="auto"/>
              <w:right w:val="single" w:sz="4" w:space="0" w:color="auto"/>
            </w:tcBorders>
          </w:tcPr>
          <w:p w14:paraId="481EA62D" w14:textId="77777777" w:rsidR="003C7D80" w:rsidRDefault="0043093C" w:rsidP="0001573B">
            <w:pPr>
              <w:pStyle w:val="InstructionsText"/>
              <w:rPr>
                <w:rStyle w:val="InstructionsTabelleberschrift"/>
                <w:rFonts w:ascii="Times New Roman" w:hAnsi="Times New Roman"/>
                <w:sz w:val="24"/>
              </w:rPr>
            </w:pPr>
            <w:r w:rsidRPr="0043093C">
              <w:rPr>
                <w:rStyle w:val="InstructionsTabelleberschrift"/>
                <w:rFonts w:ascii="Times New Roman" w:hAnsi="Times New Roman"/>
                <w:sz w:val="24"/>
              </w:rPr>
              <w:t>Hedging debt securities</w:t>
            </w:r>
          </w:p>
          <w:p w14:paraId="4CC38832" w14:textId="220A5504" w:rsidR="00912ADD" w:rsidRDefault="00AA0E8C" w:rsidP="0001573B">
            <w:pPr>
              <w:pStyle w:val="InstructionsText"/>
              <w:rPr>
                <w:rStyle w:val="InstructionsTabelleberschrift"/>
                <w:rFonts w:ascii="Times New Roman" w:hAnsi="Times New Roman"/>
                <w:sz w:val="24"/>
              </w:rPr>
            </w:pPr>
            <w:r>
              <w:rPr>
                <w:lang w:val="en-US"/>
              </w:rPr>
              <w:t>Hedge accounting d</w:t>
            </w:r>
            <w:r w:rsidRPr="0001227E">
              <w:rPr>
                <w:lang w:val="en-US"/>
              </w:rPr>
              <w:t>erivatives</w:t>
            </w:r>
            <w:r>
              <w:rPr>
                <w:rStyle w:val="InstructionsTabelleberschrift"/>
                <w:rFonts w:ascii="Times New Roman" w:hAnsi="Times New Roman"/>
                <w:b w:val="0"/>
                <w:bCs w:val="0"/>
                <w:sz w:val="24"/>
                <w:u w:val="none"/>
              </w:rPr>
              <w:t xml:space="preserve"> </w:t>
            </w:r>
            <w:r w:rsidR="003C7D80" w:rsidRPr="00816E70">
              <w:rPr>
                <w:rStyle w:val="InstructionsTabelleberschrift"/>
                <w:rFonts w:ascii="Times New Roman" w:hAnsi="Times New Roman"/>
                <w:b w:val="0"/>
                <w:bCs w:val="0"/>
                <w:sz w:val="24"/>
                <w:u w:val="none"/>
              </w:rPr>
              <w:t xml:space="preserve">hedging </w:t>
            </w:r>
            <w:r w:rsidR="003C7D80">
              <w:rPr>
                <w:rStyle w:val="InstructionsTabelleberschrift"/>
                <w:rFonts w:ascii="Times New Roman" w:hAnsi="Times New Roman"/>
                <w:b w:val="0"/>
                <w:bCs w:val="0"/>
                <w:sz w:val="24"/>
                <w:u w:val="none"/>
              </w:rPr>
              <w:t xml:space="preserve">liabilities which are debt securities. </w:t>
            </w:r>
          </w:p>
        </w:tc>
      </w:tr>
      <w:tr w:rsidR="00693056" w:rsidRPr="00B32012" w:rsidDel="00576E55" w14:paraId="3AE364FD" w14:textId="77777777" w:rsidTr="00466F09">
        <w:tc>
          <w:tcPr>
            <w:tcW w:w="1629" w:type="dxa"/>
            <w:tcBorders>
              <w:top w:val="single" w:sz="4" w:space="0" w:color="auto"/>
              <w:left w:val="single" w:sz="4" w:space="0" w:color="auto"/>
              <w:bottom w:val="single" w:sz="4" w:space="0" w:color="auto"/>
              <w:right w:val="single" w:sz="4" w:space="0" w:color="auto"/>
            </w:tcBorders>
          </w:tcPr>
          <w:p w14:paraId="02DBC7AF" w14:textId="491D07AD" w:rsidR="00693056" w:rsidRDefault="00ED57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0500</w:t>
            </w:r>
          </w:p>
        </w:tc>
        <w:tc>
          <w:tcPr>
            <w:tcW w:w="7159" w:type="dxa"/>
            <w:tcBorders>
              <w:top w:val="single" w:sz="4" w:space="0" w:color="auto"/>
              <w:left w:val="single" w:sz="4" w:space="0" w:color="auto"/>
              <w:bottom w:val="single" w:sz="4" w:space="0" w:color="auto"/>
              <w:right w:val="single" w:sz="4" w:space="0" w:color="auto"/>
            </w:tcBorders>
          </w:tcPr>
          <w:p w14:paraId="23ADE712" w14:textId="4334F9B3" w:rsidR="003C7D80" w:rsidRDefault="003C7D80"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Hedging other liabilities</w:t>
            </w:r>
          </w:p>
          <w:p w14:paraId="4488459D" w14:textId="79A2A28C" w:rsidR="00693056" w:rsidRDefault="00AA0E8C" w:rsidP="0001573B">
            <w:pPr>
              <w:pStyle w:val="InstructionsText"/>
              <w:rPr>
                <w:rStyle w:val="InstructionsTabelleberschrift"/>
                <w:rFonts w:ascii="Times New Roman" w:hAnsi="Times New Roman"/>
                <w:sz w:val="24"/>
              </w:rPr>
            </w:pPr>
            <w:r>
              <w:rPr>
                <w:lang w:val="en-US"/>
              </w:rPr>
              <w:t>Hedge accounting d</w:t>
            </w:r>
            <w:r w:rsidRPr="0001227E">
              <w:rPr>
                <w:lang w:val="en-US"/>
              </w:rPr>
              <w:t>erivatives</w:t>
            </w:r>
            <w:r w:rsidR="003C7D80" w:rsidRPr="00816E70">
              <w:rPr>
                <w:rStyle w:val="InstructionsTabelleberschrift"/>
                <w:rFonts w:ascii="Times New Roman" w:hAnsi="Times New Roman"/>
                <w:b w:val="0"/>
                <w:bCs w:val="0"/>
                <w:sz w:val="24"/>
                <w:u w:val="none"/>
              </w:rPr>
              <w:t xml:space="preserve"> hedging </w:t>
            </w:r>
            <w:r w:rsidR="003C7D80">
              <w:rPr>
                <w:rStyle w:val="InstructionsTabelleberschrift"/>
                <w:rFonts w:ascii="Times New Roman" w:hAnsi="Times New Roman"/>
                <w:b w:val="0"/>
                <w:bCs w:val="0"/>
                <w:sz w:val="24"/>
                <w:u w:val="none"/>
              </w:rPr>
              <w:t>liabilities which are not debt securities.</w:t>
            </w:r>
          </w:p>
        </w:tc>
      </w:tr>
      <w:tr w:rsidR="00E96058" w:rsidRPr="00B32012" w14:paraId="068A5376" w14:textId="77777777" w:rsidTr="00466F09">
        <w:tc>
          <w:tcPr>
            <w:tcW w:w="1629" w:type="dxa"/>
            <w:tcBorders>
              <w:top w:val="single" w:sz="4" w:space="0" w:color="auto"/>
              <w:left w:val="single" w:sz="4" w:space="0" w:color="auto"/>
              <w:bottom w:val="single" w:sz="4" w:space="0" w:color="auto"/>
              <w:right w:val="single" w:sz="4" w:space="0" w:color="auto"/>
            </w:tcBorders>
          </w:tcPr>
          <w:p w14:paraId="1785C7AC" w14:textId="10310EA9" w:rsidR="00E96058" w:rsidRPr="00B32012" w:rsidRDefault="00ED57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0510</w:t>
            </w:r>
          </w:p>
        </w:tc>
        <w:tc>
          <w:tcPr>
            <w:tcW w:w="7159" w:type="dxa"/>
            <w:tcBorders>
              <w:top w:val="single" w:sz="4" w:space="0" w:color="auto"/>
              <w:left w:val="single" w:sz="4" w:space="0" w:color="auto"/>
              <w:bottom w:val="single" w:sz="4" w:space="0" w:color="auto"/>
              <w:right w:val="single" w:sz="4" w:space="0" w:color="auto"/>
            </w:tcBorders>
            <w:hideMark/>
          </w:tcPr>
          <w:p w14:paraId="3A26ECCF" w14:textId="77777777" w:rsidR="00E96058" w:rsidRPr="00B32012" w:rsidRDefault="00E96058" w:rsidP="0001573B">
            <w:pPr>
              <w:pStyle w:val="InstructionsText"/>
              <w:rPr>
                <w:rStyle w:val="InstructionsTabelleberschrift"/>
                <w:rFonts w:ascii="Times New Roman" w:hAnsi="Times New Roman"/>
                <w:sz w:val="24"/>
              </w:rPr>
            </w:pPr>
            <w:r w:rsidRPr="00B32012">
              <w:rPr>
                <w:rStyle w:val="InstructionsTabelleberschrift"/>
                <w:rFonts w:ascii="Times New Roman" w:hAnsi="Times New Roman"/>
                <w:sz w:val="24"/>
              </w:rPr>
              <w:t>Other</w:t>
            </w:r>
          </w:p>
          <w:p w14:paraId="65D0639C" w14:textId="76B42BA3" w:rsidR="00E96058" w:rsidRPr="00F61384" w:rsidRDefault="00E96058"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O</w:t>
            </w:r>
            <w:r w:rsidRPr="001D16D7">
              <w:rPr>
                <w:rStyle w:val="InstructionsTabelleberschrift"/>
                <w:rFonts w:ascii="Times New Roman" w:hAnsi="Times New Roman"/>
                <w:b w:val="0"/>
                <w:bCs w:val="0"/>
                <w:sz w:val="24"/>
                <w:u w:val="none"/>
              </w:rPr>
              <w:t xml:space="preserve">ther </w:t>
            </w:r>
            <w:r>
              <w:rPr>
                <w:rStyle w:val="InstructionsTabelleberschrift"/>
                <w:rFonts w:ascii="Times New Roman" w:hAnsi="Times New Roman"/>
                <w:b w:val="0"/>
                <w:bCs w:val="0"/>
                <w:sz w:val="24"/>
                <w:u w:val="none"/>
              </w:rPr>
              <w:t>on-balance interest rate sensitive</w:t>
            </w:r>
            <w:r w:rsidR="006D2D2D">
              <w:rPr>
                <w:rStyle w:val="InstructionsTabelleberschrift"/>
                <w:rFonts w:ascii="Times New Roman" w:hAnsi="Times New Roman"/>
                <w:b w:val="0"/>
                <w:bCs w:val="0"/>
                <w:sz w:val="24"/>
                <w:u w:val="none"/>
              </w:rPr>
              <w:t>-</w:t>
            </w:r>
            <w:r>
              <w:rPr>
                <w:rStyle w:val="InstructionsTabelleberschrift"/>
                <w:rFonts w:ascii="Times New Roman" w:hAnsi="Times New Roman"/>
                <w:b w:val="0"/>
                <w:bCs w:val="0"/>
                <w:sz w:val="24"/>
                <w:u w:val="none"/>
              </w:rPr>
              <w:t xml:space="preserve">liabilities </w:t>
            </w:r>
            <w:r w:rsidRPr="001D16D7">
              <w:rPr>
                <w:rStyle w:val="InstructionsTabelleberschrift"/>
                <w:rFonts w:ascii="Times New Roman" w:hAnsi="Times New Roman"/>
                <w:b w:val="0"/>
                <w:bCs w:val="0"/>
                <w:sz w:val="24"/>
                <w:u w:val="none"/>
              </w:rPr>
              <w:t>that</w:t>
            </w:r>
            <w:r w:rsidRPr="4CA66656">
              <w:rPr>
                <w:rStyle w:val="InstructionsTabelleberschrift"/>
                <w:rFonts w:ascii="Times New Roman" w:hAnsi="Times New Roman"/>
                <w:b w:val="0"/>
                <w:sz w:val="24"/>
                <w:u w:val="none"/>
              </w:rPr>
              <w:t xml:space="preserve"> </w:t>
            </w:r>
            <w:r w:rsidR="00387B23">
              <w:t>were</w:t>
            </w:r>
            <w:r w:rsidRPr="00B32012">
              <w:t xml:space="preserve"> not</w:t>
            </w:r>
            <w:r>
              <w:t xml:space="preserve"> classified in </w:t>
            </w:r>
            <w:r w:rsidR="00387B23">
              <w:t>the</w:t>
            </w:r>
            <w:r>
              <w:t xml:space="preserve"> rows</w:t>
            </w:r>
            <w:r w:rsidRPr="00B32012">
              <w:t xml:space="preserve"> above shall be reported in </w:t>
            </w:r>
            <w:r>
              <w:t>this row</w:t>
            </w:r>
            <w:r w:rsidRPr="00B32012">
              <w:t>.</w:t>
            </w:r>
          </w:p>
        </w:tc>
      </w:tr>
      <w:tr w:rsidR="00741F94" w:rsidRPr="00B32012" w14:paraId="1FF66180" w14:textId="77777777" w:rsidTr="00466F09">
        <w:tc>
          <w:tcPr>
            <w:tcW w:w="1629" w:type="dxa"/>
            <w:tcBorders>
              <w:top w:val="single" w:sz="4" w:space="0" w:color="auto"/>
              <w:left w:val="single" w:sz="4" w:space="0" w:color="auto"/>
              <w:bottom w:val="single" w:sz="4" w:space="0" w:color="auto"/>
              <w:right w:val="single" w:sz="4" w:space="0" w:color="auto"/>
            </w:tcBorders>
          </w:tcPr>
          <w:p w14:paraId="03B07CAF" w14:textId="478E9652" w:rsidR="00741F94" w:rsidRPr="00B32012" w:rsidRDefault="00ED57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0520</w:t>
            </w:r>
          </w:p>
        </w:tc>
        <w:tc>
          <w:tcPr>
            <w:tcW w:w="7159" w:type="dxa"/>
            <w:tcBorders>
              <w:top w:val="single" w:sz="4" w:space="0" w:color="auto"/>
              <w:left w:val="single" w:sz="4" w:space="0" w:color="auto"/>
              <w:bottom w:val="single" w:sz="4" w:space="0" w:color="auto"/>
              <w:right w:val="single" w:sz="4" w:space="0" w:color="auto"/>
            </w:tcBorders>
            <w:hideMark/>
          </w:tcPr>
          <w:p w14:paraId="24ABFC80" w14:textId="6F42CC98" w:rsidR="00741F94" w:rsidRPr="008B3266" w:rsidRDefault="00741F94" w:rsidP="0001573B">
            <w:pPr>
              <w:pStyle w:val="InstructionsText"/>
              <w:rPr>
                <w:rStyle w:val="InstructionsTabelleberschrift"/>
                <w:rFonts w:ascii="Times New Roman" w:hAnsi="Times New Roman"/>
                <w:sz w:val="24"/>
              </w:rPr>
            </w:pPr>
            <w:r w:rsidRPr="008B3266">
              <w:rPr>
                <w:rStyle w:val="InstructionsTabelleberschrift"/>
                <w:rFonts w:ascii="Times New Roman" w:hAnsi="Times New Roman"/>
                <w:sz w:val="24"/>
              </w:rPr>
              <w:t xml:space="preserve">Off-balance sheet liabilities: </w:t>
            </w:r>
            <w:bookmarkStart w:id="50" w:name="_Hlk116393169"/>
            <w:r w:rsidR="00EB2536">
              <w:rPr>
                <w:rStyle w:val="InstructionsTabelleberschrift"/>
                <w:rFonts w:ascii="Times New Roman" w:hAnsi="Times New Roman"/>
                <w:sz w:val="24"/>
              </w:rPr>
              <w:t>C</w:t>
            </w:r>
            <w:r w:rsidRPr="008B3266">
              <w:rPr>
                <w:rStyle w:val="InstructionsTabelleberschrift"/>
                <w:rFonts w:ascii="Times New Roman" w:hAnsi="Times New Roman"/>
                <w:sz w:val="24"/>
              </w:rPr>
              <w:t>ontingent liabilities</w:t>
            </w:r>
            <w:bookmarkEnd w:id="50"/>
          </w:p>
          <w:p w14:paraId="75027371" w14:textId="350951E4" w:rsidR="00741F94" w:rsidRPr="008B3266" w:rsidRDefault="00741F94" w:rsidP="0001573B">
            <w:pPr>
              <w:pStyle w:val="InstructionsText"/>
              <w:rPr>
                <w:rStyle w:val="InstructionsTabelleberschrift"/>
                <w:rFonts w:ascii="Times New Roman" w:hAnsi="Times New Roman"/>
                <w:b w:val="0"/>
                <w:bCs w:val="0"/>
                <w:sz w:val="24"/>
                <w:u w:val="none"/>
              </w:rPr>
            </w:pPr>
            <w:r w:rsidRPr="008B3266">
              <w:rPr>
                <w:rStyle w:val="InstructionsTabelleberschrift"/>
                <w:rFonts w:ascii="Times New Roman" w:hAnsi="Times New Roman"/>
                <w:b w:val="0"/>
                <w:bCs w:val="0"/>
                <w:sz w:val="24"/>
                <w:u w:val="none"/>
              </w:rPr>
              <w:t>Off-balance sheet items shall include products such as interest rate sensitive loan commitments.</w:t>
            </w:r>
          </w:p>
          <w:p w14:paraId="7A13B80C" w14:textId="51887D15" w:rsidR="00741F94" w:rsidRDefault="00741F94" w:rsidP="0001573B">
            <w:pPr>
              <w:pStyle w:val="InstructionsTex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 xml:space="preserve">Contingent liabilities </w:t>
            </w:r>
            <w:r w:rsidR="00F43D2B">
              <w:rPr>
                <w:rStyle w:val="InstructionsTabelleberschrift"/>
                <w:rFonts w:ascii="Times New Roman" w:hAnsi="Times New Roman"/>
                <w:b w:val="0"/>
                <w:sz w:val="24"/>
                <w:u w:val="none"/>
              </w:rPr>
              <w:t>shall</w:t>
            </w:r>
            <w:r>
              <w:rPr>
                <w:rStyle w:val="InstructionsTabelleberschrift"/>
                <w:rFonts w:ascii="Times New Roman" w:hAnsi="Times New Roman"/>
                <w:b w:val="0"/>
                <w:sz w:val="24"/>
                <w:u w:val="none"/>
              </w:rPr>
              <w:t xml:space="preserve"> be seen as a combination of a short and a long position. </w:t>
            </w:r>
            <w:r w:rsidR="005E38B5">
              <w:rPr>
                <w:rStyle w:val="InstructionsTabelleberschrift"/>
                <w:rFonts w:ascii="Times New Roman" w:hAnsi="Times New Roman"/>
                <w:b w:val="0"/>
                <w:sz w:val="24"/>
                <w:u w:val="none"/>
              </w:rPr>
              <w:t>Specifically</w:t>
            </w:r>
            <w:r>
              <w:rPr>
                <w:rStyle w:val="InstructionsTabelleberschrift"/>
                <w:rFonts w:ascii="Times New Roman" w:hAnsi="Times New Roman"/>
                <w:b w:val="0"/>
                <w:sz w:val="24"/>
                <w:u w:val="none"/>
              </w:rPr>
              <w:t>, in case the bank has a credit line with other institutions, the bank will have a long position when the loan is supposed to be draw</w:t>
            </w:r>
            <w:r w:rsidR="006D2D2D">
              <w:rPr>
                <w:rStyle w:val="InstructionsTabelleberschrift"/>
                <w:rFonts w:ascii="Times New Roman" w:hAnsi="Times New Roman"/>
                <w:b w:val="0"/>
                <w:sz w:val="24"/>
                <w:u w:val="none"/>
              </w:rPr>
              <w:t>n</w:t>
            </w:r>
            <w:r>
              <w:rPr>
                <w:rStyle w:val="InstructionsTabelleberschrift"/>
                <w:rFonts w:ascii="Times New Roman" w:hAnsi="Times New Roman"/>
                <w:b w:val="0"/>
                <w:sz w:val="24"/>
                <w:u w:val="none"/>
              </w:rPr>
              <w:t xml:space="preserve"> and a short position at the opening date of the credit line. </w:t>
            </w:r>
          </w:p>
          <w:p w14:paraId="52F8703B" w14:textId="72FEC13F" w:rsidR="00741F94" w:rsidRPr="00CF2F70" w:rsidRDefault="00741F94" w:rsidP="0001573B">
            <w:pPr>
              <w:pStyle w:val="InstructionsText"/>
              <w:rPr>
                <w:rStyle w:val="InstructionsTabelleberschrift"/>
                <w:rFonts w:ascii="Times New Roman" w:hAnsi="Times New Roman"/>
                <w:b w:val="0"/>
                <w:bCs w:val="0"/>
                <w:sz w:val="24"/>
                <w:highlight w:val="yellow"/>
                <w:u w:val="none"/>
              </w:rPr>
            </w:pPr>
            <w:r>
              <w:rPr>
                <w:rStyle w:val="InstructionsTabelleberschrift"/>
                <w:rFonts w:ascii="Times New Roman" w:hAnsi="Times New Roman"/>
                <w:b w:val="0"/>
                <w:sz w:val="24"/>
                <w:u w:val="none"/>
              </w:rPr>
              <w:t>Long position</w:t>
            </w:r>
            <w:r w:rsidR="00982985">
              <w:rPr>
                <w:rStyle w:val="InstructionsTabelleberschrift"/>
                <w:rFonts w:ascii="Times New Roman" w:hAnsi="Times New Roman"/>
                <w:b w:val="0"/>
                <w:sz w:val="24"/>
                <w:u w:val="none"/>
              </w:rPr>
              <w:t>s</w:t>
            </w:r>
            <w:r>
              <w:rPr>
                <w:rStyle w:val="InstructionsTabelleberschrift"/>
                <w:rFonts w:ascii="Times New Roman" w:hAnsi="Times New Roman"/>
                <w:b w:val="0"/>
                <w:sz w:val="24"/>
                <w:u w:val="none"/>
              </w:rPr>
              <w:t xml:space="preserve"> </w:t>
            </w:r>
            <w:r w:rsidR="00F43D2B">
              <w:rPr>
                <w:rStyle w:val="InstructionsTabelleberschrift"/>
                <w:rFonts w:ascii="Times New Roman" w:hAnsi="Times New Roman"/>
                <w:b w:val="0"/>
                <w:sz w:val="24"/>
                <w:u w:val="none"/>
              </w:rPr>
              <w:t>shall</w:t>
            </w:r>
            <w:r>
              <w:rPr>
                <w:rStyle w:val="InstructionsTabelleberschrift"/>
                <w:rFonts w:ascii="Times New Roman" w:hAnsi="Times New Roman"/>
                <w:b w:val="0"/>
                <w:sz w:val="24"/>
                <w:u w:val="none"/>
              </w:rPr>
              <w:t xml:space="preserve"> be </w:t>
            </w:r>
            <w:r w:rsidR="001A0129">
              <w:rPr>
                <w:rStyle w:val="InstructionsTabelleberschrift"/>
                <w:rFonts w:ascii="Times New Roman" w:hAnsi="Times New Roman"/>
                <w:b w:val="0"/>
                <w:sz w:val="24"/>
                <w:u w:val="none"/>
              </w:rPr>
              <w:t>reported as asset</w:t>
            </w:r>
            <w:r w:rsidR="002705E0">
              <w:rPr>
                <w:rStyle w:val="InstructionsTabelleberschrift"/>
                <w:rFonts w:ascii="Times New Roman" w:hAnsi="Times New Roman"/>
                <w:b w:val="0"/>
                <w:sz w:val="24"/>
                <w:u w:val="none"/>
              </w:rPr>
              <w:t>s</w:t>
            </w:r>
            <w:r w:rsidR="001A0129">
              <w:rPr>
                <w:rStyle w:val="InstructionsTabelleberschrift"/>
                <w:rFonts w:ascii="Times New Roman" w:hAnsi="Times New Roman"/>
                <w:b w:val="0"/>
                <w:sz w:val="24"/>
                <w:u w:val="none"/>
              </w:rPr>
              <w:t xml:space="preserve"> while short positions</w:t>
            </w:r>
            <w:r>
              <w:rPr>
                <w:rStyle w:val="InstructionsTabelleberschrift"/>
                <w:rFonts w:ascii="Times New Roman" w:hAnsi="Times New Roman"/>
                <w:b w:val="0"/>
                <w:sz w:val="24"/>
                <w:u w:val="none"/>
              </w:rPr>
              <w:t xml:space="preserve"> </w:t>
            </w:r>
            <w:r w:rsidR="00F43D2B">
              <w:rPr>
                <w:rStyle w:val="InstructionsTabelleberschrift"/>
                <w:rFonts w:ascii="Times New Roman" w:hAnsi="Times New Roman"/>
                <w:b w:val="0"/>
                <w:sz w:val="24"/>
                <w:u w:val="none"/>
              </w:rPr>
              <w:t>shall</w:t>
            </w:r>
            <w:r>
              <w:rPr>
                <w:rStyle w:val="InstructionsTabelleberschrift"/>
                <w:rFonts w:ascii="Times New Roman" w:hAnsi="Times New Roman"/>
                <w:b w:val="0"/>
                <w:sz w:val="24"/>
                <w:u w:val="none"/>
              </w:rPr>
              <w:t xml:space="preserve"> be reported </w:t>
            </w:r>
            <w:r w:rsidR="00DF34F9">
              <w:rPr>
                <w:rStyle w:val="InstructionsTabelleberschrift"/>
                <w:rFonts w:ascii="Times New Roman" w:hAnsi="Times New Roman"/>
                <w:b w:val="0"/>
                <w:sz w:val="24"/>
                <w:u w:val="none"/>
              </w:rPr>
              <w:t xml:space="preserve">as </w:t>
            </w:r>
            <w:r w:rsidR="00490A70">
              <w:rPr>
                <w:rStyle w:val="InstructionsTabelleberschrift"/>
                <w:rFonts w:ascii="Times New Roman" w:hAnsi="Times New Roman"/>
                <w:b w:val="0"/>
                <w:sz w:val="24"/>
                <w:u w:val="none"/>
              </w:rPr>
              <w:t xml:space="preserve">a </w:t>
            </w:r>
            <w:r w:rsidR="00DF34F9">
              <w:rPr>
                <w:rStyle w:val="InstructionsTabelleberschrift"/>
                <w:rFonts w:ascii="Times New Roman" w:hAnsi="Times New Roman"/>
                <w:b w:val="0"/>
                <w:sz w:val="24"/>
                <w:u w:val="none"/>
              </w:rPr>
              <w:t>liability.</w:t>
            </w:r>
            <w:r w:rsidR="00490A70">
              <w:rPr>
                <w:rStyle w:val="InstructionsTabelleberschrift"/>
                <w:rFonts w:ascii="Times New Roman" w:hAnsi="Times New Roman"/>
                <w:b w:val="0"/>
                <w:sz w:val="24"/>
                <w:u w:val="none"/>
              </w:rPr>
              <w:t xml:space="preserve"> </w:t>
            </w:r>
            <w:r w:rsidR="006D2D2D" w:rsidRPr="00954BFA">
              <w:rPr>
                <w:rStyle w:val="InstructionsTabelleberschrift"/>
                <w:rFonts w:ascii="Times New Roman" w:hAnsi="Times New Roman"/>
                <w:b w:val="0"/>
                <w:sz w:val="24"/>
                <w:u w:val="none"/>
                <w:lang w:eastAsia="en-US"/>
              </w:rPr>
              <w:t xml:space="preserve">Only the contingent </w:t>
            </w:r>
            <w:r w:rsidR="006D2D2D">
              <w:rPr>
                <w:rStyle w:val="InstructionsTabelleberschrift"/>
                <w:rFonts w:ascii="Times New Roman" w:hAnsi="Times New Roman"/>
                <w:b w:val="0"/>
                <w:sz w:val="24"/>
                <w:u w:val="none"/>
                <w:lang w:eastAsia="en-US"/>
              </w:rPr>
              <w:t>instruments</w:t>
            </w:r>
            <w:r w:rsidR="006D2D2D" w:rsidRPr="00954BFA">
              <w:rPr>
                <w:rStyle w:val="InstructionsTabelleberschrift"/>
                <w:rFonts w:ascii="Times New Roman" w:hAnsi="Times New Roman"/>
                <w:b w:val="0"/>
                <w:sz w:val="24"/>
                <w:u w:val="none"/>
                <w:lang w:eastAsia="en-US"/>
              </w:rPr>
              <w:t xml:space="preserve"> </w:t>
            </w:r>
            <w:r w:rsidR="006D2D2D">
              <w:rPr>
                <w:rStyle w:val="InstructionsTabelleberschrift"/>
                <w:rFonts w:ascii="Times New Roman" w:hAnsi="Times New Roman"/>
                <w:b w:val="0"/>
                <w:sz w:val="24"/>
                <w:u w:val="none"/>
                <w:lang w:eastAsia="en-US"/>
              </w:rPr>
              <w:t xml:space="preserve">qualifying as liabilities </w:t>
            </w:r>
            <w:r w:rsidR="006D2D2D" w:rsidRPr="00954BFA">
              <w:rPr>
                <w:rStyle w:val="InstructionsTabelleberschrift"/>
                <w:rFonts w:ascii="Times New Roman" w:hAnsi="Times New Roman"/>
                <w:b w:val="0"/>
                <w:sz w:val="24"/>
                <w:u w:val="none"/>
                <w:lang w:eastAsia="en-US"/>
              </w:rPr>
              <w:t>shall be reported in this row</w:t>
            </w:r>
            <w:r w:rsidR="006D2D2D">
              <w:rPr>
                <w:rStyle w:val="InstructionsTabelleberschrift"/>
                <w:rFonts w:ascii="Times New Roman" w:hAnsi="Times New Roman"/>
                <w:b w:val="0"/>
                <w:sz w:val="24"/>
                <w:u w:val="none"/>
                <w:lang w:eastAsia="en-US"/>
              </w:rPr>
              <w:t>.</w:t>
            </w:r>
          </w:p>
        </w:tc>
      </w:tr>
      <w:tr w:rsidR="005F6854" w:rsidRPr="00B32012" w14:paraId="4FD182D6" w14:textId="77777777" w:rsidTr="00466F09">
        <w:tc>
          <w:tcPr>
            <w:tcW w:w="1629" w:type="dxa"/>
            <w:tcBorders>
              <w:top w:val="single" w:sz="4" w:space="0" w:color="auto"/>
              <w:left w:val="single" w:sz="4" w:space="0" w:color="auto"/>
              <w:bottom w:val="single" w:sz="4" w:space="0" w:color="auto"/>
              <w:right w:val="single" w:sz="4" w:space="0" w:color="auto"/>
            </w:tcBorders>
          </w:tcPr>
          <w:p w14:paraId="2F3CA386" w14:textId="4429AA05" w:rsidR="005F6854" w:rsidRDefault="00ED570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lang w:eastAsia="en-US"/>
              </w:rPr>
              <w:t>0530</w:t>
            </w:r>
          </w:p>
        </w:tc>
        <w:tc>
          <w:tcPr>
            <w:tcW w:w="7159" w:type="dxa"/>
            <w:tcBorders>
              <w:top w:val="single" w:sz="4" w:space="0" w:color="auto"/>
              <w:left w:val="single" w:sz="4" w:space="0" w:color="auto"/>
              <w:bottom w:val="single" w:sz="4" w:space="0" w:color="auto"/>
              <w:right w:val="single" w:sz="4" w:space="0" w:color="auto"/>
            </w:tcBorders>
          </w:tcPr>
          <w:p w14:paraId="51267A2C" w14:textId="77777777" w:rsidR="005F6854" w:rsidRDefault="00D33590" w:rsidP="0001573B">
            <w:pPr>
              <w:pStyle w:val="InstructionsText"/>
              <w:rPr>
                <w:rStyle w:val="InstructionsTabelleberschrift"/>
                <w:rFonts w:ascii="Times New Roman" w:hAnsi="Times New Roman"/>
                <w:sz w:val="24"/>
              </w:rPr>
            </w:pPr>
            <w:r w:rsidRPr="00D33590">
              <w:rPr>
                <w:rStyle w:val="InstructionsTabelleberschrift"/>
                <w:rFonts w:ascii="Times New Roman" w:hAnsi="Times New Roman"/>
                <w:sz w:val="24"/>
              </w:rPr>
              <w:t>Other derivatives (Net asset/liability)</w:t>
            </w:r>
          </w:p>
          <w:p w14:paraId="445A1B2E" w14:textId="52EF1626" w:rsidR="008A50EB" w:rsidRPr="008A50EB" w:rsidRDefault="00AA6996"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Interest rate d</w:t>
            </w:r>
            <w:r w:rsidRPr="00AA7263">
              <w:rPr>
                <w:rStyle w:val="InstructionsTabelleberschrift"/>
                <w:rFonts w:ascii="Times New Roman" w:hAnsi="Times New Roman"/>
                <w:b w:val="0"/>
                <w:bCs w:val="0"/>
                <w:sz w:val="24"/>
                <w:u w:val="none"/>
              </w:rPr>
              <w:t>e</w:t>
            </w:r>
            <w:r>
              <w:rPr>
                <w:rStyle w:val="InstructionsTabelleberschrift"/>
                <w:rFonts w:ascii="Times New Roman" w:hAnsi="Times New Roman"/>
                <w:b w:val="0"/>
                <w:bCs w:val="0"/>
                <w:sz w:val="24"/>
                <w:u w:val="none"/>
              </w:rPr>
              <w:t>rivatives not designed as accounting hedges</w:t>
            </w:r>
            <w:r w:rsidR="000E070F">
              <w:rPr>
                <w:rStyle w:val="InstructionsTabelleberschrift"/>
                <w:rFonts w:ascii="Times New Roman" w:hAnsi="Times New Roman"/>
                <w:b w:val="0"/>
                <w:bCs w:val="0"/>
                <w:sz w:val="24"/>
                <w:u w:val="none"/>
              </w:rPr>
              <w:t xml:space="preserve"> such as </w:t>
            </w:r>
            <w:r>
              <w:rPr>
                <w:rStyle w:val="InstructionsTabelleberschrift"/>
                <w:rFonts w:ascii="Times New Roman" w:hAnsi="Times New Roman"/>
                <w:b w:val="0"/>
                <w:bCs w:val="0"/>
                <w:sz w:val="24"/>
                <w:u w:val="none"/>
              </w:rPr>
              <w:t xml:space="preserve">economic interest rate hedges, which </w:t>
            </w:r>
            <w:r w:rsidR="00B5153D">
              <w:rPr>
                <w:rStyle w:val="InstructionsTabelleberschrift"/>
                <w:rFonts w:ascii="Times New Roman" w:hAnsi="Times New Roman"/>
                <w:b w:val="0"/>
                <w:bCs w:val="0"/>
                <w:sz w:val="24"/>
                <w:u w:val="none"/>
              </w:rPr>
              <w:t xml:space="preserve">are </w:t>
            </w:r>
            <w:r>
              <w:rPr>
                <w:rStyle w:val="InstructionsTabelleberschrift"/>
                <w:rFonts w:ascii="Times New Roman" w:hAnsi="Times New Roman"/>
                <w:b w:val="0"/>
                <w:bCs w:val="0"/>
                <w:sz w:val="24"/>
                <w:u w:val="none"/>
              </w:rPr>
              <w:t>intended to hedge the interest rate risk in the banking book but are not under an accounting hedge regime.</w:t>
            </w:r>
          </w:p>
        </w:tc>
      </w:tr>
      <w:tr w:rsidR="00741F94" w:rsidRPr="00B32012" w14:paraId="7092C293" w14:textId="77777777" w:rsidTr="00466F09">
        <w:tc>
          <w:tcPr>
            <w:tcW w:w="1629" w:type="dxa"/>
            <w:tcBorders>
              <w:top w:val="single" w:sz="4" w:space="0" w:color="auto"/>
              <w:left w:val="single" w:sz="4" w:space="0" w:color="auto"/>
              <w:bottom w:val="single" w:sz="4" w:space="0" w:color="auto"/>
              <w:right w:val="single" w:sz="4" w:space="0" w:color="auto"/>
            </w:tcBorders>
          </w:tcPr>
          <w:p w14:paraId="4A072BB7" w14:textId="44EFB244" w:rsidR="00741F94" w:rsidRPr="00B32012" w:rsidDel="001D16D7" w:rsidRDefault="00ED5704"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0540</w:t>
            </w:r>
            <w:r w:rsidR="00741F94">
              <w:rPr>
                <w:rStyle w:val="FormatvorlageInstructionsTabelleText"/>
                <w:rFonts w:ascii="Times New Roman" w:hAnsi="Times New Roman"/>
                <w:sz w:val="24"/>
              </w:rPr>
              <w:t>-</w:t>
            </w:r>
            <w:r>
              <w:rPr>
                <w:rStyle w:val="FormatvorlageInstructionsTabelleText"/>
                <w:rFonts w:ascii="Times New Roman" w:hAnsi="Times New Roman"/>
                <w:sz w:val="24"/>
              </w:rPr>
              <w:t>0640</w:t>
            </w:r>
          </w:p>
        </w:tc>
        <w:tc>
          <w:tcPr>
            <w:tcW w:w="7159" w:type="dxa"/>
            <w:tcBorders>
              <w:top w:val="single" w:sz="4" w:space="0" w:color="auto"/>
              <w:left w:val="single" w:sz="4" w:space="0" w:color="auto"/>
              <w:bottom w:val="single" w:sz="4" w:space="0" w:color="auto"/>
              <w:right w:val="single" w:sz="4" w:space="0" w:color="auto"/>
            </w:tcBorders>
          </w:tcPr>
          <w:p w14:paraId="1024D883" w14:textId="77777777" w:rsidR="00741F94" w:rsidRPr="00B32012" w:rsidRDefault="00741F94" w:rsidP="0001573B">
            <w:pPr>
              <w:pStyle w:val="InstructionsText"/>
              <w:rPr>
                <w:rStyle w:val="InstructionsTabelleberschrift"/>
                <w:rFonts w:ascii="Times New Roman" w:hAnsi="Times New Roman"/>
                <w:sz w:val="24"/>
              </w:rPr>
            </w:pPr>
            <w:r w:rsidRPr="008B7D3A">
              <w:rPr>
                <w:rStyle w:val="InstructionsTabelleberschrift"/>
                <w:rFonts w:ascii="Times New Roman" w:hAnsi="Times New Roman"/>
                <w:sz w:val="24"/>
              </w:rPr>
              <w:t>Memorandum Ite</w:t>
            </w:r>
            <w:r>
              <w:rPr>
                <w:rStyle w:val="InstructionsTabelleberschrift"/>
                <w:rFonts w:ascii="Times New Roman" w:hAnsi="Times New Roman"/>
                <w:sz w:val="24"/>
              </w:rPr>
              <w:t>m</w:t>
            </w:r>
            <w:r w:rsidRPr="008B7D3A">
              <w:rPr>
                <w:rStyle w:val="InstructionsTabelleberschrift"/>
                <w:rFonts w:ascii="Times New Roman" w:hAnsi="Times New Roman"/>
                <w:sz w:val="24"/>
              </w:rPr>
              <w:t>s</w:t>
            </w:r>
          </w:p>
        </w:tc>
      </w:tr>
      <w:tr w:rsidR="009C1A96" w:rsidRPr="00B32012" w14:paraId="1C109EDF" w14:textId="77777777" w:rsidTr="00466F09">
        <w:tc>
          <w:tcPr>
            <w:tcW w:w="1629" w:type="dxa"/>
            <w:tcBorders>
              <w:top w:val="single" w:sz="4" w:space="0" w:color="auto"/>
              <w:left w:val="single" w:sz="4" w:space="0" w:color="auto"/>
              <w:bottom w:val="single" w:sz="4" w:space="0" w:color="auto"/>
              <w:right w:val="single" w:sz="4" w:space="0" w:color="auto"/>
            </w:tcBorders>
          </w:tcPr>
          <w:p w14:paraId="22F0F1A3" w14:textId="5084B76D" w:rsidR="009C1A96" w:rsidDel="00C13246" w:rsidRDefault="0021647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0540</w:t>
            </w:r>
          </w:p>
        </w:tc>
        <w:tc>
          <w:tcPr>
            <w:tcW w:w="7159" w:type="dxa"/>
            <w:tcBorders>
              <w:top w:val="single" w:sz="4" w:space="0" w:color="auto"/>
              <w:left w:val="single" w:sz="4" w:space="0" w:color="auto"/>
              <w:bottom w:val="single" w:sz="4" w:space="0" w:color="auto"/>
              <w:right w:val="single" w:sz="4" w:space="0" w:color="auto"/>
            </w:tcBorders>
          </w:tcPr>
          <w:p w14:paraId="17C1F5C7" w14:textId="77777777" w:rsidR="009C1A96" w:rsidRDefault="008F3EC2"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Net </w:t>
            </w:r>
            <w:r w:rsidR="00942EAC">
              <w:rPr>
                <w:rStyle w:val="InstructionsTabelleberschrift"/>
                <w:rFonts w:ascii="Times New Roman" w:hAnsi="Times New Roman"/>
                <w:sz w:val="24"/>
              </w:rPr>
              <w:t>D</w:t>
            </w:r>
            <w:r>
              <w:rPr>
                <w:rStyle w:val="InstructionsTabelleberschrift"/>
                <w:rFonts w:ascii="Times New Roman" w:hAnsi="Times New Roman"/>
                <w:sz w:val="24"/>
              </w:rPr>
              <w:t>erivatives</w:t>
            </w:r>
          </w:p>
          <w:p w14:paraId="1072B82F" w14:textId="6A20A622" w:rsidR="00AA6996" w:rsidRPr="00CD037F" w:rsidRDefault="00CD037F"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sz w:val="24"/>
                <w:u w:val="none"/>
              </w:rPr>
              <w:t>N</w:t>
            </w:r>
            <w:r w:rsidR="00CD3CE4" w:rsidRPr="00CD037F">
              <w:rPr>
                <w:rStyle w:val="InstructionsTabelleberschrift"/>
                <w:rFonts w:ascii="Times New Roman" w:hAnsi="Times New Roman"/>
                <w:b w:val="0"/>
                <w:sz w:val="24"/>
                <w:u w:val="none"/>
              </w:rPr>
              <w:t>et contribution of all interest rate derivatives in the banking book, considering those interest rate derivatives hedging asse</w:t>
            </w:r>
            <w:r w:rsidR="007704F0">
              <w:rPr>
                <w:rStyle w:val="InstructionsTabelleberschrift"/>
                <w:rFonts w:ascii="Times New Roman" w:hAnsi="Times New Roman"/>
                <w:b w:val="0"/>
                <w:sz w:val="24"/>
                <w:u w:val="none"/>
              </w:rPr>
              <w:t>t</w:t>
            </w:r>
            <w:r w:rsidR="00CD3CE4" w:rsidRPr="00CD037F">
              <w:rPr>
                <w:rStyle w:val="InstructionsTabelleberschrift"/>
                <w:rFonts w:ascii="Times New Roman" w:hAnsi="Times New Roman"/>
                <w:b w:val="0"/>
                <w:sz w:val="24"/>
                <w:u w:val="none"/>
              </w:rPr>
              <w:t xml:space="preserve">s (row </w:t>
            </w:r>
            <w:r w:rsidR="007704F0">
              <w:rPr>
                <w:rStyle w:val="InstructionsTabelleberschrift"/>
                <w:rFonts w:ascii="Times New Roman" w:hAnsi="Times New Roman"/>
                <w:b w:val="0"/>
                <w:sz w:val="24"/>
                <w:u w:val="none"/>
              </w:rPr>
              <w:t>0</w:t>
            </w:r>
            <w:r w:rsidR="007704F0" w:rsidRPr="00CD037F">
              <w:rPr>
                <w:rStyle w:val="InstructionsTabelleberschrift"/>
                <w:rFonts w:ascii="Times New Roman" w:hAnsi="Times New Roman"/>
                <w:b w:val="0"/>
                <w:sz w:val="24"/>
                <w:u w:val="none"/>
              </w:rPr>
              <w:t>1</w:t>
            </w:r>
            <w:r w:rsidR="007704F0">
              <w:rPr>
                <w:rStyle w:val="InstructionsTabelleberschrift"/>
                <w:rFonts w:ascii="Times New Roman" w:hAnsi="Times New Roman"/>
                <w:b w:val="0"/>
                <w:sz w:val="24"/>
                <w:u w:val="none"/>
              </w:rPr>
              <w:t>4</w:t>
            </w:r>
            <w:r w:rsidR="007704F0" w:rsidRPr="00CD037F">
              <w:rPr>
                <w:rStyle w:val="InstructionsTabelleberschrift"/>
                <w:rFonts w:ascii="Times New Roman" w:hAnsi="Times New Roman"/>
                <w:b w:val="0"/>
                <w:sz w:val="24"/>
                <w:u w:val="none"/>
              </w:rPr>
              <w:t>0</w:t>
            </w:r>
            <w:r w:rsidR="00CD3CE4" w:rsidRPr="00CD037F">
              <w:rPr>
                <w:rStyle w:val="InstructionsTabelleberschrift"/>
                <w:rFonts w:ascii="Times New Roman" w:hAnsi="Times New Roman"/>
                <w:b w:val="0"/>
                <w:sz w:val="24"/>
                <w:u w:val="none"/>
              </w:rPr>
              <w:t xml:space="preserve">) and/or liabilities (row </w:t>
            </w:r>
            <w:r w:rsidR="007704F0">
              <w:rPr>
                <w:rStyle w:val="InstructionsTabelleberschrift"/>
                <w:rFonts w:ascii="Times New Roman" w:hAnsi="Times New Roman"/>
                <w:b w:val="0"/>
                <w:sz w:val="24"/>
                <w:u w:val="none"/>
              </w:rPr>
              <w:t>047</w:t>
            </w:r>
            <w:r w:rsidR="007704F0" w:rsidRPr="00CD037F">
              <w:rPr>
                <w:rStyle w:val="InstructionsTabelleberschrift"/>
                <w:rFonts w:ascii="Times New Roman" w:hAnsi="Times New Roman"/>
                <w:b w:val="0"/>
                <w:sz w:val="24"/>
                <w:u w:val="none"/>
              </w:rPr>
              <w:t>0</w:t>
            </w:r>
            <w:r w:rsidR="00CD3CE4" w:rsidRPr="00CD037F">
              <w:rPr>
                <w:rStyle w:val="InstructionsTabelleberschrift"/>
                <w:rFonts w:ascii="Times New Roman" w:hAnsi="Times New Roman"/>
                <w:b w:val="0"/>
                <w:sz w:val="24"/>
                <w:u w:val="none"/>
              </w:rPr>
              <w:t>) under an accounting hedg</w:t>
            </w:r>
            <w:r w:rsidR="00716053">
              <w:rPr>
                <w:rStyle w:val="InstructionsTabelleberschrift"/>
                <w:rFonts w:ascii="Times New Roman" w:hAnsi="Times New Roman"/>
                <w:b w:val="0"/>
                <w:sz w:val="24"/>
                <w:u w:val="none"/>
              </w:rPr>
              <w:t>ing</w:t>
            </w:r>
            <w:r w:rsidR="00CD3CE4" w:rsidRPr="00CD037F">
              <w:rPr>
                <w:rStyle w:val="InstructionsTabelleberschrift"/>
                <w:rFonts w:ascii="Times New Roman" w:hAnsi="Times New Roman"/>
                <w:b w:val="0"/>
                <w:sz w:val="24"/>
                <w:u w:val="none"/>
              </w:rPr>
              <w:t xml:space="preserve"> regime in the banking book and economic interest rate hedges (row</w:t>
            </w:r>
            <w:r w:rsidR="00686AE9">
              <w:rPr>
                <w:rStyle w:val="InstructionsTabelleberschrift"/>
                <w:rFonts w:ascii="Times New Roman" w:hAnsi="Times New Roman"/>
                <w:b w:val="0"/>
                <w:sz w:val="24"/>
                <w:u w:val="none"/>
              </w:rPr>
              <w:t xml:space="preserve"> </w:t>
            </w:r>
            <w:r w:rsidR="00716053">
              <w:rPr>
                <w:rStyle w:val="InstructionsTabelleberschrift"/>
                <w:rFonts w:ascii="Times New Roman" w:hAnsi="Times New Roman"/>
                <w:b w:val="0"/>
                <w:sz w:val="24"/>
                <w:u w:val="none"/>
              </w:rPr>
              <w:t>0</w:t>
            </w:r>
            <w:r w:rsidR="00686AE9">
              <w:rPr>
                <w:rStyle w:val="InstructionsTabelleberschrift"/>
                <w:rFonts w:ascii="Times New Roman" w:hAnsi="Times New Roman"/>
                <w:b w:val="0"/>
                <w:sz w:val="24"/>
                <w:u w:val="none"/>
              </w:rPr>
              <w:t>5</w:t>
            </w:r>
            <w:r w:rsidR="00B01D1D">
              <w:rPr>
                <w:rStyle w:val="InstructionsTabelleberschrift"/>
                <w:rFonts w:ascii="Times New Roman" w:hAnsi="Times New Roman"/>
                <w:b w:val="0"/>
                <w:sz w:val="24"/>
                <w:u w:val="none"/>
              </w:rPr>
              <w:t>3</w:t>
            </w:r>
            <w:r w:rsidR="00686AE9">
              <w:rPr>
                <w:rStyle w:val="InstructionsTabelleberschrift"/>
                <w:rFonts w:ascii="Times New Roman" w:hAnsi="Times New Roman"/>
                <w:b w:val="0"/>
                <w:sz w:val="24"/>
                <w:u w:val="none"/>
              </w:rPr>
              <w:t>0)</w:t>
            </w:r>
            <w:r w:rsidR="00686AE9" w:rsidRPr="00CD037F">
              <w:rPr>
                <w:rStyle w:val="InstructionsTabelleberschrift"/>
                <w:rFonts w:ascii="Times New Roman" w:hAnsi="Times New Roman"/>
                <w:b w:val="0"/>
                <w:sz w:val="24"/>
                <w:u w:val="none"/>
              </w:rPr>
              <w:t xml:space="preserve"> </w:t>
            </w:r>
            <w:r w:rsidR="00CD3CE4" w:rsidRPr="00CD037F">
              <w:rPr>
                <w:rStyle w:val="InstructionsTabelleberschrift"/>
                <w:rFonts w:ascii="Times New Roman" w:hAnsi="Times New Roman"/>
                <w:b w:val="0"/>
                <w:sz w:val="24"/>
                <w:u w:val="none"/>
              </w:rPr>
              <w:t>of other interest rate derivatives in the banking book not designed as accounting hedges</w:t>
            </w:r>
            <w:r w:rsidR="00CD3CE4" w:rsidRPr="00CD037F">
              <w:rPr>
                <w:rStyle w:val="InstructionsTabelleberschrift"/>
                <w:rFonts w:ascii="Times New Roman" w:hAnsi="Times New Roman"/>
                <w:b w:val="0"/>
                <w:bCs w:val="0"/>
                <w:sz w:val="24"/>
                <w:u w:val="none"/>
              </w:rPr>
              <w:t>.</w:t>
            </w:r>
          </w:p>
        </w:tc>
      </w:tr>
      <w:tr w:rsidR="0009034B" w:rsidRPr="00B32012" w14:paraId="73C1333B" w14:textId="77777777" w:rsidTr="00466F09">
        <w:tc>
          <w:tcPr>
            <w:tcW w:w="1629" w:type="dxa"/>
            <w:tcBorders>
              <w:top w:val="single" w:sz="4" w:space="0" w:color="auto"/>
              <w:left w:val="single" w:sz="4" w:space="0" w:color="auto"/>
              <w:bottom w:val="single" w:sz="4" w:space="0" w:color="auto"/>
              <w:right w:val="single" w:sz="4" w:space="0" w:color="auto"/>
            </w:tcBorders>
          </w:tcPr>
          <w:p w14:paraId="2973B7B7" w14:textId="05E67D87" w:rsidR="0009034B" w:rsidDel="00C13246" w:rsidRDefault="0021647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0550</w:t>
            </w:r>
          </w:p>
        </w:tc>
        <w:tc>
          <w:tcPr>
            <w:tcW w:w="7159" w:type="dxa"/>
            <w:tcBorders>
              <w:top w:val="single" w:sz="4" w:space="0" w:color="auto"/>
              <w:left w:val="single" w:sz="4" w:space="0" w:color="auto"/>
              <w:bottom w:val="single" w:sz="4" w:space="0" w:color="auto"/>
              <w:right w:val="single" w:sz="4" w:space="0" w:color="auto"/>
            </w:tcBorders>
          </w:tcPr>
          <w:p w14:paraId="4D29D191" w14:textId="5996F47D" w:rsidR="00736664" w:rsidRDefault="00736664" w:rsidP="0001573B">
            <w:pPr>
              <w:pStyle w:val="InstructionsText"/>
              <w:rPr>
                <w:rStyle w:val="InstructionsTabelleberschrift"/>
                <w:rFonts w:ascii="Times New Roman" w:hAnsi="Times New Roman"/>
                <w:sz w:val="24"/>
              </w:rPr>
            </w:pPr>
            <w:r w:rsidRPr="00736664">
              <w:rPr>
                <w:rStyle w:val="InstructionsTabelleberschrift"/>
                <w:rFonts w:ascii="Times New Roman" w:hAnsi="Times New Roman"/>
                <w:sz w:val="24"/>
              </w:rPr>
              <w:t>Net interest rate position without derivatives</w:t>
            </w:r>
          </w:p>
          <w:p w14:paraId="575BB1CF" w14:textId="016C3B32" w:rsidR="0009034B" w:rsidRPr="00AA6996" w:rsidRDefault="0009034B"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A</w:t>
            </w:r>
            <w:r w:rsidRPr="00E602B2">
              <w:rPr>
                <w:rStyle w:val="InstructionsTabelleberschrift"/>
                <w:rFonts w:ascii="Times New Roman" w:hAnsi="Times New Roman"/>
                <w:b w:val="0"/>
                <w:bCs w:val="0"/>
                <w:sz w:val="24"/>
                <w:u w:val="none"/>
              </w:rPr>
              <w:t>ll the interest rate exposures in the banking book</w:t>
            </w:r>
            <w:r w:rsidR="004D5F72" w:rsidRPr="18E24F6C">
              <w:rPr>
                <w:lang w:val="en-US"/>
              </w:rPr>
              <w:t>, including off-balance sheet exposures and</w:t>
            </w:r>
            <w:r w:rsidRPr="00E602B2">
              <w:rPr>
                <w:rStyle w:val="InstructionsTabelleberschrift"/>
                <w:rFonts w:ascii="Times New Roman" w:hAnsi="Times New Roman"/>
                <w:b w:val="0"/>
                <w:bCs w:val="0"/>
                <w:sz w:val="24"/>
                <w:u w:val="none"/>
              </w:rPr>
              <w:t xml:space="preserve"> exclud</w:t>
            </w:r>
            <w:r w:rsidR="00DD1377">
              <w:rPr>
                <w:rStyle w:val="InstructionsTabelleberschrift"/>
                <w:rFonts w:ascii="Times New Roman" w:hAnsi="Times New Roman"/>
                <w:b w:val="0"/>
                <w:bCs w:val="0"/>
                <w:sz w:val="24"/>
                <w:u w:val="none"/>
              </w:rPr>
              <w:t>ing</w:t>
            </w:r>
            <w:r w:rsidR="00BE3CAA">
              <w:rPr>
                <w:rStyle w:val="InstructionsTabelleberschrift"/>
                <w:rFonts w:ascii="Times New Roman" w:hAnsi="Times New Roman"/>
                <w:b w:val="0"/>
                <w:bCs w:val="0"/>
                <w:sz w:val="24"/>
                <w:u w:val="none"/>
              </w:rPr>
              <w:t xml:space="preserve"> </w:t>
            </w:r>
            <w:r w:rsidRPr="00E602B2">
              <w:rPr>
                <w:rStyle w:val="InstructionsTabelleberschrift"/>
                <w:rFonts w:ascii="Times New Roman" w:hAnsi="Times New Roman"/>
                <w:b w:val="0"/>
                <w:bCs w:val="0"/>
                <w:sz w:val="24"/>
                <w:u w:val="none"/>
              </w:rPr>
              <w:t xml:space="preserve">interest rate derivatives. </w:t>
            </w:r>
            <w:r>
              <w:rPr>
                <w:rStyle w:val="InstructionsTabelleberschrift"/>
                <w:rFonts w:ascii="Times New Roman" w:hAnsi="Times New Roman"/>
                <w:b w:val="0"/>
                <w:bCs w:val="0"/>
                <w:sz w:val="24"/>
                <w:u w:val="none"/>
              </w:rPr>
              <w:t xml:space="preserve">In particular, </w:t>
            </w:r>
            <w:r w:rsidRPr="00E602B2">
              <w:rPr>
                <w:rStyle w:val="InstructionsTabelleberschrift"/>
                <w:rFonts w:ascii="Times New Roman" w:hAnsi="Times New Roman"/>
                <w:b w:val="0"/>
                <w:bCs w:val="0"/>
                <w:sz w:val="24"/>
                <w:u w:val="none"/>
              </w:rPr>
              <w:t>all the assets and liabilities exclud</w:t>
            </w:r>
            <w:r>
              <w:rPr>
                <w:rStyle w:val="InstructionsTabelleberschrift"/>
                <w:rFonts w:ascii="Times New Roman" w:hAnsi="Times New Roman"/>
                <w:b w:val="0"/>
                <w:bCs w:val="0"/>
                <w:sz w:val="24"/>
                <w:u w:val="none"/>
              </w:rPr>
              <w:t>ing</w:t>
            </w:r>
            <w:r w:rsidRPr="00E602B2">
              <w:rPr>
                <w:rStyle w:val="InstructionsTabelleberschrift"/>
                <w:rFonts w:ascii="Times New Roman" w:hAnsi="Times New Roman"/>
                <w:b w:val="0"/>
                <w:bCs w:val="0"/>
                <w:sz w:val="24"/>
                <w:u w:val="none"/>
              </w:rPr>
              <w:t xml:space="preserve"> the effect of derivative</w:t>
            </w:r>
            <w:r>
              <w:rPr>
                <w:rStyle w:val="InstructionsTabelleberschrift"/>
                <w:rFonts w:ascii="Times New Roman" w:hAnsi="Times New Roman"/>
                <w:b w:val="0"/>
                <w:bCs w:val="0"/>
                <w:sz w:val="24"/>
                <w:u w:val="none"/>
              </w:rPr>
              <w:t>s.</w:t>
            </w:r>
          </w:p>
        </w:tc>
      </w:tr>
      <w:tr w:rsidR="0009034B" w:rsidRPr="00B32012" w14:paraId="521F16BB" w14:textId="77777777" w:rsidTr="00466F09">
        <w:tc>
          <w:tcPr>
            <w:tcW w:w="1629" w:type="dxa"/>
            <w:tcBorders>
              <w:top w:val="single" w:sz="4" w:space="0" w:color="auto"/>
              <w:left w:val="single" w:sz="4" w:space="0" w:color="auto"/>
              <w:bottom w:val="single" w:sz="4" w:space="0" w:color="auto"/>
              <w:right w:val="single" w:sz="4" w:space="0" w:color="auto"/>
            </w:tcBorders>
          </w:tcPr>
          <w:p w14:paraId="0F0F05AC" w14:textId="0F2E380E" w:rsidR="0009034B" w:rsidDel="00C13246" w:rsidRDefault="0021647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0560</w:t>
            </w:r>
          </w:p>
        </w:tc>
        <w:tc>
          <w:tcPr>
            <w:tcW w:w="7159" w:type="dxa"/>
            <w:tcBorders>
              <w:top w:val="single" w:sz="4" w:space="0" w:color="auto"/>
              <w:left w:val="single" w:sz="4" w:space="0" w:color="auto"/>
              <w:bottom w:val="single" w:sz="4" w:space="0" w:color="auto"/>
              <w:right w:val="single" w:sz="4" w:space="0" w:color="auto"/>
            </w:tcBorders>
          </w:tcPr>
          <w:p w14:paraId="5FA7A1D6" w14:textId="2372EE46" w:rsidR="00AF19C5" w:rsidRDefault="00736664" w:rsidP="0001573B">
            <w:pPr>
              <w:pStyle w:val="InstructionsText"/>
              <w:rPr>
                <w:rStyle w:val="InstructionsTabelleberschrift"/>
                <w:rFonts w:ascii="Times New Roman" w:hAnsi="Times New Roman"/>
                <w:b w:val="0"/>
                <w:bCs w:val="0"/>
                <w:sz w:val="24"/>
                <w:u w:val="none"/>
              </w:rPr>
            </w:pPr>
            <w:r w:rsidRPr="00736664">
              <w:rPr>
                <w:rStyle w:val="InstructionsTabelleberschrift"/>
                <w:rFonts w:ascii="Times New Roman" w:hAnsi="Times New Roman"/>
                <w:sz w:val="24"/>
              </w:rPr>
              <w:t>Net interest rate position with derivatives</w:t>
            </w:r>
          </w:p>
          <w:p w14:paraId="4E5947AA" w14:textId="53D59421" w:rsidR="0009034B" w:rsidRPr="00AA6996" w:rsidRDefault="003A3138"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A</w:t>
            </w:r>
            <w:r w:rsidR="0009034B" w:rsidRPr="005F0821">
              <w:rPr>
                <w:rStyle w:val="InstructionsTabelleberschrift"/>
                <w:rFonts w:ascii="Times New Roman" w:hAnsi="Times New Roman"/>
                <w:b w:val="0"/>
                <w:bCs w:val="0"/>
                <w:sz w:val="24"/>
                <w:u w:val="none"/>
              </w:rPr>
              <w:t xml:space="preserve">ll assets and liabilities, including </w:t>
            </w:r>
            <w:r w:rsidR="002B0564" w:rsidRPr="18E24F6C">
              <w:rPr>
                <w:lang w:val="en-US"/>
              </w:rPr>
              <w:t xml:space="preserve">off-balance sheet exposures and </w:t>
            </w:r>
            <w:r w:rsidR="0009034B" w:rsidRPr="005F0821">
              <w:rPr>
                <w:rStyle w:val="InstructionsTabelleberschrift"/>
                <w:rFonts w:ascii="Times New Roman" w:hAnsi="Times New Roman"/>
                <w:b w:val="0"/>
                <w:bCs w:val="0"/>
                <w:sz w:val="24"/>
                <w:u w:val="none"/>
              </w:rPr>
              <w:t>i</w:t>
            </w:r>
            <w:r w:rsidR="0009034B">
              <w:rPr>
                <w:rStyle w:val="InstructionsTabelleberschrift"/>
                <w:rFonts w:ascii="Times New Roman" w:hAnsi="Times New Roman"/>
                <w:b w:val="0"/>
                <w:bCs w:val="0"/>
                <w:sz w:val="24"/>
                <w:u w:val="none"/>
              </w:rPr>
              <w:t>n</w:t>
            </w:r>
            <w:r w:rsidR="0009034B" w:rsidRPr="005F0821">
              <w:rPr>
                <w:rStyle w:val="InstructionsTabelleberschrift"/>
                <w:rFonts w:ascii="Times New Roman" w:hAnsi="Times New Roman"/>
                <w:b w:val="0"/>
                <w:bCs w:val="0"/>
                <w:sz w:val="24"/>
                <w:u w:val="none"/>
              </w:rPr>
              <w:t>terest rate derivatives.</w:t>
            </w:r>
          </w:p>
        </w:tc>
      </w:tr>
      <w:tr w:rsidR="00741F94" w:rsidRPr="00B32012" w14:paraId="17E69CB4" w14:textId="77777777" w:rsidTr="00466F09">
        <w:tc>
          <w:tcPr>
            <w:tcW w:w="1629" w:type="dxa"/>
            <w:tcBorders>
              <w:top w:val="single" w:sz="4" w:space="0" w:color="auto"/>
              <w:left w:val="single" w:sz="4" w:space="0" w:color="auto"/>
              <w:bottom w:val="single" w:sz="4" w:space="0" w:color="auto"/>
              <w:right w:val="single" w:sz="4" w:space="0" w:color="auto"/>
            </w:tcBorders>
          </w:tcPr>
          <w:p w14:paraId="493F68F4" w14:textId="2C6A915C" w:rsidR="00741F94" w:rsidRPr="00B32012" w:rsidDel="001D16D7" w:rsidRDefault="0021647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0570</w:t>
            </w:r>
          </w:p>
        </w:tc>
        <w:tc>
          <w:tcPr>
            <w:tcW w:w="7159" w:type="dxa"/>
            <w:tcBorders>
              <w:top w:val="single" w:sz="4" w:space="0" w:color="auto"/>
              <w:left w:val="single" w:sz="4" w:space="0" w:color="auto"/>
              <w:bottom w:val="single" w:sz="4" w:space="0" w:color="auto"/>
              <w:right w:val="single" w:sz="4" w:space="0" w:color="auto"/>
            </w:tcBorders>
          </w:tcPr>
          <w:p w14:paraId="5074E4A3" w14:textId="2CD2D4ED" w:rsidR="001D2293" w:rsidRPr="007D6EFE" w:rsidRDefault="001D2293" w:rsidP="0001573B">
            <w:pPr>
              <w:pStyle w:val="InstructionsText"/>
              <w:rPr>
                <w:rStyle w:val="InstructionsTabelleberschrift"/>
                <w:rFonts w:ascii="Times New Roman" w:hAnsi="Times New Roman"/>
                <w:sz w:val="24"/>
                <w:lang w:eastAsia="en-US"/>
              </w:rPr>
            </w:pPr>
            <w:r w:rsidRPr="007D6EFE">
              <w:rPr>
                <w:rStyle w:val="InstructionsTabelleberschrift"/>
                <w:rFonts w:ascii="Times New Roman" w:hAnsi="Times New Roman"/>
                <w:sz w:val="24"/>
              </w:rPr>
              <w:t xml:space="preserve">Total Assets </w:t>
            </w:r>
            <w:r w:rsidDel="000677A2">
              <w:rPr>
                <w:rStyle w:val="InstructionsTabelleberschrift"/>
                <w:rFonts w:ascii="Times New Roman" w:hAnsi="Times New Roman"/>
                <w:sz w:val="24"/>
              </w:rPr>
              <w:t xml:space="preserve">with </w:t>
            </w:r>
            <w:r>
              <w:rPr>
                <w:rStyle w:val="InstructionsTabelleberschrift"/>
                <w:rFonts w:ascii="Times New Roman" w:hAnsi="Times New Roman"/>
                <w:sz w:val="24"/>
              </w:rPr>
              <w:t>MV</w:t>
            </w:r>
            <w:r w:rsidR="000677A2">
              <w:rPr>
                <w:rStyle w:val="InstructionsTabelleberschrift"/>
                <w:rFonts w:ascii="Times New Roman" w:hAnsi="Times New Roman"/>
                <w:sz w:val="24"/>
              </w:rPr>
              <w:t xml:space="preserve"> impact</w:t>
            </w:r>
          </w:p>
          <w:p w14:paraId="3C8D6849" w14:textId="0823B7F0" w:rsidR="00741F94" w:rsidRPr="00A34B2E" w:rsidRDefault="0033679B" w:rsidP="0001573B">
            <w:pPr>
              <w:pStyle w:val="InstructionsText"/>
              <w:rPr>
                <w:rStyle w:val="InstructionsTabelleberschrift"/>
                <w:rFonts w:ascii="Times New Roman" w:hAnsi="Times New Roman"/>
                <w:b w:val="0"/>
                <w:bCs w:val="0"/>
                <w:sz w:val="24"/>
                <w:u w:val="none"/>
                <w:lang w:eastAsia="en-US"/>
              </w:rPr>
            </w:pPr>
            <w:r w:rsidRPr="00320EC0">
              <w:rPr>
                <w:lang w:val="en-US"/>
              </w:rPr>
              <w:t>Total assets where MV changes are relevant for profit or loss or equity</w:t>
            </w:r>
            <w:r>
              <w:rPr>
                <w:lang w:val="en-US"/>
              </w:rPr>
              <w:t xml:space="preserve">, excluding </w:t>
            </w:r>
            <w:r w:rsidRPr="008523F9">
              <w:rPr>
                <w:lang w:val="en-US"/>
              </w:rPr>
              <w:t>non-accounting hedge derivatives reported under row 0530</w:t>
            </w:r>
            <w:r w:rsidRPr="00320EC0">
              <w:rPr>
                <w:lang w:val="en-US"/>
              </w:rPr>
              <w:t xml:space="preserve">. For institutions applying IFRS under Regulation No. 1606/2002, banking book assets that are recorded at fair value according to the applicable accounting framework (either through profit or loss or other comprehensive income), together with debt securities and other instruments recorded at amortized cost subject to a fair value hedge accounting. </w:t>
            </w:r>
            <w:r w:rsidRPr="008715BF">
              <w:rPr>
                <w:lang w:val="en-US"/>
              </w:rPr>
              <w:t xml:space="preserve">Derivatives </w:t>
            </w:r>
            <w:r>
              <w:rPr>
                <w:lang w:val="en-US"/>
              </w:rPr>
              <w:t xml:space="preserve">hedging assets </w:t>
            </w:r>
            <w:r w:rsidRPr="008715BF">
              <w:rPr>
                <w:lang w:val="en-US"/>
              </w:rPr>
              <w:t>in the banking book</w:t>
            </w:r>
            <w:r>
              <w:rPr>
                <w:lang w:val="en-US"/>
              </w:rPr>
              <w:t xml:space="preserve"> under a hedge accounting regime</w:t>
            </w:r>
            <w:r w:rsidRPr="008715BF">
              <w:rPr>
                <w:lang w:val="en-US"/>
              </w:rPr>
              <w:t xml:space="preserve"> shall be reported in this sect</w:t>
            </w:r>
            <w:r w:rsidRPr="00CD691E">
              <w:rPr>
                <w:lang w:val="en-US"/>
              </w:rPr>
              <w:t>ion</w:t>
            </w:r>
            <w:r w:rsidRPr="008715BF">
              <w:rPr>
                <w:lang w:val="en-US"/>
              </w:rPr>
              <w:t xml:space="preserve"> </w:t>
            </w:r>
            <w:r w:rsidRPr="00320EC0">
              <w:rPr>
                <w:lang w:val="en-US"/>
              </w:rPr>
              <w:t>except for the effective component of those accounting cash-flow hedge derivatives hedging amortized cost items in accordance with Article 33(1)(a) of the CRR.</w:t>
            </w:r>
          </w:p>
        </w:tc>
      </w:tr>
      <w:tr w:rsidR="002867FC" w:rsidRPr="00B32012" w14:paraId="0B3DA88C" w14:textId="77777777" w:rsidTr="00466F09">
        <w:tc>
          <w:tcPr>
            <w:tcW w:w="1629" w:type="dxa"/>
            <w:tcBorders>
              <w:top w:val="single" w:sz="4" w:space="0" w:color="auto"/>
              <w:left w:val="single" w:sz="4" w:space="0" w:color="auto"/>
              <w:bottom w:val="single" w:sz="4" w:space="0" w:color="auto"/>
              <w:right w:val="single" w:sz="4" w:space="0" w:color="auto"/>
            </w:tcBorders>
          </w:tcPr>
          <w:p w14:paraId="05165340" w14:textId="21051570" w:rsidR="002867FC" w:rsidRPr="00B32012" w:rsidRDefault="0021647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0580</w:t>
            </w:r>
          </w:p>
        </w:tc>
        <w:tc>
          <w:tcPr>
            <w:tcW w:w="7159" w:type="dxa"/>
            <w:tcBorders>
              <w:top w:val="single" w:sz="4" w:space="0" w:color="auto"/>
              <w:left w:val="single" w:sz="4" w:space="0" w:color="auto"/>
              <w:bottom w:val="single" w:sz="4" w:space="0" w:color="auto"/>
              <w:right w:val="single" w:sz="4" w:space="0" w:color="auto"/>
            </w:tcBorders>
          </w:tcPr>
          <w:p w14:paraId="6D030512" w14:textId="1CD5A301" w:rsidR="002867FC" w:rsidRPr="007D6EFE" w:rsidRDefault="002867FC" w:rsidP="0001573B">
            <w:pPr>
              <w:pStyle w:val="InstructionsText"/>
              <w:rPr>
                <w:rStyle w:val="InstructionsTabelleberschrift"/>
                <w:rFonts w:ascii="Times New Roman" w:hAnsi="Times New Roman"/>
                <w:sz w:val="24"/>
                <w:lang w:eastAsia="en-US"/>
              </w:rPr>
            </w:pPr>
            <w:r w:rsidRPr="007D6EFE">
              <w:rPr>
                <w:rStyle w:val="InstructionsTabelleberschrift"/>
                <w:rFonts w:ascii="Times New Roman" w:hAnsi="Times New Roman"/>
                <w:sz w:val="24"/>
              </w:rPr>
              <w:t>Debt securities</w:t>
            </w:r>
          </w:p>
          <w:p w14:paraId="2EF51544" w14:textId="4B5A3662" w:rsidR="006D2D2D" w:rsidRPr="000F5488" w:rsidRDefault="00855A8F" w:rsidP="0001573B">
            <w:pPr>
              <w:pStyle w:val="InstructionsText"/>
              <w:rPr>
                <w:rStyle w:val="InstructionsTabelleberschrift"/>
                <w:rFonts w:ascii="Times New Roman" w:hAnsi="Times New Roman"/>
                <w:b w:val="0"/>
                <w:sz w:val="24"/>
                <w:u w:val="none"/>
                <w:lang w:eastAsia="en-US"/>
              </w:rPr>
            </w:pPr>
            <w:r w:rsidRPr="00D732EB">
              <w:t>Debt securities</w:t>
            </w:r>
            <w:r>
              <w:t xml:space="preserve"> where MV changes are relevant for profit or loss or equity.</w:t>
            </w:r>
            <w:r w:rsidR="00D71CFD">
              <w:t xml:space="preserve"> </w:t>
            </w:r>
            <w:r w:rsidR="00D71CFD">
              <w:rPr>
                <w:lang w:val="en-US"/>
              </w:rPr>
              <w:t xml:space="preserve">It includes debt securities at fair value together with </w:t>
            </w:r>
            <w:r w:rsidR="00D71CFD" w:rsidRPr="0008533B">
              <w:rPr>
                <w:lang w:val="en-US"/>
              </w:rPr>
              <w:t>debt securities recorded at amortized cost subject to a fair value accounting</w:t>
            </w:r>
            <w:r w:rsidR="00D71CFD">
              <w:rPr>
                <w:lang w:val="en-US"/>
              </w:rPr>
              <w:t xml:space="preserve"> hedge.</w:t>
            </w:r>
          </w:p>
        </w:tc>
      </w:tr>
      <w:tr w:rsidR="002867FC" w:rsidRPr="00B32012" w14:paraId="5370A16B" w14:textId="77777777" w:rsidTr="00466F09">
        <w:tc>
          <w:tcPr>
            <w:tcW w:w="1629" w:type="dxa"/>
            <w:tcBorders>
              <w:top w:val="single" w:sz="4" w:space="0" w:color="auto"/>
              <w:left w:val="single" w:sz="4" w:space="0" w:color="auto"/>
              <w:bottom w:val="single" w:sz="4" w:space="0" w:color="auto"/>
              <w:right w:val="single" w:sz="4" w:space="0" w:color="auto"/>
            </w:tcBorders>
          </w:tcPr>
          <w:p w14:paraId="5777CA57" w14:textId="32DCFAAE" w:rsidR="002867FC" w:rsidRPr="00B32012" w:rsidRDefault="0021647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0590</w:t>
            </w:r>
          </w:p>
        </w:tc>
        <w:tc>
          <w:tcPr>
            <w:tcW w:w="7159" w:type="dxa"/>
            <w:tcBorders>
              <w:top w:val="single" w:sz="4" w:space="0" w:color="auto"/>
              <w:left w:val="single" w:sz="4" w:space="0" w:color="auto"/>
              <w:bottom w:val="single" w:sz="4" w:space="0" w:color="auto"/>
              <w:right w:val="single" w:sz="4" w:space="0" w:color="auto"/>
            </w:tcBorders>
          </w:tcPr>
          <w:p w14:paraId="1591F46E" w14:textId="090B7997" w:rsidR="002867FC" w:rsidRPr="00F43352" w:rsidRDefault="002867FC" w:rsidP="0001573B">
            <w:pPr>
              <w:pStyle w:val="InstructionsText"/>
              <w:rPr>
                <w:rStyle w:val="InstructionsTabelleberschrift"/>
                <w:rFonts w:ascii="Times New Roman" w:hAnsi="Times New Roman"/>
                <w:sz w:val="24"/>
                <w:lang w:eastAsia="en-US"/>
              </w:rPr>
            </w:pPr>
            <w:r w:rsidRPr="00B32012">
              <w:rPr>
                <w:rStyle w:val="InstructionsTabelleberschrift"/>
                <w:rFonts w:ascii="Times New Roman" w:hAnsi="Times New Roman"/>
                <w:sz w:val="24"/>
              </w:rPr>
              <w:t>Derivatives</w:t>
            </w:r>
          </w:p>
          <w:p w14:paraId="00FE0B0D" w14:textId="2C08D5EE" w:rsidR="000A3491" w:rsidRDefault="000A3491" w:rsidP="0001573B">
            <w:pPr>
              <w:pStyle w:val="InstructionsText"/>
              <w:rPr>
                <w:rStyle w:val="InstructionsTabelleberschrift"/>
                <w:rFonts w:ascii="Times New Roman" w:hAnsi="Times New Roman"/>
                <w:b w:val="0"/>
                <w:bCs w:val="0"/>
                <w:sz w:val="24"/>
                <w:u w:val="none"/>
                <w:lang w:eastAsia="en-US"/>
              </w:rPr>
            </w:pPr>
            <w:r>
              <w:rPr>
                <w:rStyle w:val="InstructionsTabelleberschrift"/>
                <w:rFonts w:ascii="Times New Roman" w:hAnsi="Times New Roman"/>
                <w:b w:val="0"/>
                <w:bCs w:val="0"/>
                <w:sz w:val="24"/>
                <w:u w:val="none"/>
              </w:rPr>
              <w:t xml:space="preserve">Derivatives in accordance with </w:t>
            </w:r>
            <w:r w:rsidRPr="003F3D6D">
              <w:rPr>
                <w:rStyle w:val="InstructionsTabelleberschrift"/>
                <w:rFonts w:ascii="Times New Roman" w:hAnsi="Times New Roman"/>
                <w:b w:val="0"/>
                <w:bCs w:val="0"/>
                <w:sz w:val="24"/>
                <w:u w:val="none"/>
              </w:rPr>
              <w:t>Article 2(1)</w:t>
            </w:r>
            <w:r w:rsidR="003A1178">
              <w:rPr>
                <w:rStyle w:val="InstructionsTabelleberschrift"/>
                <w:rFonts w:ascii="Times New Roman" w:hAnsi="Times New Roman"/>
                <w:b w:val="0"/>
                <w:bCs w:val="0"/>
                <w:sz w:val="24"/>
                <w:u w:val="none"/>
              </w:rPr>
              <w:t>, point (29</w:t>
            </w:r>
            <w:r w:rsidRPr="003F3D6D">
              <w:rPr>
                <w:rStyle w:val="InstructionsTabelleberschrift"/>
                <w:rFonts w:ascii="Times New Roman" w:hAnsi="Times New Roman"/>
                <w:b w:val="0"/>
                <w:bCs w:val="0"/>
                <w:sz w:val="24"/>
                <w:u w:val="none"/>
              </w:rPr>
              <w:t>) of Regulation (EU) No 600/2014 of the European Parliament and of the Council</w:t>
            </w:r>
            <w:r w:rsidRPr="001F2F4B">
              <w:rPr>
                <w:rStyle w:val="InstructionsTabelleberschrift"/>
                <w:rFonts w:ascii="Times New Roman" w:hAnsi="Times New Roman"/>
                <w:b w:val="0"/>
                <w:bCs w:val="0"/>
                <w:sz w:val="24"/>
                <w:u w:val="none"/>
              </w:rPr>
              <w:t>.</w:t>
            </w:r>
            <w:r>
              <w:rPr>
                <w:rStyle w:val="InstructionsTabelleberschrift"/>
                <w:rFonts w:ascii="Times New Roman" w:hAnsi="Times New Roman"/>
                <w:sz w:val="24"/>
                <w:u w:val="none"/>
              </w:rPr>
              <w:t xml:space="preserve"> </w:t>
            </w:r>
          </w:p>
          <w:p w14:paraId="200AA535" w14:textId="61DB02FE" w:rsidR="002867FC" w:rsidRPr="00F43352" w:rsidRDefault="00D71CFD" w:rsidP="0001573B">
            <w:pPr>
              <w:pStyle w:val="InstructionsText"/>
              <w:rPr>
                <w:rStyle w:val="InstructionsTabelleberschrift"/>
                <w:rFonts w:ascii="Times New Roman" w:hAnsi="Times New Roman"/>
                <w:sz w:val="24"/>
                <w:u w:val="none"/>
                <w:lang w:eastAsia="en-US"/>
              </w:rPr>
            </w:pPr>
            <w:r w:rsidRPr="00320EC0">
              <w:rPr>
                <w:lang w:val="en-US"/>
              </w:rPr>
              <w:t xml:space="preserve">Derivatives hedging assets </w:t>
            </w:r>
            <w:r>
              <w:rPr>
                <w:lang w:val="en-US"/>
              </w:rPr>
              <w:t>under a hedge accounting regime</w:t>
            </w:r>
            <w:r w:rsidRPr="00320EC0">
              <w:rPr>
                <w:lang w:val="en-US"/>
              </w:rPr>
              <w:t xml:space="preserve"> shall be reported in this row, excluding those derivatives designed as cash flow hedges hedging amortized cost items.</w:t>
            </w:r>
          </w:p>
        </w:tc>
      </w:tr>
      <w:tr w:rsidR="002867FC" w:rsidRPr="00B32012" w14:paraId="326006EE" w14:textId="77777777" w:rsidTr="00466F09">
        <w:tc>
          <w:tcPr>
            <w:tcW w:w="1629" w:type="dxa"/>
            <w:tcBorders>
              <w:top w:val="single" w:sz="4" w:space="0" w:color="auto"/>
              <w:left w:val="single" w:sz="4" w:space="0" w:color="auto"/>
              <w:bottom w:val="single" w:sz="4" w:space="0" w:color="auto"/>
              <w:right w:val="single" w:sz="4" w:space="0" w:color="auto"/>
            </w:tcBorders>
          </w:tcPr>
          <w:p w14:paraId="22ED646F" w14:textId="2B828D8C" w:rsidR="002867FC" w:rsidRPr="00B32012" w:rsidRDefault="0021647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0600</w:t>
            </w:r>
          </w:p>
        </w:tc>
        <w:tc>
          <w:tcPr>
            <w:tcW w:w="7159" w:type="dxa"/>
            <w:tcBorders>
              <w:top w:val="single" w:sz="4" w:space="0" w:color="auto"/>
              <w:left w:val="single" w:sz="4" w:space="0" w:color="auto"/>
              <w:bottom w:val="single" w:sz="4" w:space="0" w:color="auto"/>
              <w:right w:val="single" w:sz="4" w:space="0" w:color="auto"/>
            </w:tcBorders>
          </w:tcPr>
          <w:p w14:paraId="22C69A7C" w14:textId="680CD727" w:rsidR="002867FC" w:rsidRPr="00F43352" w:rsidRDefault="002867FC" w:rsidP="0001573B">
            <w:pPr>
              <w:pStyle w:val="InstructionsText"/>
              <w:rPr>
                <w:rStyle w:val="InstructionsTabelleberschrift"/>
                <w:rFonts w:ascii="Times New Roman" w:hAnsi="Times New Roman"/>
                <w:sz w:val="24"/>
                <w:lang w:eastAsia="en-US"/>
              </w:rPr>
            </w:pPr>
            <w:r w:rsidRPr="00B32012">
              <w:rPr>
                <w:rStyle w:val="InstructionsTabelleberschrift"/>
                <w:rFonts w:ascii="Times New Roman" w:hAnsi="Times New Roman"/>
                <w:sz w:val="24"/>
              </w:rPr>
              <w:t>Other</w:t>
            </w:r>
          </w:p>
          <w:p w14:paraId="1BFC1FE3" w14:textId="400823F8" w:rsidR="002867FC" w:rsidRPr="00F43352" w:rsidRDefault="002867FC" w:rsidP="0001573B">
            <w:pPr>
              <w:pStyle w:val="InstructionsText"/>
              <w:rPr>
                <w:rStyle w:val="InstructionsTabelleberschrift"/>
                <w:rFonts w:ascii="Times New Roman" w:hAnsi="Times New Roman"/>
                <w:b w:val="0"/>
                <w:bCs w:val="0"/>
                <w:sz w:val="24"/>
                <w:u w:val="none"/>
                <w:lang w:eastAsia="en-US"/>
              </w:rPr>
            </w:pPr>
            <w:r>
              <w:t>Other assets at fair v</w:t>
            </w:r>
            <w:r w:rsidRPr="00D732EB">
              <w:t>alue</w:t>
            </w:r>
            <w:r>
              <w:t>, together with other assets at amortized cost</w:t>
            </w:r>
            <w:r w:rsidRPr="00D732EB">
              <w:t xml:space="preserve"> subject to</w:t>
            </w:r>
            <w:r>
              <w:t xml:space="preserve"> a</w:t>
            </w:r>
            <w:r w:rsidRPr="00D732EB">
              <w:t xml:space="preserve"> </w:t>
            </w:r>
            <w:r>
              <w:t>fair value hedge accounting.</w:t>
            </w:r>
          </w:p>
        </w:tc>
      </w:tr>
      <w:tr w:rsidR="002867FC" w:rsidRPr="00B32012" w14:paraId="71CDBF7D" w14:textId="77777777" w:rsidTr="00466F09">
        <w:tc>
          <w:tcPr>
            <w:tcW w:w="1629" w:type="dxa"/>
            <w:tcBorders>
              <w:top w:val="single" w:sz="4" w:space="0" w:color="auto"/>
              <w:left w:val="single" w:sz="4" w:space="0" w:color="auto"/>
              <w:bottom w:val="single" w:sz="4" w:space="0" w:color="auto"/>
              <w:right w:val="single" w:sz="4" w:space="0" w:color="auto"/>
            </w:tcBorders>
          </w:tcPr>
          <w:p w14:paraId="28F6AC88" w14:textId="3FC9C123" w:rsidR="002867FC" w:rsidRDefault="0021647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0610</w:t>
            </w:r>
          </w:p>
        </w:tc>
        <w:tc>
          <w:tcPr>
            <w:tcW w:w="7159" w:type="dxa"/>
            <w:tcBorders>
              <w:top w:val="single" w:sz="4" w:space="0" w:color="auto"/>
              <w:left w:val="single" w:sz="4" w:space="0" w:color="auto"/>
              <w:bottom w:val="single" w:sz="4" w:space="0" w:color="auto"/>
              <w:right w:val="single" w:sz="4" w:space="0" w:color="auto"/>
            </w:tcBorders>
          </w:tcPr>
          <w:p w14:paraId="70D6BE53" w14:textId="312D5BE8" w:rsidR="002867FC" w:rsidRDefault="002867FC" w:rsidP="0001573B">
            <w:pPr>
              <w:pStyle w:val="InstructionsText"/>
              <w:rPr>
                <w:rStyle w:val="InstructionsTabelleberschrift"/>
                <w:rFonts w:ascii="Times New Roman" w:hAnsi="Times New Roman"/>
                <w:sz w:val="24"/>
                <w:lang w:eastAsia="en-US"/>
              </w:rPr>
            </w:pPr>
            <w:r w:rsidRPr="00A34B2E">
              <w:rPr>
                <w:rStyle w:val="InstructionsTabelleberschrift"/>
                <w:rFonts w:ascii="Times New Roman" w:hAnsi="Times New Roman"/>
                <w:sz w:val="24"/>
              </w:rPr>
              <w:t xml:space="preserve">Total </w:t>
            </w:r>
            <w:r>
              <w:rPr>
                <w:rStyle w:val="InstructionsTabelleberschrift"/>
                <w:rFonts w:ascii="Times New Roman" w:hAnsi="Times New Roman"/>
                <w:sz w:val="24"/>
              </w:rPr>
              <w:t>Liabilities</w:t>
            </w:r>
            <w:r w:rsidRPr="00A34B2E">
              <w:rPr>
                <w:rStyle w:val="InstructionsTabelleberschrift"/>
                <w:rFonts w:ascii="Times New Roman" w:hAnsi="Times New Roman"/>
                <w:sz w:val="24"/>
              </w:rPr>
              <w:t xml:space="preserve"> </w:t>
            </w:r>
            <w:r>
              <w:rPr>
                <w:rStyle w:val="InstructionsTabelleberschrift"/>
                <w:rFonts w:ascii="Times New Roman" w:hAnsi="Times New Roman"/>
                <w:sz w:val="24"/>
              </w:rPr>
              <w:t>with MV</w:t>
            </w:r>
            <w:r w:rsidR="00FE5C7E">
              <w:rPr>
                <w:rStyle w:val="InstructionsTabelleberschrift"/>
                <w:rFonts w:ascii="Times New Roman" w:hAnsi="Times New Roman"/>
                <w:sz w:val="24"/>
              </w:rPr>
              <w:t xml:space="preserve"> impact</w:t>
            </w:r>
          </w:p>
          <w:p w14:paraId="1AB95EED" w14:textId="77777777" w:rsidR="00D71CFD" w:rsidRPr="00D71CFD" w:rsidRDefault="00D71CFD" w:rsidP="00D71CFD">
            <w:pPr>
              <w:spacing w:line="238" w:lineRule="auto"/>
              <w:ind w:left="1" w:right="60"/>
              <w:rPr>
                <w:rFonts w:ascii="Times New Roman" w:hAnsi="Times New Roman"/>
                <w:sz w:val="24"/>
                <w:lang w:val="en-US"/>
              </w:rPr>
            </w:pPr>
            <w:r w:rsidRPr="00D71CFD">
              <w:rPr>
                <w:rFonts w:ascii="Times New Roman" w:hAnsi="Times New Roman"/>
                <w:sz w:val="24"/>
                <w:lang w:val="en-US"/>
              </w:rPr>
              <w:t>Total liabilities where MV changes are relevant for profit or loss or equity, excluding non-accounting hedge derivatives reported under row 0530.</w:t>
            </w:r>
          </w:p>
          <w:p w14:paraId="547B619E" w14:textId="030CFBB7" w:rsidR="00D71CFD" w:rsidRPr="00D71CFD" w:rsidRDefault="00D71CFD" w:rsidP="00D71CFD">
            <w:pPr>
              <w:spacing w:line="238" w:lineRule="auto"/>
              <w:ind w:left="1" w:right="60"/>
              <w:rPr>
                <w:rFonts w:ascii="Times New Roman" w:hAnsi="Times New Roman"/>
                <w:sz w:val="24"/>
                <w:lang w:val="en-US"/>
              </w:rPr>
            </w:pPr>
            <w:r w:rsidRPr="00D71CFD">
              <w:rPr>
                <w:rFonts w:ascii="Times New Roman" w:hAnsi="Times New Roman"/>
                <w:sz w:val="24"/>
                <w:lang w:val="en-US"/>
              </w:rPr>
              <w:t xml:space="preserve">. </w:t>
            </w:r>
          </w:p>
          <w:p w14:paraId="7E6E8ABF" w14:textId="1C5CDB18" w:rsidR="002867FC" w:rsidRPr="00B32012" w:rsidRDefault="00D71CFD" w:rsidP="0001573B">
            <w:pPr>
              <w:pStyle w:val="InstructionsText"/>
              <w:rPr>
                <w:rStyle w:val="InstructionsTabelleberschrift"/>
                <w:rFonts w:ascii="Times New Roman" w:hAnsi="Times New Roman"/>
                <w:sz w:val="24"/>
                <w:lang w:eastAsia="en-US"/>
              </w:rPr>
            </w:pPr>
            <w:r w:rsidRPr="00D71CFD">
              <w:rPr>
                <w:lang w:val="en-US"/>
              </w:rPr>
              <w:t>Liabilities that are recorded at fair value according to the applicable accounting framework (either through profit or loss or other comprehensive income) together with debt securities issued and other liabilities recorded at amortized cost subject to a fair value hedge accounting. Derivatives hedging liabilities under a hedge accounting regime</w:t>
            </w:r>
            <w:r w:rsidRPr="005A63A1">
              <w:rPr>
                <w:lang w:val="en-US"/>
              </w:rPr>
              <w:t xml:space="preserve"> </w:t>
            </w:r>
            <w:r w:rsidRPr="00D71CFD">
              <w:rPr>
                <w:lang w:val="en-US"/>
              </w:rPr>
              <w:t xml:space="preserve">shall also be reported in this section except for the effective component of those accounting cash-flow hedge derivatives </w:t>
            </w:r>
            <w:r w:rsidRPr="00320EC0">
              <w:rPr>
                <w:lang w:val="en-US"/>
              </w:rPr>
              <w:t>hedging amortized cost items in accordance with Article 33(1)(a) of the CRR.</w:t>
            </w:r>
          </w:p>
        </w:tc>
      </w:tr>
      <w:tr w:rsidR="002867FC" w:rsidRPr="00B32012" w14:paraId="27FD700A" w14:textId="77777777" w:rsidTr="00466F09">
        <w:tc>
          <w:tcPr>
            <w:tcW w:w="1629" w:type="dxa"/>
            <w:tcBorders>
              <w:top w:val="single" w:sz="4" w:space="0" w:color="auto"/>
              <w:left w:val="single" w:sz="4" w:space="0" w:color="auto"/>
              <w:bottom w:val="single" w:sz="4" w:space="0" w:color="auto"/>
              <w:right w:val="single" w:sz="4" w:space="0" w:color="auto"/>
            </w:tcBorders>
          </w:tcPr>
          <w:p w14:paraId="7D381338" w14:textId="7032D970" w:rsidR="002867FC" w:rsidRPr="00B32012" w:rsidRDefault="00216478"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0620</w:t>
            </w:r>
          </w:p>
        </w:tc>
        <w:tc>
          <w:tcPr>
            <w:tcW w:w="7159" w:type="dxa"/>
            <w:tcBorders>
              <w:top w:val="single" w:sz="4" w:space="0" w:color="auto"/>
              <w:left w:val="single" w:sz="4" w:space="0" w:color="auto"/>
              <w:bottom w:val="single" w:sz="4" w:space="0" w:color="auto"/>
              <w:right w:val="single" w:sz="4" w:space="0" w:color="auto"/>
            </w:tcBorders>
          </w:tcPr>
          <w:p w14:paraId="71A747D4" w14:textId="619827CA" w:rsidR="002867FC" w:rsidRPr="00B32012" w:rsidRDefault="002867FC" w:rsidP="0001573B">
            <w:pPr>
              <w:pStyle w:val="InstructionsText"/>
              <w:rPr>
                <w:rStyle w:val="InstructionsTabelleberschrift"/>
                <w:rFonts w:ascii="Times New Roman" w:hAnsi="Times New Roman"/>
                <w:sz w:val="24"/>
                <w:lang w:eastAsia="en-US"/>
              </w:rPr>
            </w:pPr>
            <w:r w:rsidRPr="00B32012">
              <w:rPr>
                <w:rStyle w:val="InstructionsTabelleberschrift"/>
                <w:rFonts w:ascii="Times New Roman" w:hAnsi="Times New Roman"/>
                <w:sz w:val="24"/>
              </w:rPr>
              <w:t>Debt securities</w:t>
            </w:r>
            <w:r w:rsidR="007F45ED">
              <w:rPr>
                <w:rStyle w:val="InstructionsTabelleberschrift"/>
                <w:rFonts w:ascii="Times New Roman" w:hAnsi="Times New Roman"/>
                <w:sz w:val="24"/>
              </w:rPr>
              <w:t xml:space="preserve"> issued</w:t>
            </w:r>
          </w:p>
          <w:p w14:paraId="4BAC31C0" w14:textId="30279E3E" w:rsidR="00C856CF" w:rsidRPr="000F5488" w:rsidRDefault="002867FC" w:rsidP="0001573B">
            <w:pPr>
              <w:pStyle w:val="InstructionsText"/>
              <w:rPr>
                <w:rStyle w:val="InstructionsTabelleberschrift"/>
                <w:rFonts w:ascii="Times New Roman" w:hAnsi="Times New Roman"/>
                <w:b w:val="0"/>
                <w:sz w:val="24"/>
                <w:u w:val="none"/>
                <w:lang w:eastAsia="en-US"/>
              </w:rPr>
            </w:pPr>
            <w:r w:rsidRPr="00D732EB">
              <w:t xml:space="preserve">Debt securities </w:t>
            </w:r>
            <w:r>
              <w:t xml:space="preserve">issued </w:t>
            </w:r>
            <w:r w:rsidR="00C856CF" w:rsidRPr="009C3A62">
              <w:rPr>
                <w:rStyle w:val="InstructionsTabelleberschrift"/>
                <w:rFonts w:ascii="Times New Roman" w:hAnsi="Times New Roman"/>
                <w:b w:val="0"/>
                <w:bCs w:val="0"/>
                <w:sz w:val="24"/>
                <w:u w:val="none"/>
              </w:rPr>
              <w:t>as securities by the institution that are not deposits, as defined in Part 1 Article 3</w:t>
            </w:r>
            <w:r w:rsidR="00C856CF">
              <w:rPr>
                <w:rStyle w:val="InstructionsTabelleberschrift"/>
                <w:rFonts w:ascii="Times New Roman" w:hAnsi="Times New Roman"/>
                <w:b w:val="0"/>
                <w:bCs w:val="0"/>
                <w:sz w:val="24"/>
                <w:u w:val="none"/>
              </w:rPr>
              <w:t>7</w:t>
            </w:r>
            <w:r w:rsidR="00C856CF" w:rsidRPr="009C3A62">
              <w:rPr>
                <w:rStyle w:val="InstructionsTabelleberschrift"/>
                <w:rFonts w:ascii="Times New Roman" w:hAnsi="Times New Roman"/>
                <w:b w:val="0"/>
                <w:bCs w:val="0"/>
                <w:sz w:val="24"/>
                <w:u w:val="none"/>
              </w:rPr>
              <w:t xml:space="preserve"> of Annex V of the </w:t>
            </w:r>
            <w:r w:rsidR="00C856CF" w:rsidRPr="00F302B4">
              <w:rPr>
                <w:rStyle w:val="InstructionsTabelleberschrift"/>
                <w:rFonts w:ascii="Times New Roman" w:hAnsi="Times New Roman"/>
                <w:b w:val="0"/>
                <w:sz w:val="24"/>
                <w:u w:val="none"/>
              </w:rPr>
              <w:t>ITS</w:t>
            </w:r>
            <w:r w:rsidR="00C856CF">
              <w:rPr>
                <w:rStyle w:val="InstructionsTabelleberschrift"/>
                <w:rFonts w:ascii="Times New Roman" w:hAnsi="Times New Roman"/>
                <w:b w:val="0"/>
                <w:sz w:val="24"/>
                <w:u w:val="none"/>
              </w:rPr>
              <w:t xml:space="preserve"> on supervisory reporting that are</w:t>
            </w:r>
            <w:r w:rsidR="00C856CF" w:rsidRPr="00D732EB">
              <w:t xml:space="preserve"> </w:t>
            </w:r>
            <w:r w:rsidRPr="00D732EB">
              <w:t xml:space="preserve">accounted </w:t>
            </w:r>
            <w:r w:rsidR="008A025E">
              <w:t>where MV changes are relevant for profit or loss or equity.</w:t>
            </w:r>
          </w:p>
        </w:tc>
      </w:tr>
      <w:tr w:rsidR="002867FC" w:rsidRPr="00B32012" w14:paraId="743169F2" w14:textId="77777777" w:rsidTr="00466F09">
        <w:tc>
          <w:tcPr>
            <w:tcW w:w="1629" w:type="dxa"/>
            <w:tcBorders>
              <w:top w:val="single" w:sz="4" w:space="0" w:color="auto"/>
              <w:left w:val="single" w:sz="4" w:space="0" w:color="auto"/>
              <w:bottom w:val="single" w:sz="4" w:space="0" w:color="auto"/>
              <w:right w:val="single" w:sz="4" w:space="0" w:color="auto"/>
            </w:tcBorders>
          </w:tcPr>
          <w:p w14:paraId="40BFE894" w14:textId="69CC7F9E" w:rsidR="002867FC" w:rsidRPr="00B32012" w:rsidRDefault="002867FC"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06</w:t>
            </w:r>
            <w:r w:rsidR="00216478">
              <w:rPr>
                <w:rStyle w:val="FormatvorlageInstructionsTabelleText"/>
                <w:rFonts w:ascii="Times New Roman" w:hAnsi="Times New Roman"/>
                <w:sz w:val="24"/>
              </w:rPr>
              <w:t>3</w:t>
            </w:r>
            <w:r>
              <w:rPr>
                <w:rStyle w:val="FormatvorlageInstructionsTabelleText"/>
                <w:rFonts w:ascii="Times New Roman" w:hAnsi="Times New Roman"/>
                <w:sz w:val="24"/>
              </w:rPr>
              <w:t>0</w:t>
            </w:r>
          </w:p>
        </w:tc>
        <w:tc>
          <w:tcPr>
            <w:tcW w:w="7159" w:type="dxa"/>
            <w:tcBorders>
              <w:top w:val="single" w:sz="4" w:space="0" w:color="auto"/>
              <w:left w:val="single" w:sz="4" w:space="0" w:color="auto"/>
              <w:bottom w:val="single" w:sz="4" w:space="0" w:color="auto"/>
              <w:right w:val="single" w:sz="4" w:space="0" w:color="auto"/>
            </w:tcBorders>
          </w:tcPr>
          <w:p w14:paraId="0ED08E23" w14:textId="4E023BED" w:rsidR="002867FC" w:rsidRPr="00466708" w:rsidRDefault="002867FC" w:rsidP="0001573B">
            <w:pPr>
              <w:pStyle w:val="InstructionsText"/>
              <w:rPr>
                <w:rStyle w:val="InstructionsTabelleberschrift"/>
                <w:rFonts w:ascii="Times New Roman" w:hAnsi="Times New Roman"/>
                <w:sz w:val="24"/>
                <w:lang w:eastAsia="en-US"/>
              </w:rPr>
            </w:pPr>
            <w:r w:rsidRPr="00B32012">
              <w:rPr>
                <w:rStyle w:val="InstructionsTabelleberschrift"/>
                <w:rFonts w:ascii="Times New Roman" w:hAnsi="Times New Roman"/>
                <w:sz w:val="24"/>
              </w:rPr>
              <w:t>Derivatives</w:t>
            </w:r>
          </w:p>
          <w:p w14:paraId="50E7B932" w14:textId="5F81C44B" w:rsidR="00217697" w:rsidRDefault="00217697" w:rsidP="0001573B">
            <w:pPr>
              <w:pStyle w:val="InstructionsText"/>
              <w:rPr>
                <w:rStyle w:val="InstructionsTabelleberschrift"/>
                <w:rFonts w:ascii="Times New Roman" w:hAnsi="Times New Roman"/>
                <w:sz w:val="24"/>
                <w:u w:val="none"/>
                <w:lang w:eastAsia="en-US"/>
              </w:rPr>
            </w:pPr>
            <w:r>
              <w:rPr>
                <w:rStyle w:val="InstructionsTabelleberschrift"/>
                <w:rFonts w:ascii="Times New Roman" w:hAnsi="Times New Roman"/>
                <w:b w:val="0"/>
                <w:bCs w:val="0"/>
                <w:sz w:val="24"/>
                <w:u w:val="none"/>
              </w:rPr>
              <w:t xml:space="preserve">Derivatives in accordance with </w:t>
            </w:r>
            <w:r w:rsidRPr="0027737D">
              <w:rPr>
                <w:rStyle w:val="InstructionsTabelleberschrift"/>
                <w:rFonts w:ascii="Times New Roman" w:hAnsi="Times New Roman"/>
                <w:b w:val="0"/>
                <w:bCs w:val="0"/>
                <w:sz w:val="24"/>
                <w:u w:val="none"/>
              </w:rPr>
              <w:t>Article 2(1)</w:t>
            </w:r>
            <w:r w:rsidR="004228F8">
              <w:rPr>
                <w:rStyle w:val="InstructionsTabelleberschrift"/>
                <w:rFonts w:ascii="Times New Roman" w:hAnsi="Times New Roman"/>
                <w:b w:val="0"/>
                <w:bCs w:val="0"/>
                <w:sz w:val="24"/>
                <w:u w:val="none"/>
              </w:rPr>
              <w:t xml:space="preserve">, </w:t>
            </w:r>
            <w:r w:rsidR="004228F8" w:rsidRPr="0027737D">
              <w:rPr>
                <w:rStyle w:val="InstructionsTabelleberschrift"/>
                <w:rFonts w:ascii="Times New Roman" w:hAnsi="Times New Roman"/>
                <w:b w:val="0"/>
                <w:bCs w:val="0"/>
                <w:sz w:val="24"/>
                <w:u w:val="none"/>
              </w:rPr>
              <w:t>point (29</w:t>
            </w:r>
            <w:r w:rsidRPr="0027737D">
              <w:rPr>
                <w:rStyle w:val="InstructionsTabelleberschrift"/>
                <w:rFonts w:ascii="Times New Roman" w:hAnsi="Times New Roman"/>
                <w:b w:val="0"/>
                <w:bCs w:val="0"/>
                <w:sz w:val="24"/>
                <w:u w:val="none"/>
              </w:rPr>
              <w:t>) of Regulation (EU) No 600/2014 of the European Parliament and of the Council</w:t>
            </w:r>
            <w:r w:rsidRPr="001F2F4B">
              <w:rPr>
                <w:rStyle w:val="InstructionsTabelleberschrift"/>
                <w:rFonts w:ascii="Times New Roman" w:hAnsi="Times New Roman"/>
                <w:b w:val="0"/>
                <w:bCs w:val="0"/>
                <w:sz w:val="24"/>
                <w:u w:val="none"/>
              </w:rPr>
              <w:t>.</w:t>
            </w:r>
            <w:r>
              <w:rPr>
                <w:rStyle w:val="InstructionsTabelleberschrift"/>
                <w:rFonts w:ascii="Times New Roman" w:hAnsi="Times New Roman"/>
                <w:sz w:val="24"/>
                <w:u w:val="none"/>
              </w:rPr>
              <w:t xml:space="preserve"> </w:t>
            </w:r>
          </w:p>
          <w:p w14:paraId="4721BBE0" w14:textId="76D127A1" w:rsidR="00217697" w:rsidRPr="00466708" w:rsidRDefault="00D71CFD" w:rsidP="0001573B">
            <w:pPr>
              <w:pStyle w:val="InstructionsText"/>
            </w:pPr>
            <w:r w:rsidRPr="00320EC0">
              <w:rPr>
                <w:lang w:val="en-US"/>
              </w:rPr>
              <w:t>Institutions shall report under this section the derivatives hedging liabilities</w:t>
            </w:r>
            <w:r>
              <w:rPr>
                <w:lang w:val="en-US"/>
              </w:rPr>
              <w:t xml:space="preserve"> under a hedge accounting regime</w:t>
            </w:r>
            <w:r w:rsidRPr="00320EC0">
              <w:rPr>
                <w:lang w:val="en-US"/>
              </w:rPr>
              <w:t>, excluding those derivatives designed as cash flow hedges hedging amortized cost items.</w:t>
            </w:r>
          </w:p>
        </w:tc>
      </w:tr>
      <w:tr w:rsidR="002867FC" w:rsidRPr="00B32012" w14:paraId="523BC217" w14:textId="77777777" w:rsidTr="00466F09">
        <w:tc>
          <w:tcPr>
            <w:tcW w:w="1629" w:type="dxa"/>
            <w:tcBorders>
              <w:top w:val="single" w:sz="4" w:space="0" w:color="auto"/>
              <w:left w:val="single" w:sz="4" w:space="0" w:color="auto"/>
              <w:bottom w:val="single" w:sz="4" w:space="0" w:color="auto"/>
              <w:right w:val="single" w:sz="4" w:space="0" w:color="auto"/>
            </w:tcBorders>
          </w:tcPr>
          <w:p w14:paraId="26BA667F" w14:textId="0432B819" w:rsidR="002867FC" w:rsidRPr="00B32012" w:rsidRDefault="002867FC" w:rsidP="0001573B">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06</w:t>
            </w:r>
            <w:r w:rsidR="00216478">
              <w:rPr>
                <w:rStyle w:val="FormatvorlageInstructionsTabelleText"/>
                <w:rFonts w:ascii="Times New Roman" w:hAnsi="Times New Roman"/>
                <w:sz w:val="24"/>
              </w:rPr>
              <w:t>4</w:t>
            </w:r>
            <w:r>
              <w:rPr>
                <w:rStyle w:val="FormatvorlageInstructionsTabelleText"/>
                <w:rFonts w:ascii="Times New Roman" w:hAnsi="Times New Roman"/>
                <w:sz w:val="24"/>
              </w:rPr>
              <w:t>0</w:t>
            </w:r>
          </w:p>
        </w:tc>
        <w:tc>
          <w:tcPr>
            <w:tcW w:w="7159" w:type="dxa"/>
            <w:tcBorders>
              <w:top w:val="single" w:sz="4" w:space="0" w:color="auto"/>
              <w:left w:val="single" w:sz="4" w:space="0" w:color="auto"/>
              <w:bottom w:val="single" w:sz="4" w:space="0" w:color="auto"/>
              <w:right w:val="single" w:sz="4" w:space="0" w:color="auto"/>
            </w:tcBorders>
          </w:tcPr>
          <w:p w14:paraId="049BF2BA" w14:textId="2AC3000F" w:rsidR="00684CE6" w:rsidRPr="00466708" w:rsidRDefault="00684CE6" w:rsidP="0001573B">
            <w:pPr>
              <w:pStyle w:val="InstructionsText"/>
              <w:rPr>
                <w:rStyle w:val="InstructionsTabelleberschrift"/>
                <w:rFonts w:ascii="Times New Roman" w:hAnsi="Times New Roman"/>
                <w:sz w:val="24"/>
                <w:lang w:eastAsia="en-US"/>
              </w:rPr>
            </w:pPr>
            <w:r w:rsidRPr="00B32012">
              <w:rPr>
                <w:rStyle w:val="InstructionsTabelleberschrift"/>
                <w:rFonts w:ascii="Times New Roman" w:hAnsi="Times New Roman"/>
                <w:sz w:val="24"/>
              </w:rPr>
              <w:t>Other</w:t>
            </w:r>
          </w:p>
          <w:p w14:paraId="4D8DC141" w14:textId="49CB700B" w:rsidR="002867FC" w:rsidRPr="00466708" w:rsidRDefault="002867FC" w:rsidP="0001573B">
            <w:pPr>
              <w:pStyle w:val="InstructionsText"/>
              <w:rPr>
                <w:rStyle w:val="InstructionsTabelleberschrift"/>
                <w:rFonts w:ascii="Times New Roman" w:hAnsi="Times New Roman"/>
                <w:b w:val="0"/>
                <w:bCs w:val="0"/>
                <w:sz w:val="24"/>
                <w:u w:val="none"/>
                <w:lang w:eastAsia="en-US"/>
              </w:rPr>
            </w:pPr>
            <w:r>
              <w:t>Other liabilities at fair v</w:t>
            </w:r>
            <w:r w:rsidRPr="00D732EB">
              <w:t>alue</w:t>
            </w:r>
            <w:r>
              <w:t>, together with other liabilities at amortized cost</w:t>
            </w:r>
            <w:r w:rsidRPr="00D732EB">
              <w:t xml:space="preserve"> subject to</w:t>
            </w:r>
            <w:r>
              <w:t xml:space="preserve"> a</w:t>
            </w:r>
            <w:r w:rsidRPr="00D732EB">
              <w:t xml:space="preserve"> </w:t>
            </w:r>
            <w:r>
              <w:t>fair value hedge accounting</w:t>
            </w:r>
          </w:p>
        </w:tc>
      </w:tr>
    </w:tbl>
    <w:p w14:paraId="25EBEDF0" w14:textId="1A54DBA0" w:rsidR="00F02616" w:rsidRDefault="00F02616" w:rsidP="006137FD">
      <w:pPr>
        <w:spacing w:after="0"/>
        <w:rPr>
          <w:sz w:val="24"/>
        </w:rPr>
      </w:pPr>
    </w:p>
    <w:p w14:paraId="7791B105" w14:textId="4EF32722" w:rsidR="00DD00B4" w:rsidRPr="00EB4F9A" w:rsidRDefault="00DD00B4" w:rsidP="006137FD">
      <w:pPr>
        <w:spacing w:after="0"/>
        <w:rPr>
          <w:rStyle w:val="InstructionsTabelleText"/>
          <w:rFonts w:ascii="Times New Roman" w:hAnsi="Times New Roman"/>
          <w:sz w:val="24"/>
        </w:rPr>
      </w:pPr>
    </w:p>
    <w:tbl>
      <w:tblPr>
        <w:tblW w:w="90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7308"/>
      </w:tblGrid>
      <w:tr w:rsidR="00DE4D5E" w:rsidRPr="00EB4F9A" w14:paraId="74EEFDB7" w14:textId="77777777" w:rsidTr="00466F09">
        <w:tc>
          <w:tcPr>
            <w:tcW w:w="1701" w:type="dxa"/>
            <w:shd w:val="clear" w:color="auto" w:fill="D9D9D9" w:themeFill="background1" w:themeFillShade="D9"/>
          </w:tcPr>
          <w:p w14:paraId="3C4B2978" w14:textId="77777777" w:rsidR="00DE4D5E" w:rsidRPr="00EB4F9A" w:rsidRDefault="00DE4D5E" w:rsidP="0001573B">
            <w:pPr>
              <w:pStyle w:val="InstructionsText"/>
              <w:rPr>
                <w:rStyle w:val="InstructionsTabelleText"/>
                <w:rFonts w:ascii="Times New Roman" w:hAnsi="Times New Roman"/>
                <w:sz w:val="24"/>
                <w:lang w:eastAsia="en-US"/>
              </w:rPr>
            </w:pPr>
            <w:r w:rsidRPr="00EB4F9A">
              <w:rPr>
                <w:rStyle w:val="InstructionsTabelleText"/>
                <w:rFonts w:ascii="Times New Roman" w:hAnsi="Times New Roman"/>
                <w:sz w:val="24"/>
              </w:rPr>
              <w:t>Columns</w:t>
            </w:r>
          </w:p>
        </w:tc>
        <w:tc>
          <w:tcPr>
            <w:tcW w:w="7308" w:type="dxa"/>
            <w:shd w:val="clear" w:color="auto" w:fill="D9D9D9" w:themeFill="background1" w:themeFillShade="D9"/>
          </w:tcPr>
          <w:p w14:paraId="2A82BF3B" w14:textId="77777777" w:rsidR="00DE4D5E" w:rsidRPr="00EB4F9A" w:rsidRDefault="00DE4D5E" w:rsidP="0001573B">
            <w:pPr>
              <w:pStyle w:val="InstructionsText"/>
              <w:rPr>
                <w:rStyle w:val="InstructionsTabelleText"/>
                <w:rFonts w:ascii="Times New Roman" w:hAnsi="Times New Roman"/>
                <w:sz w:val="24"/>
                <w:lang w:eastAsia="en-US"/>
              </w:rPr>
            </w:pPr>
            <w:r w:rsidRPr="00EB4F9A">
              <w:rPr>
                <w:rStyle w:val="InstructionsTabelleText"/>
                <w:rFonts w:ascii="Times New Roman" w:hAnsi="Times New Roman"/>
                <w:sz w:val="24"/>
              </w:rPr>
              <w:t>Legal references and instructions</w:t>
            </w:r>
          </w:p>
        </w:tc>
      </w:tr>
      <w:tr w:rsidR="0020221E" w:rsidRPr="00901CBA" w14:paraId="6332F4DC" w14:textId="77777777" w:rsidTr="00466F09">
        <w:tc>
          <w:tcPr>
            <w:tcW w:w="1701" w:type="dxa"/>
            <w:shd w:val="clear" w:color="auto" w:fill="auto"/>
          </w:tcPr>
          <w:p w14:paraId="51E6FC62" w14:textId="3666E55F" w:rsidR="0020221E" w:rsidRPr="00466F09" w:rsidRDefault="0020221E" w:rsidP="0001573B">
            <w:pPr>
              <w:pStyle w:val="InstructionsText"/>
              <w:rPr>
                <w:rStyle w:val="FormatvorlageInstructionsTabelleText"/>
                <w:rFonts w:ascii="Times New Roman" w:hAnsi="Times New Roman"/>
                <w:sz w:val="24"/>
              </w:rPr>
            </w:pPr>
            <w:r w:rsidRPr="00466F09">
              <w:rPr>
                <w:rStyle w:val="FormatvorlageInstructionsTabelleText"/>
                <w:rFonts w:ascii="Times New Roman" w:hAnsi="Times New Roman"/>
                <w:sz w:val="24"/>
              </w:rPr>
              <w:t>0010</w:t>
            </w:r>
          </w:p>
        </w:tc>
        <w:tc>
          <w:tcPr>
            <w:tcW w:w="7308" w:type="dxa"/>
            <w:shd w:val="clear" w:color="auto" w:fill="auto"/>
          </w:tcPr>
          <w:p w14:paraId="414B91EC" w14:textId="77777777" w:rsidR="002D30D8" w:rsidRPr="00EB4F9A" w:rsidRDefault="002D30D8" w:rsidP="0001573B">
            <w:pPr>
              <w:pStyle w:val="InstructionsText"/>
              <w:rPr>
                <w:rStyle w:val="InstructionsTabelleberschrift"/>
                <w:rFonts w:ascii="Times New Roman" w:hAnsi="Times New Roman"/>
                <w:sz w:val="24"/>
                <w:lang w:eastAsia="en-US"/>
              </w:rPr>
            </w:pPr>
            <w:r w:rsidRPr="00EB4F9A">
              <w:rPr>
                <w:rStyle w:val="InstructionsTabelleberschrift"/>
                <w:rFonts w:ascii="Times New Roman" w:hAnsi="Times New Roman"/>
                <w:sz w:val="24"/>
              </w:rPr>
              <w:t xml:space="preserve">Carrying </w:t>
            </w:r>
            <w:r>
              <w:rPr>
                <w:rStyle w:val="InstructionsTabelleberschrift"/>
                <w:rFonts w:ascii="Times New Roman" w:hAnsi="Times New Roman"/>
                <w:sz w:val="24"/>
              </w:rPr>
              <w:t>a</w:t>
            </w:r>
            <w:r w:rsidRPr="00EB4F9A">
              <w:rPr>
                <w:rStyle w:val="InstructionsTabelleberschrift"/>
                <w:rFonts w:ascii="Times New Roman" w:hAnsi="Times New Roman"/>
                <w:sz w:val="24"/>
              </w:rPr>
              <w:t>mount</w:t>
            </w:r>
          </w:p>
          <w:p w14:paraId="256D0A5A" w14:textId="665154BE" w:rsidR="0020221E" w:rsidRPr="00466F09" w:rsidRDefault="002D30D8" w:rsidP="0001573B">
            <w:pPr>
              <w:pStyle w:val="InstructionsText"/>
              <w:rPr>
                <w:rStyle w:val="FormatvorlageInstructionsTabelleText"/>
                <w:rFonts w:ascii="Times New Roman" w:hAnsi="Times New Roman"/>
                <w:b/>
                <w:bCs w:val="0"/>
                <w:sz w:val="24"/>
                <w:u w:val="single"/>
              </w:rPr>
            </w:pPr>
            <w:r>
              <w:rPr>
                <w:rStyle w:val="InstructionsTabelleberschrift"/>
                <w:rFonts w:ascii="Times New Roman" w:hAnsi="Times New Roman"/>
                <w:b w:val="0"/>
                <w:sz w:val="24"/>
                <w:u w:val="none"/>
              </w:rPr>
              <w:t xml:space="preserve">Paragraph 27 of Part </w:t>
            </w:r>
            <w:r w:rsidR="000D44F9">
              <w:rPr>
                <w:rStyle w:val="InstructionsTabelleberschrift"/>
                <w:rFonts w:ascii="Times New Roman" w:hAnsi="Times New Roman"/>
                <w:b w:val="0"/>
                <w:sz w:val="24"/>
                <w:u w:val="none"/>
              </w:rPr>
              <w:t>1</w:t>
            </w:r>
            <w:r>
              <w:rPr>
                <w:rStyle w:val="InstructionsTabelleberschrift"/>
                <w:rFonts w:ascii="Times New Roman" w:hAnsi="Times New Roman"/>
                <w:b w:val="0"/>
                <w:sz w:val="24"/>
                <w:u w:val="none"/>
              </w:rPr>
              <w:t xml:space="preserve">, </w:t>
            </w:r>
            <w:r w:rsidRPr="00F302B4">
              <w:rPr>
                <w:rStyle w:val="InstructionsTabelleberschrift"/>
                <w:rFonts w:ascii="Times New Roman" w:hAnsi="Times New Roman"/>
                <w:b w:val="0"/>
                <w:sz w:val="24"/>
                <w:u w:val="none"/>
              </w:rPr>
              <w:t>Annex V of the</w:t>
            </w:r>
            <w:r>
              <w:rPr>
                <w:rStyle w:val="InstructionsTabelleberschrift"/>
                <w:rFonts w:ascii="Times New Roman" w:hAnsi="Times New Roman"/>
                <w:b w:val="0"/>
                <w:sz w:val="24"/>
                <w:u w:val="none"/>
              </w:rPr>
              <w:t xml:space="preserve"> ITS on Supervisory Reporting.</w:t>
            </w:r>
          </w:p>
        </w:tc>
      </w:tr>
      <w:tr w:rsidR="0020221E" w:rsidRPr="0033679B" w14:paraId="5F1440C3" w14:textId="77777777" w:rsidTr="00466F09">
        <w:tc>
          <w:tcPr>
            <w:tcW w:w="1701" w:type="dxa"/>
            <w:shd w:val="clear" w:color="auto" w:fill="auto"/>
          </w:tcPr>
          <w:p w14:paraId="55FE2AE0" w14:textId="79BE3587" w:rsidR="0020221E" w:rsidRPr="0033679B" w:rsidRDefault="0020221E" w:rsidP="0001573B">
            <w:pPr>
              <w:pStyle w:val="InstructionsText"/>
              <w:rPr>
                <w:rStyle w:val="FormatvorlageInstructionsTabelleText"/>
                <w:rFonts w:ascii="Times New Roman" w:hAnsi="Times New Roman"/>
                <w:sz w:val="24"/>
              </w:rPr>
            </w:pPr>
            <w:r w:rsidRPr="0033679B">
              <w:rPr>
                <w:rStyle w:val="FormatvorlageInstructionsTabelleText"/>
                <w:rFonts w:ascii="Times New Roman" w:hAnsi="Times New Roman"/>
                <w:sz w:val="24"/>
              </w:rPr>
              <w:t>0020</w:t>
            </w:r>
          </w:p>
        </w:tc>
        <w:tc>
          <w:tcPr>
            <w:tcW w:w="7308" w:type="dxa"/>
            <w:shd w:val="clear" w:color="auto" w:fill="auto"/>
          </w:tcPr>
          <w:p w14:paraId="0E9EABEF" w14:textId="77777777" w:rsidR="0020221E" w:rsidRPr="0033679B" w:rsidRDefault="00845A45" w:rsidP="0001573B">
            <w:pPr>
              <w:pStyle w:val="InstructionsText"/>
              <w:rPr>
                <w:rStyle w:val="FormatvorlageInstructionsTabelleText"/>
                <w:rFonts w:ascii="Times New Roman" w:hAnsi="Times New Roman"/>
                <w:b/>
                <w:bCs w:val="0"/>
                <w:sz w:val="24"/>
                <w:u w:val="single"/>
              </w:rPr>
            </w:pPr>
            <w:r w:rsidRPr="0033679B">
              <w:rPr>
                <w:rStyle w:val="FormatvorlageInstructionsTabelleText"/>
                <w:rFonts w:ascii="Times New Roman" w:hAnsi="Times New Roman"/>
                <w:b/>
                <w:bCs w:val="0"/>
                <w:sz w:val="24"/>
                <w:u w:val="single"/>
              </w:rPr>
              <w:t>Duration</w:t>
            </w:r>
          </w:p>
          <w:p w14:paraId="0B50AF85" w14:textId="242147B1" w:rsidR="0033679B" w:rsidRPr="005A63A1" w:rsidRDefault="0005330F" w:rsidP="0033679B">
            <w:pPr>
              <w:spacing w:after="0" w:line="259" w:lineRule="auto"/>
              <w:ind w:left="2"/>
              <w:jc w:val="left"/>
              <w:rPr>
                <w:rFonts w:ascii="Times New Roman" w:hAnsi="Times New Roman"/>
                <w:sz w:val="24"/>
                <w:lang w:val="en-US"/>
              </w:rPr>
            </w:pPr>
            <w:r w:rsidRPr="0033679B">
              <w:rPr>
                <w:rFonts w:ascii="Times New Roman" w:hAnsi="Times New Roman"/>
                <w:sz w:val="24"/>
                <w:lang w:val="en-US"/>
              </w:rPr>
              <w:t>Modified duration</w:t>
            </w:r>
            <w:r w:rsidR="00FD7F83" w:rsidRPr="0033679B">
              <w:rPr>
                <w:rFonts w:ascii="Times New Roman" w:hAnsi="Times New Roman"/>
                <w:sz w:val="24"/>
                <w:lang w:val="en-US"/>
              </w:rPr>
              <w:t xml:space="preserve"> (‘Dmod’)</w:t>
            </w:r>
            <w:r w:rsidRPr="0033679B">
              <w:rPr>
                <w:rFonts w:ascii="Times New Roman" w:hAnsi="Times New Roman"/>
                <w:sz w:val="24"/>
                <w:lang w:val="en-US"/>
              </w:rPr>
              <w:t>, including automatically optionality</w:t>
            </w:r>
            <w:r w:rsidR="0074755E" w:rsidRPr="0033679B">
              <w:rPr>
                <w:rFonts w:ascii="Times New Roman" w:hAnsi="Times New Roman"/>
                <w:sz w:val="24"/>
                <w:lang w:val="en-US"/>
              </w:rPr>
              <w:t xml:space="preserve">, </w:t>
            </w:r>
            <w:r w:rsidR="00FD7F83" w:rsidRPr="0033679B">
              <w:rPr>
                <w:rFonts w:ascii="Times New Roman" w:hAnsi="Times New Roman"/>
                <w:sz w:val="24"/>
                <w:lang w:val="en-US"/>
              </w:rPr>
              <w:t xml:space="preserve">where: </w:t>
            </w:r>
            <w:r w:rsidR="0033679B" w:rsidRPr="005A63A1">
              <w:rPr>
                <w:rFonts w:ascii="Times New Roman" w:hAnsi="Times New Roman"/>
                <w:sz w:val="24"/>
                <w:lang w:val="en-US"/>
              </w:rPr>
              <w:t xml:space="preserve">Dmod = - EV01 / (Economic Value * 0.0001) </w:t>
            </w:r>
          </w:p>
          <w:p w14:paraId="12BFB1CA" w14:textId="316A4427" w:rsidR="00FC06C4" w:rsidRPr="0033679B" w:rsidRDefault="0033679B" w:rsidP="0001573B">
            <w:pPr>
              <w:pStyle w:val="InstructionsText"/>
              <w:rPr>
                <w:rStyle w:val="FormatvorlageInstructionsTabelleText"/>
                <w:rFonts w:ascii="Times New Roman" w:hAnsi="Times New Roman"/>
                <w:sz w:val="24"/>
              </w:rPr>
            </w:pPr>
            <w:r w:rsidRPr="005A63A1">
              <w:rPr>
                <w:lang w:val="en-US"/>
              </w:rPr>
              <w:t>EV</w:t>
            </w:r>
            <w:r w:rsidRPr="0033679B">
              <w:rPr>
                <w:lang w:val="en-US"/>
              </w:rPr>
              <w:t xml:space="preserve">01 equals </w:t>
            </w:r>
            <w:r w:rsidRPr="005A63A1">
              <w:rPr>
                <w:lang w:val="en-US"/>
              </w:rPr>
              <w:t>to a +</w:t>
            </w:r>
            <w:r w:rsidRPr="0033679B">
              <w:rPr>
                <w:lang w:val="en-US"/>
              </w:rPr>
              <w:t xml:space="preserve">1 bps sensitivity (parallel shock) </w:t>
            </w:r>
            <w:r w:rsidRPr="005A63A1">
              <w:rPr>
                <w:lang w:val="en-US"/>
              </w:rPr>
              <w:t xml:space="preserve">of the </w:t>
            </w:r>
            <w:r w:rsidRPr="0033679B">
              <w:rPr>
                <w:lang w:val="en-US"/>
              </w:rPr>
              <w:t>Economic value.</w:t>
            </w:r>
          </w:p>
        </w:tc>
      </w:tr>
      <w:tr w:rsidR="00DE4D5E" w:rsidRPr="00EB4F9A" w14:paraId="659E0F8D" w14:textId="77777777" w:rsidTr="00466F09">
        <w:tc>
          <w:tcPr>
            <w:tcW w:w="1701" w:type="dxa"/>
          </w:tcPr>
          <w:p w14:paraId="6D0DD35B" w14:textId="2A77B439" w:rsidR="00DE4D5E" w:rsidRPr="004F4ED3" w:rsidRDefault="006A580B"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00</w:t>
            </w:r>
            <w:r w:rsidR="00196B16">
              <w:rPr>
                <w:rStyle w:val="FormatvorlageInstructionsTabelleText"/>
                <w:rFonts w:ascii="Times New Roman" w:hAnsi="Times New Roman"/>
                <w:sz w:val="24"/>
              </w:rPr>
              <w:t>3</w:t>
            </w:r>
            <w:r w:rsidRPr="00EB4F9A">
              <w:rPr>
                <w:rStyle w:val="FormatvorlageInstructionsTabelleText"/>
                <w:rFonts w:ascii="Times New Roman" w:hAnsi="Times New Roman"/>
                <w:sz w:val="24"/>
              </w:rPr>
              <w:t>0-0</w:t>
            </w:r>
            <w:r w:rsidR="00531D9F">
              <w:rPr>
                <w:rStyle w:val="FormatvorlageInstructionsTabelleText"/>
                <w:rFonts w:ascii="Times New Roman" w:hAnsi="Times New Roman"/>
                <w:sz w:val="24"/>
              </w:rPr>
              <w:t>0</w:t>
            </w:r>
            <w:r w:rsidR="00196B16">
              <w:rPr>
                <w:rStyle w:val="FormatvorlageInstructionsTabelleText"/>
                <w:rFonts w:ascii="Times New Roman" w:hAnsi="Times New Roman"/>
                <w:sz w:val="24"/>
              </w:rPr>
              <w:t>9</w:t>
            </w:r>
            <w:r w:rsidRPr="00EB4F9A">
              <w:rPr>
                <w:rStyle w:val="FormatvorlageInstructionsTabelleText"/>
                <w:rFonts w:ascii="Times New Roman" w:hAnsi="Times New Roman"/>
                <w:sz w:val="24"/>
              </w:rPr>
              <w:t>0</w:t>
            </w:r>
          </w:p>
        </w:tc>
        <w:tc>
          <w:tcPr>
            <w:tcW w:w="7308" w:type="dxa"/>
          </w:tcPr>
          <w:p w14:paraId="4672288B" w14:textId="1CF64418" w:rsidR="00DE4D5E" w:rsidRPr="00EB4F9A" w:rsidRDefault="00DE4D5E" w:rsidP="0001573B">
            <w:pPr>
              <w:pStyle w:val="InstructionsText"/>
              <w:rPr>
                <w:rStyle w:val="InstructionsTabelleberschrift"/>
                <w:rFonts w:ascii="Times New Roman" w:hAnsi="Times New Roman"/>
                <w:sz w:val="24"/>
              </w:rPr>
            </w:pPr>
            <w:r w:rsidRPr="00EB4F9A">
              <w:rPr>
                <w:rStyle w:val="InstructionsTabelleberschrift"/>
                <w:rFonts w:ascii="Times New Roman" w:hAnsi="Times New Roman"/>
                <w:sz w:val="24"/>
              </w:rPr>
              <w:t xml:space="preserve">Economic </w:t>
            </w:r>
            <w:r w:rsidR="00A667B3">
              <w:rPr>
                <w:rStyle w:val="InstructionsTabelleberschrift"/>
                <w:rFonts w:ascii="Times New Roman" w:hAnsi="Times New Roman"/>
                <w:sz w:val="24"/>
              </w:rPr>
              <w:t>v</w:t>
            </w:r>
            <w:r w:rsidRPr="00EB4F9A">
              <w:rPr>
                <w:rStyle w:val="InstructionsTabelleberschrift"/>
                <w:rFonts w:ascii="Times New Roman" w:hAnsi="Times New Roman"/>
                <w:sz w:val="24"/>
              </w:rPr>
              <w:t xml:space="preserve">alue of </w:t>
            </w:r>
            <w:r w:rsidR="00A667B3">
              <w:rPr>
                <w:rStyle w:val="InstructionsTabelleberschrift"/>
                <w:rFonts w:ascii="Times New Roman" w:hAnsi="Times New Roman"/>
                <w:sz w:val="24"/>
              </w:rPr>
              <w:t>e</w:t>
            </w:r>
            <w:r w:rsidRPr="00EB4F9A">
              <w:rPr>
                <w:rStyle w:val="InstructionsTabelleberschrift"/>
                <w:rFonts w:ascii="Times New Roman" w:hAnsi="Times New Roman"/>
                <w:sz w:val="24"/>
              </w:rPr>
              <w:t>quity</w:t>
            </w:r>
          </w:p>
          <w:p w14:paraId="248A3849" w14:textId="21777469" w:rsidR="00DE4D5E" w:rsidRPr="00EB4F9A" w:rsidRDefault="0061536B" w:rsidP="0001573B">
            <w:pPr>
              <w:pStyle w:val="InstructionsText"/>
              <w:rPr>
                <w:rStyle w:val="InstructionsTabelleberschrift"/>
                <w:rFonts w:ascii="Times New Roman" w:hAnsi="Times New Roman"/>
                <w:b w:val="0"/>
                <w:sz w:val="24"/>
                <w:u w:val="none"/>
              </w:rPr>
            </w:pPr>
            <w:r>
              <w:t xml:space="preserve">Institutions shall follow the same instructions as </w:t>
            </w:r>
            <w:r w:rsidR="00CF1561">
              <w:t>described in</w:t>
            </w:r>
            <w:r w:rsidRPr="000B6B22">
              <w:t xml:space="preserve"> {</w:t>
            </w:r>
            <w:r w:rsidR="00CF1561">
              <w:t>J 01.00</w:t>
            </w:r>
            <w:r w:rsidRPr="000B6B22">
              <w:t>; r0</w:t>
            </w:r>
            <w:r w:rsidR="00057D6D">
              <w:t>010-r0090}</w:t>
            </w:r>
            <w:r w:rsidRPr="000B6B22">
              <w:t>.</w:t>
            </w:r>
          </w:p>
        </w:tc>
      </w:tr>
      <w:tr w:rsidR="00DE4D5E" w:rsidRPr="00EB4F9A" w14:paraId="5013F5EE" w14:textId="77777777" w:rsidTr="00466F09">
        <w:tc>
          <w:tcPr>
            <w:tcW w:w="1701" w:type="dxa"/>
          </w:tcPr>
          <w:p w14:paraId="7BC7758D" w14:textId="4D49B9A3" w:rsidR="00DE4D5E" w:rsidRPr="00EB4F9A" w:rsidRDefault="006A580B"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00</w:t>
            </w:r>
            <w:r w:rsidR="00284D7C">
              <w:rPr>
                <w:rStyle w:val="FormatvorlageInstructionsTabelleText"/>
                <w:rFonts w:ascii="Times New Roman" w:hAnsi="Times New Roman"/>
                <w:sz w:val="24"/>
              </w:rPr>
              <w:t>3</w:t>
            </w:r>
            <w:r w:rsidRPr="00EB4F9A">
              <w:rPr>
                <w:rStyle w:val="FormatvorlageInstructionsTabelleText"/>
                <w:rFonts w:ascii="Times New Roman" w:hAnsi="Times New Roman"/>
                <w:sz w:val="24"/>
              </w:rPr>
              <w:t>0</w:t>
            </w:r>
          </w:p>
        </w:tc>
        <w:tc>
          <w:tcPr>
            <w:tcW w:w="7308" w:type="dxa"/>
          </w:tcPr>
          <w:p w14:paraId="2DF5A08E" w14:textId="621509C5" w:rsidR="00DE4D5E" w:rsidRPr="00EB4F9A" w:rsidRDefault="001930C5"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Level of EVE - </w:t>
            </w:r>
            <w:r w:rsidR="00DE4D5E" w:rsidRPr="00EB4F9A">
              <w:rPr>
                <w:rStyle w:val="InstructionsTabelleberschrift"/>
                <w:rFonts w:ascii="Times New Roman" w:hAnsi="Times New Roman"/>
                <w:sz w:val="24"/>
              </w:rPr>
              <w:t>Baseline</w:t>
            </w:r>
            <w:r w:rsidR="008963CC">
              <w:rPr>
                <w:rStyle w:val="InstructionsTabelleberschrift"/>
                <w:rFonts w:ascii="Times New Roman" w:hAnsi="Times New Roman"/>
                <w:sz w:val="24"/>
              </w:rPr>
              <w:t xml:space="preserve"> scenario</w:t>
            </w:r>
          </w:p>
          <w:p w14:paraId="431D24A7" w14:textId="17FCE104" w:rsidR="00DE4D5E" w:rsidRPr="00EB4F9A" w:rsidRDefault="00057D6D"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r0030}.</w:t>
            </w:r>
          </w:p>
        </w:tc>
      </w:tr>
      <w:tr w:rsidR="00DE4D5E" w:rsidRPr="00EB4F9A" w14:paraId="072F36D8" w14:textId="77777777" w:rsidTr="00466F09">
        <w:tc>
          <w:tcPr>
            <w:tcW w:w="1701" w:type="dxa"/>
          </w:tcPr>
          <w:p w14:paraId="28CE8E71" w14:textId="20636E45" w:rsidR="00DE4D5E" w:rsidRPr="00EB4F9A" w:rsidRDefault="006A580B"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00</w:t>
            </w:r>
            <w:r w:rsidR="00284D7C">
              <w:rPr>
                <w:rStyle w:val="FormatvorlageInstructionsTabelleText"/>
                <w:rFonts w:ascii="Times New Roman" w:hAnsi="Times New Roman"/>
                <w:sz w:val="24"/>
              </w:rPr>
              <w:t>4</w:t>
            </w:r>
            <w:r w:rsidRPr="00EB4F9A">
              <w:rPr>
                <w:rStyle w:val="FormatvorlageInstructionsTabelleText"/>
                <w:rFonts w:ascii="Times New Roman" w:hAnsi="Times New Roman"/>
                <w:sz w:val="24"/>
              </w:rPr>
              <w:t>0</w:t>
            </w:r>
          </w:p>
        </w:tc>
        <w:tc>
          <w:tcPr>
            <w:tcW w:w="7308" w:type="dxa"/>
          </w:tcPr>
          <w:p w14:paraId="482FFA49" w14:textId="55E14F1D" w:rsidR="00F22C91" w:rsidRPr="00851D1D" w:rsidRDefault="0045709F" w:rsidP="0001573B">
            <w:pPr>
              <w:pStyle w:val="InstructionsText"/>
              <w:rPr>
                <w:rStyle w:val="InstructionsTabelleberschrift"/>
                <w:rFonts w:ascii="Times New Roman" w:hAnsi="Times New Roman"/>
                <w:sz w:val="24"/>
              </w:rPr>
            </w:pPr>
            <w:r w:rsidRPr="0045709F">
              <w:rPr>
                <w:rStyle w:val="InstructionsTabelleberschrift"/>
                <w:rFonts w:ascii="Times New Roman" w:hAnsi="Times New Roman"/>
                <w:sz w:val="24"/>
              </w:rPr>
              <w:t>∆</w:t>
            </w:r>
            <w:r w:rsidR="007F45ED">
              <w:rPr>
                <w:rStyle w:val="InstructionsTabelleberschrift"/>
                <w:rFonts w:ascii="Times New Roman" w:hAnsi="Times New Roman"/>
                <w:sz w:val="24"/>
              </w:rPr>
              <w:t>EVE</w:t>
            </w:r>
            <w:r w:rsidR="001930C5">
              <w:rPr>
                <w:rStyle w:val="InstructionsTabelleberschrift"/>
                <w:rFonts w:ascii="Times New Roman" w:hAnsi="Times New Roman"/>
                <w:sz w:val="24"/>
              </w:rPr>
              <w:t xml:space="preserve"> -</w:t>
            </w:r>
            <w:r w:rsidRPr="0045709F">
              <w:rPr>
                <w:rStyle w:val="InstructionsTabelleberschrift"/>
                <w:rFonts w:ascii="Times New Roman" w:hAnsi="Times New Roman"/>
                <w:sz w:val="24"/>
              </w:rPr>
              <w:t xml:space="preserve"> Parallel shock up</w:t>
            </w:r>
          </w:p>
          <w:p w14:paraId="5B6685FE" w14:textId="68AFB2ED" w:rsidR="00DE4D5E" w:rsidRPr="00EB4F9A" w:rsidRDefault="008963CC" w:rsidP="0001573B">
            <w:pPr>
              <w:pStyle w:val="InstructionsText"/>
              <w:rPr>
                <w:rStyle w:val="InstructionsTabelleberschrift"/>
                <w:rFonts w:ascii="Times New Roman" w:hAnsi="Times New Roman"/>
                <w:b w:val="0"/>
                <w:sz w:val="24"/>
                <w:u w:val="none"/>
              </w:rPr>
            </w:pPr>
            <w:r>
              <w:t>Institutions shall follow the same instructions as described in</w:t>
            </w:r>
            <w:r w:rsidRPr="000B6B22">
              <w:t xml:space="preserve"> {</w:t>
            </w:r>
            <w:r>
              <w:t>J 01.00</w:t>
            </w:r>
            <w:r w:rsidRPr="000B6B22">
              <w:t xml:space="preserve">; </w:t>
            </w:r>
            <w:r>
              <w:t>r0040}.</w:t>
            </w:r>
          </w:p>
        </w:tc>
      </w:tr>
      <w:tr w:rsidR="00DE4D5E" w:rsidRPr="00EB4F9A" w14:paraId="2EFC486B" w14:textId="77777777" w:rsidTr="00466F09">
        <w:tc>
          <w:tcPr>
            <w:tcW w:w="1701" w:type="dxa"/>
          </w:tcPr>
          <w:p w14:paraId="3957C094" w14:textId="218A0E8E" w:rsidR="00DE4D5E" w:rsidRPr="00EB4F9A" w:rsidRDefault="006A580B"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w:t>
            </w:r>
            <w:r w:rsidR="00531D9F">
              <w:rPr>
                <w:rStyle w:val="FormatvorlageInstructionsTabelleText"/>
                <w:rFonts w:ascii="Times New Roman" w:hAnsi="Times New Roman"/>
                <w:sz w:val="24"/>
              </w:rPr>
              <w:t>0</w:t>
            </w:r>
            <w:r w:rsidR="00284D7C">
              <w:rPr>
                <w:rStyle w:val="FormatvorlageInstructionsTabelleText"/>
                <w:rFonts w:ascii="Times New Roman" w:hAnsi="Times New Roman"/>
                <w:sz w:val="24"/>
              </w:rPr>
              <w:t>5</w:t>
            </w:r>
            <w:r w:rsidRPr="00EB4F9A">
              <w:rPr>
                <w:rStyle w:val="FormatvorlageInstructionsTabelleText"/>
                <w:rFonts w:ascii="Times New Roman" w:hAnsi="Times New Roman"/>
                <w:sz w:val="24"/>
              </w:rPr>
              <w:t>0</w:t>
            </w:r>
          </w:p>
        </w:tc>
        <w:tc>
          <w:tcPr>
            <w:tcW w:w="7308" w:type="dxa"/>
          </w:tcPr>
          <w:p w14:paraId="4E28478C" w14:textId="6522AFE1" w:rsidR="00F22C91" w:rsidRPr="00EB4F9A" w:rsidRDefault="0045709F" w:rsidP="0001573B">
            <w:pPr>
              <w:pStyle w:val="InstructionsText"/>
              <w:rPr>
                <w:rStyle w:val="InstructionsTabelleberschrift"/>
                <w:rFonts w:ascii="Times New Roman" w:hAnsi="Times New Roman"/>
                <w:sz w:val="24"/>
              </w:rPr>
            </w:pPr>
            <w:r w:rsidRPr="0045709F">
              <w:rPr>
                <w:rStyle w:val="InstructionsTabelleberschrift"/>
                <w:rFonts w:ascii="Times New Roman" w:hAnsi="Times New Roman"/>
                <w:sz w:val="24"/>
              </w:rPr>
              <w:t>∆</w:t>
            </w:r>
            <w:r w:rsidR="007F45ED">
              <w:rPr>
                <w:rStyle w:val="InstructionsTabelleberschrift"/>
                <w:rFonts w:ascii="Times New Roman" w:hAnsi="Times New Roman"/>
                <w:sz w:val="24"/>
              </w:rPr>
              <w:t>EVE</w:t>
            </w:r>
            <w:r w:rsidR="001930C5">
              <w:rPr>
                <w:rStyle w:val="InstructionsTabelleberschrift"/>
                <w:rFonts w:ascii="Times New Roman" w:hAnsi="Times New Roman"/>
                <w:sz w:val="24"/>
              </w:rPr>
              <w:t xml:space="preserve"> -</w:t>
            </w:r>
            <w:r w:rsidRPr="0045709F">
              <w:rPr>
                <w:rStyle w:val="InstructionsTabelleberschrift"/>
                <w:rFonts w:ascii="Times New Roman" w:hAnsi="Times New Roman"/>
                <w:sz w:val="24"/>
              </w:rPr>
              <w:t xml:space="preserve"> Parallel shock down</w:t>
            </w:r>
          </w:p>
          <w:p w14:paraId="39312F9C" w14:textId="6C869EDF" w:rsidR="00DE4D5E" w:rsidRPr="00EB4F9A" w:rsidRDefault="0045709F"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r0050}.</w:t>
            </w:r>
          </w:p>
        </w:tc>
      </w:tr>
      <w:tr w:rsidR="007A4538" w:rsidRPr="00EB4F9A" w14:paraId="668FC06E" w14:textId="77777777" w:rsidTr="00466F09">
        <w:tc>
          <w:tcPr>
            <w:tcW w:w="1701" w:type="dxa"/>
          </w:tcPr>
          <w:p w14:paraId="4D34A16E" w14:textId="485D2DFC" w:rsidR="007A4538" w:rsidRPr="004F4ED3" w:rsidRDefault="007A4538"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w:t>
            </w:r>
            <w:r w:rsidR="00531D9F">
              <w:rPr>
                <w:rStyle w:val="FormatvorlageInstructionsTabelleText"/>
                <w:rFonts w:ascii="Times New Roman" w:hAnsi="Times New Roman"/>
                <w:sz w:val="24"/>
              </w:rPr>
              <w:t>0</w:t>
            </w:r>
            <w:r w:rsidR="00284D7C">
              <w:rPr>
                <w:rStyle w:val="FormatvorlageInstructionsTabelleText"/>
                <w:rFonts w:ascii="Times New Roman" w:hAnsi="Times New Roman"/>
                <w:sz w:val="24"/>
              </w:rPr>
              <w:t>6</w:t>
            </w:r>
            <w:r w:rsidRPr="003223B8">
              <w:rPr>
                <w:rStyle w:val="FormatvorlageInstructionsTabelleText"/>
                <w:rFonts w:ascii="Times New Roman" w:hAnsi="Times New Roman"/>
                <w:sz w:val="24"/>
              </w:rPr>
              <w:t>0</w:t>
            </w:r>
          </w:p>
        </w:tc>
        <w:tc>
          <w:tcPr>
            <w:tcW w:w="7308" w:type="dxa"/>
          </w:tcPr>
          <w:p w14:paraId="59627DC9" w14:textId="78EA9252" w:rsidR="00F22C91" w:rsidRPr="00EB4F9A" w:rsidRDefault="0056083C" w:rsidP="0001573B">
            <w:pPr>
              <w:pStyle w:val="InstructionsText"/>
              <w:rPr>
                <w:rStyle w:val="InstructionsTabelleberschrift"/>
                <w:rFonts w:ascii="Times New Roman" w:hAnsi="Times New Roman"/>
                <w:sz w:val="24"/>
              </w:rPr>
            </w:pPr>
            <w:r w:rsidRPr="0056083C">
              <w:rPr>
                <w:rStyle w:val="InstructionsTabelleberschrift"/>
                <w:rFonts w:ascii="Times New Roman" w:hAnsi="Times New Roman"/>
                <w:sz w:val="24"/>
              </w:rPr>
              <w:t>∆</w:t>
            </w:r>
            <w:r w:rsidR="007F45ED">
              <w:rPr>
                <w:rStyle w:val="InstructionsTabelleberschrift"/>
                <w:rFonts w:ascii="Times New Roman" w:hAnsi="Times New Roman"/>
                <w:sz w:val="24"/>
              </w:rPr>
              <w:t>EVE</w:t>
            </w:r>
            <w:r w:rsidR="001930C5">
              <w:rPr>
                <w:rStyle w:val="InstructionsTabelleberschrift"/>
                <w:rFonts w:ascii="Times New Roman" w:hAnsi="Times New Roman"/>
                <w:sz w:val="24"/>
              </w:rPr>
              <w:t xml:space="preserve"> -</w:t>
            </w:r>
            <w:r w:rsidR="001930C5" w:rsidRPr="0045709F">
              <w:rPr>
                <w:rStyle w:val="InstructionsTabelleberschrift"/>
                <w:rFonts w:ascii="Times New Roman" w:hAnsi="Times New Roman"/>
                <w:sz w:val="24"/>
              </w:rPr>
              <w:t xml:space="preserve"> </w:t>
            </w:r>
            <w:r w:rsidRPr="0056083C">
              <w:rPr>
                <w:rStyle w:val="InstructionsTabelleberschrift"/>
                <w:rFonts w:ascii="Times New Roman" w:hAnsi="Times New Roman"/>
                <w:sz w:val="24"/>
              </w:rPr>
              <w:t>Steepener shock</w:t>
            </w:r>
          </w:p>
          <w:p w14:paraId="7721CBAE" w14:textId="75811AF2" w:rsidR="007A4538" w:rsidRPr="00EB4F9A" w:rsidRDefault="0045709F"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r0060}.</w:t>
            </w:r>
          </w:p>
        </w:tc>
      </w:tr>
      <w:tr w:rsidR="007A4538" w:rsidRPr="00EB4F9A" w14:paraId="0B64F039" w14:textId="77777777" w:rsidTr="00466F09">
        <w:tc>
          <w:tcPr>
            <w:tcW w:w="1701" w:type="dxa"/>
          </w:tcPr>
          <w:p w14:paraId="1D8ACFB7" w14:textId="39B9F291" w:rsidR="007A4538" w:rsidRPr="004F4ED3" w:rsidRDefault="007A4538"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w:t>
            </w:r>
            <w:r w:rsidR="00531D9F">
              <w:rPr>
                <w:rStyle w:val="FormatvorlageInstructionsTabelleText"/>
                <w:rFonts w:ascii="Times New Roman" w:hAnsi="Times New Roman"/>
                <w:sz w:val="24"/>
              </w:rPr>
              <w:t>0</w:t>
            </w:r>
            <w:r w:rsidR="00284D7C">
              <w:rPr>
                <w:rStyle w:val="FormatvorlageInstructionsTabelleText"/>
                <w:rFonts w:ascii="Times New Roman" w:hAnsi="Times New Roman"/>
                <w:sz w:val="24"/>
              </w:rPr>
              <w:t>7</w:t>
            </w:r>
            <w:r w:rsidRPr="003223B8">
              <w:rPr>
                <w:rStyle w:val="FormatvorlageInstructionsTabelleText"/>
                <w:rFonts w:ascii="Times New Roman" w:hAnsi="Times New Roman"/>
                <w:sz w:val="24"/>
              </w:rPr>
              <w:t>0</w:t>
            </w:r>
          </w:p>
        </w:tc>
        <w:tc>
          <w:tcPr>
            <w:tcW w:w="7308" w:type="dxa"/>
          </w:tcPr>
          <w:p w14:paraId="5DDEE894" w14:textId="090F0007" w:rsidR="00F22C91" w:rsidRPr="00EB4F9A" w:rsidRDefault="0056083C" w:rsidP="0001573B">
            <w:pPr>
              <w:pStyle w:val="InstructionsText"/>
              <w:rPr>
                <w:rStyle w:val="InstructionsTabelleberschrift"/>
                <w:rFonts w:ascii="Times New Roman" w:hAnsi="Times New Roman"/>
                <w:sz w:val="24"/>
              </w:rPr>
            </w:pPr>
            <w:r w:rsidRPr="0056083C">
              <w:rPr>
                <w:rStyle w:val="InstructionsTabelleberschrift"/>
                <w:rFonts w:ascii="Times New Roman" w:hAnsi="Times New Roman"/>
                <w:sz w:val="24"/>
              </w:rPr>
              <w:t>∆</w:t>
            </w:r>
            <w:r w:rsidR="007F45ED">
              <w:rPr>
                <w:rStyle w:val="InstructionsTabelleberschrift"/>
                <w:rFonts w:ascii="Times New Roman" w:hAnsi="Times New Roman"/>
                <w:sz w:val="24"/>
              </w:rPr>
              <w:t>EVE</w:t>
            </w:r>
            <w:r w:rsidR="001930C5">
              <w:rPr>
                <w:rStyle w:val="InstructionsTabelleberschrift"/>
                <w:rFonts w:ascii="Times New Roman" w:hAnsi="Times New Roman"/>
                <w:sz w:val="24"/>
              </w:rPr>
              <w:t xml:space="preserve"> -</w:t>
            </w:r>
            <w:r w:rsidR="001930C5" w:rsidRPr="0045709F">
              <w:rPr>
                <w:rStyle w:val="InstructionsTabelleberschrift"/>
                <w:rFonts w:ascii="Times New Roman" w:hAnsi="Times New Roman"/>
                <w:sz w:val="24"/>
              </w:rPr>
              <w:t xml:space="preserve"> </w:t>
            </w:r>
            <w:r w:rsidRPr="0056083C">
              <w:rPr>
                <w:rStyle w:val="InstructionsTabelleberschrift"/>
                <w:rFonts w:ascii="Times New Roman" w:hAnsi="Times New Roman"/>
                <w:sz w:val="24"/>
              </w:rPr>
              <w:t>Flattener shock</w:t>
            </w:r>
          </w:p>
          <w:p w14:paraId="714F5461" w14:textId="6FFD472B" w:rsidR="007A4538" w:rsidRPr="00EB4F9A" w:rsidRDefault="0056083C"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r0070}.</w:t>
            </w:r>
          </w:p>
        </w:tc>
      </w:tr>
      <w:tr w:rsidR="007A4538" w:rsidRPr="00EB4F9A" w14:paraId="0F88D558" w14:textId="77777777" w:rsidTr="00466F09">
        <w:tc>
          <w:tcPr>
            <w:tcW w:w="1701" w:type="dxa"/>
          </w:tcPr>
          <w:p w14:paraId="5CBC25A5" w14:textId="2D9B6C3C" w:rsidR="007A4538" w:rsidRPr="004F4ED3" w:rsidRDefault="007A4538"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w:t>
            </w:r>
            <w:r w:rsidR="00531D9F">
              <w:rPr>
                <w:rStyle w:val="FormatvorlageInstructionsTabelleText"/>
                <w:rFonts w:ascii="Times New Roman" w:hAnsi="Times New Roman"/>
                <w:sz w:val="24"/>
              </w:rPr>
              <w:t>0</w:t>
            </w:r>
            <w:r w:rsidR="00720A74">
              <w:rPr>
                <w:rStyle w:val="FormatvorlageInstructionsTabelleText"/>
                <w:rFonts w:ascii="Times New Roman" w:hAnsi="Times New Roman"/>
                <w:sz w:val="24"/>
              </w:rPr>
              <w:t>8</w:t>
            </w:r>
            <w:r w:rsidRPr="003223B8">
              <w:rPr>
                <w:rStyle w:val="FormatvorlageInstructionsTabelleText"/>
                <w:rFonts w:ascii="Times New Roman" w:hAnsi="Times New Roman"/>
                <w:sz w:val="24"/>
              </w:rPr>
              <w:t>0</w:t>
            </w:r>
          </w:p>
        </w:tc>
        <w:tc>
          <w:tcPr>
            <w:tcW w:w="7308" w:type="dxa"/>
          </w:tcPr>
          <w:p w14:paraId="742D48FB" w14:textId="76C2A4DD" w:rsidR="00F22C91" w:rsidRPr="00EB4F9A" w:rsidRDefault="00B42A65" w:rsidP="0001573B">
            <w:pPr>
              <w:pStyle w:val="InstructionsText"/>
              <w:rPr>
                <w:rStyle w:val="InstructionsTabelleberschrift"/>
                <w:rFonts w:ascii="Times New Roman" w:hAnsi="Times New Roman"/>
                <w:sz w:val="24"/>
              </w:rPr>
            </w:pPr>
            <w:r w:rsidRPr="00B42A65">
              <w:rPr>
                <w:rStyle w:val="InstructionsTabelleberschrift"/>
                <w:rFonts w:ascii="Times New Roman" w:hAnsi="Times New Roman"/>
                <w:sz w:val="24"/>
              </w:rPr>
              <w:t>∆</w:t>
            </w:r>
            <w:r w:rsidR="007F45ED">
              <w:rPr>
                <w:rStyle w:val="InstructionsTabelleberschrift"/>
                <w:rFonts w:ascii="Times New Roman" w:hAnsi="Times New Roman"/>
                <w:sz w:val="24"/>
              </w:rPr>
              <w:t>EVE</w:t>
            </w:r>
            <w:r w:rsidR="001930C5">
              <w:rPr>
                <w:rStyle w:val="InstructionsTabelleberschrift"/>
                <w:rFonts w:ascii="Times New Roman" w:hAnsi="Times New Roman"/>
                <w:sz w:val="24"/>
              </w:rPr>
              <w:t xml:space="preserve"> -</w:t>
            </w:r>
            <w:r w:rsidR="001930C5" w:rsidRPr="0045709F">
              <w:rPr>
                <w:rStyle w:val="InstructionsTabelleberschrift"/>
                <w:rFonts w:ascii="Times New Roman" w:hAnsi="Times New Roman"/>
                <w:sz w:val="24"/>
              </w:rPr>
              <w:t xml:space="preserve"> </w:t>
            </w:r>
            <w:r w:rsidRPr="00B42A65">
              <w:rPr>
                <w:rStyle w:val="InstructionsTabelleberschrift"/>
                <w:rFonts w:ascii="Times New Roman" w:hAnsi="Times New Roman"/>
                <w:sz w:val="24"/>
              </w:rPr>
              <w:t>Short rates shock up</w:t>
            </w:r>
          </w:p>
          <w:p w14:paraId="5CE9C71F" w14:textId="32920038" w:rsidR="007A4538" w:rsidRPr="00EB4F9A" w:rsidRDefault="0056083C"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w:t>
            </w:r>
            <w:r w:rsidR="00B42A65">
              <w:t>8</w:t>
            </w:r>
            <w:r>
              <w:t>0}.</w:t>
            </w:r>
          </w:p>
        </w:tc>
      </w:tr>
      <w:tr w:rsidR="007A4538" w:rsidRPr="00EB4F9A" w14:paraId="7ACFF56C" w14:textId="77777777" w:rsidTr="00466F09">
        <w:tc>
          <w:tcPr>
            <w:tcW w:w="1701" w:type="dxa"/>
          </w:tcPr>
          <w:p w14:paraId="0F6D45B9" w14:textId="4EB16931" w:rsidR="007A4538" w:rsidRPr="004F4ED3" w:rsidRDefault="007A4538"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w:t>
            </w:r>
            <w:r w:rsidR="00531D9F">
              <w:rPr>
                <w:rStyle w:val="FormatvorlageInstructionsTabelleText"/>
                <w:rFonts w:ascii="Times New Roman" w:hAnsi="Times New Roman"/>
                <w:sz w:val="24"/>
              </w:rPr>
              <w:t>0</w:t>
            </w:r>
            <w:r w:rsidR="00720A74">
              <w:rPr>
                <w:rStyle w:val="FormatvorlageInstructionsTabelleText"/>
                <w:rFonts w:ascii="Times New Roman" w:hAnsi="Times New Roman"/>
                <w:sz w:val="24"/>
              </w:rPr>
              <w:t>90</w:t>
            </w:r>
          </w:p>
        </w:tc>
        <w:tc>
          <w:tcPr>
            <w:tcW w:w="7308" w:type="dxa"/>
          </w:tcPr>
          <w:p w14:paraId="32EE74B7" w14:textId="73FF2821" w:rsidR="00F22C91" w:rsidRPr="00EB4F9A" w:rsidRDefault="00B42A65" w:rsidP="0001573B">
            <w:pPr>
              <w:pStyle w:val="InstructionsText"/>
              <w:rPr>
                <w:rStyle w:val="InstructionsTabelleberschrift"/>
                <w:rFonts w:ascii="Times New Roman" w:hAnsi="Times New Roman"/>
                <w:sz w:val="24"/>
              </w:rPr>
            </w:pPr>
            <w:r w:rsidRPr="00B42A65">
              <w:rPr>
                <w:rStyle w:val="InstructionsTabelleberschrift"/>
                <w:rFonts w:ascii="Times New Roman" w:hAnsi="Times New Roman"/>
                <w:sz w:val="24"/>
              </w:rPr>
              <w:t>∆</w:t>
            </w:r>
            <w:r w:rsidR="007F45ED">
              <w:rPr>
                <w:rStyle w:val="InstructionsTabelleberschrift"/>
                <w:rFonts w:ascii="Times New Roman" w:hAnsi="Times New Roman"/>
                <w:sz w:val="24"/>
              </w:rPr>
              <w:t>EVE</w:t>
            </w:r>
            <w:r w:rsidR="001930C5">
              <w:rPr>
                <w:rStyle w:val="InstructionsTabelleberschrift"/>
                <w:rFonts w:ascii="Times New Roman" w:hAnsi="Times New Roman"/>
                <w:sz w:val="24"/>
              </w:rPr>
              <w:t xml:space="preserve"> -</w:t>
            </w:r>
            <w:r w:rsidR="001930C5" w:rsidRPr="0045709F">
              <w:rPr>
                <w:rStyle w:val="InstructionsTabelleberschrift"/>
                <w:rFonts w:ascii="Times New Roman" w:hAnsi="Times New Roman"/>
                <w:sz w:val="24"/>
              </w:rPr>
              <w:t xml:space="preserve"> </w:t>
            </w:r>
            <w:r w:rsidRPr="00B42A65">
              <w:rPr>
                <w:rStyle w:val="InstructionsTabelleberschrift"/>
                <w:rFonts w:ascii="Times New Roman" w:hAnsi="Times New Roman"/>
                <w:sz w:val="24"/>
              </w:rPr>
              <w:t>Short rates shock down</w:t>
            </w:r>
          </w:p>
          <w:p w14:paraId="3BE27C86" w14:textId="7C34A314" w:rsidR="007A4538" w:rsidRPr="00EB4F9A" w:rsidRDefault="00B42A65"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r0090}.</w:t>
            </w:r>
          </w:p>
        </w:tc>
      </w:tr>
      <w:tr w:rsidR="007A4538" w:rsidRPr="00EB4F9A" w14:paraId="56F10020" w14:textId="77777777" w:rsidTr="00466F09">
        <w:tc>
          <w:tcPr>
            <w:tcW w:w="1701" w:type="dxa"/>
          </w:tcPr>
          <w:p w14:paraId="22B568E7" w14:textId="47794009" w:rsidR="007A4538" w:rsidRPr="004F4ED3" w:rsidRDefault="004D2DDC"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w:t>
            </w:r>
            <w:r w:rsidR="00721EE0">
              <w:rPr>
                <w:rStyle w:val="FormatvorlageInstructionsTabelleText"/>
                <w:rFonts w:ascii="Times New Roman" w:hAnsi="Times New Roman"/>
                <w:sz w:val="24"/>
              </w:rPr>
              <w:t>100</w:t>
            </w:r>
            <w:r w:rsidRPr="00EB4F9A">
              <w:rPr>
                <w:rStyle w:val="FormatvorlageInstructionsTabelleText"/>
                <w:rFonts w:ascii="Times New Roman" w:hAnsi="Times New Roman"/>
                <w:sz w:val="24"/>
              </w:rPr>
              <w:t>-01</w:t>
            </w:r>
            <w:r w:rsidR="00721EE0">
              <w:rPr>
                <w:rStyle w:val="FormatvorlageInstructionsTabelleText"/>
                <w:rFonts w:ascii="Times New Roman" w:hAnsi="Times New Roman"/>
                <w:sz w:val="24"/>
              </w:rPr>
              <w:t>2</w:t>
            </w:r>
            <w:r w:rsidRPr="00EB4F9A">
              <w:rPr>
                <w:rStyle w:val="FormatvorlageInstructionsTabelleText"/>
                <w:rFonts w:ascii="Times New Roman" w:hAnsi="Times New Roman"/>
                <w:sz w:val="24"/>
              </w:rPr>
              <w:t>0</w:t>
            </w:r>
          </w:p>
        </w:tc>
        <w:tc>
          <w:tcPr>
            <w:tcW w:w="7308" w:type="dxa"/>
          </w:tcPr>
          <w:p w14:paraId="66F2CB32" w14:textId="57EDD3D8" w:rsidR="00F22C91" w:rsidRPr="00EB4F9A" w:rsidRDefault="00B61D5C" w:rsidP="0001573B">
            <w:pPr>
              <w:pStyle w:val="InstructionsText"/>
              <w:rPr>
                <w:rStyle w:val="InstructionsTabelleberschrift"/>
                <w:rFonts w:ascii="Times New Roman" w:hAnsi="Times New Roman"/>
                <w:sz w:val="24"/>
              </w:rPr>
            </w:pPr>
            <w:r w:rsidRPr="00B61D5C">
              <w:rPr>
                <w:rStyle w:val="InstructionsTabelleberschrift"/>
                <w:rFonts w:ascii="Times New Roman" w:hAnsi="Times New Roman"/>
                <w:sz w:val="24"/>
              </w:rPr>
              <w:t>Net Interest Income</w:t>
            </w:r>
          </w:p>
          <w:p w14:paraId="4B715C5C" w14:textId="2BC80B39" w:rsidR="007A4538" w:rsidRPr="00EB4F9A" w:rsidRDefault="00B61D5C" w:rsidP="0001573B">
            <w:pPr>
              <w:pStyle w:val="InstructionsText"/>
              <w:rPr>
                <w:rStyle w:val="InstructionsTabelleberschrift"/>
                <w:rFonts w:ascii="Times New Roman" w:hAnsi="Times New Roman"/>
                <w:b w:val="0"/>
                <w:sz w:val="24"/>
                <w:u w:val="none"/>
              </w:rPr>
            </w:pPr>
            <w:r>
              <w:t>Institutions shall follow the same instructions as described in</w:t>
            </w:r>
            <w:r w:rsidRPr="000B6B22">
              <w:t xml:space="preserve"> {</w:t>
            </w:r>
            <w:r>
              <w:t>J 01.00</w:t>
            </w:r>
            <w:r w:rsidRPr="000B6B22">
              <w:t>; r0</w:t>
            </w:r>
            <w:r w:rsidR="00492E67">
              <w:t>10</w:t>
            </w:r>
            <w:r>
              <w:t>0-r0</w:t>
            </w:r>
            <w:r w:rsidR="00492E67">
              <w:t>14</w:t>
            </w:r>
            <w:r>
              <w:t>0}</w:t>
            </w:r>
            <w:r w:rsidRPr="000B6B22">
              <w:t>.</w:t>
            </w:r>
          </w:p>
        </w:tc>
      </w:tr>
      <w:tr w:rsidR="007A4538" w:rsidRPr="00EB4F9A" w14:paraId="2F3EA8BB" w14:textId="77777777" w:rsidTr="00466F09">
        <w:tc>
          <w:tcPr>
            <w:tcW w:w="1701" w:type="dxa"/>
          </w:tcPr>
          <w:p w14:paraId="769EA922" w14:textId="0EEDAEC6" w:rsidR="007A4538" w:rsidRPr="00D86DB5" w:rsidRDefault="00721EE0"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w:t>
            </w:r>
            <w:r>
              <w:rPr>
                <w:rStyle w:val="FormatvorlageInstructionsTabelleText"/>
                <w:rFonts w:ascii="Times New Roman" w:hAnsi="Times New Roman"/>
                <w:sz w:val="24"/>
              </w:rPr>
              <w:t>100</w:t>
            </w:r>
          </w:p>
        </w:tc>
        <w:tc>
          <w:tcPr>
            <w:tcW w:w="7308" w:type="dxa"/>
          </w:tcPr>
          <w:p w14:paraId="1A909637" w14:textId="6DC1F025" w:rsidR="00F22C91" w:rsidRPr="00EB4F9A" w:rsidRDefault="001930C5"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Level of NII - </w:t>
            </w:r>
            <w:r w:rsidR="00492E67" w:rsidRPr="00492E67">
              <w:rPr>
                <w:rStyle w:val="InstructionsTabelleberschrift"/>
                <w:rFonts w:ascii="Times New Roman" w:hAnsi="Times New Roman"/>
                <w:sz w:val="24"/>
              </w:rPr>
              <w:t>Baseline scenario</w:t>
            </w:r>
          </w:p>
          <w:p w14:paraId="7AD09706" w14:textId="69D23F80" w:rsidR="007A4538" w:rsidRPr="00EB4F9A" w:rsidRDefault="00492E67" w:rsidP="0001573B">
            <w:pPr>
              <w:pStyle w:val="InstructionsText"/>
              <w:rPr>
                <w:rStyle w:val="InstructionsTabelleberschrift"/>
                <w:rFonts w:ascii="Times New Roman" w:hAnsi="Times New Roman"/>
                <w:b w:val="0"/>
                <w:sz w:val="24"/>
                <w:u w:val="none"/>
              </w:rPr>
            </w:pPr>
            <w:r>
              <w:t>Institutions shall follow the same instructions as described in</w:t>
            </w:r>
            <w:r w:rsidRPr="000B6B22">
              <w:t xml:space="preserve"> {</w:t>
            </w:r>
            <w:r>
              <w:t>J 01.00</w:t>
            </w:r>
            <w:r w:rsidRPr="000B6B22">
              <w:t xml:space="preserve">; </w:t>
            </w:r>
            <w:r>
              <w:t>r0120}.</w:t>
            </w:r>
          </w:p>
        </w:tc>
      </w:tr>
      <w:tr w:rsidR="007A4538" w:rsidRPr="00EB4F9A" w14:paraId="018275B7" w14:textId="77777777" w:rsidTr="00466F09">
        <w:tc>
          <w:tcPr>
            <w:tcW w:w="1701" w:type="dxa"/>
          </w:tcPr>
          <w:p w14:paraId="11DBE8FA" w14:textId="47F38559" w:rsidR="007A4538" w:rsidRPr="00D86DB5" w:rsidRDefault="004D2DDC"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w:t>
            </w:r>
            <w:r w:rsidR="00721EE0">
              <w:rPr>
                <w:rStyle w:val="FormatvorlageInstructionsTabelleText"/>
                <w:rFonts w:ascii="Times New Roman" w:hAnsi="Times New Roman"/>
                <w:sz w:val="24"/>
              </w:rPr>
              <w:t>110</w:t>
            </w:r>
          </w:p>
        </w:tc>
        <w:tc>
          <w:tcPr>
            <w:tcW w:w="7308" w:type="dxa"/>
          </w:tcPr>
          <w:p w14:paraId="370EDFF1" w14:textId="14E13989" w:rsidR="00F22C91" w:rsidRPr="00EB4F9A" w:rsidRDefault="00303FCE" w:rsidP="0001573B">
            <w:pPr>
              <w:pStyle w:val="InstructionsText"/>
              <w:rPr>
                <w:rStyle w:val="InstructionsTabelleberschrift"/>
                <w:rFonts w:ascii="Times New Roman" w:hAnsi="Times New Roman"/>
                <w:sz w:val="24"/>
              </w:rPr>
            </w:pPr>
            <w:r w:rsidRPr="00303FCE">
              <w:rPr>
                <w:rStyle w:val="InstructionsTabelleberschrift"/>
                <w:rFonts w:ascii="Times New Roman" w:hAnsi="Times New Roman"/>
                <w:sz w:val="24"/>
              </w:rPr>
              <w:t>∆</w:t>
            </w:r>
            <w:r w:rsidR="007F45ED">
              <w:rPr>
                <w:rStyle w:val="InstructionsTabelleberschrift"/>
                <w:rFonts w:ascii="Times New Roman" w:hAnsi="Times New Roman"/>
                <w:sz w:val="24"/>
              </w:rPr>
              <w:t>NII</w:t>
            </w:r>
            <w:r w:rsidR="001930C5">
              <w:rPr>
                <w:rStyle w:val="InstructionsTabelleberschrift"/>
                <w:rFonts w:ascii="Times New Roman" w:hAnsi="Times New Roman"/>
                <w:sz w:val="24"/>
              </w:rPr>
              <w:t xml:space="preserve"> -</w:t>
            </w:r>
            <w:r w:rsidR="001930C5" w:rsidRPr="0045709F">
              <w:rPr>
                <w:rStyle w:val="InstructionsTabelleberschrift"/>
                <w:rFonts w:ascii="Times New Roman" w:hAnsi="Times New Roman"/>
                <w:sz w:val="24"/>
              </w:rPr>
              <w:t xml:space="preserve"> </w:t>
            </w:r>
            <w:r w:rsidRPr="00303FCE">
              <w:rPr>
                <w:rStyle w:val="InstructionsTabelleberschrift"/>
                <w:rFonts w:ascii="Times New Roman" w:hAnsi="Times New Roman"/>
                <w:sz w:val="24"/>
              </w:rPr>
              <w:t>Parallel shock up</w:t>
            </w:r>
          </w:p>
          <w:p w14:paraId="64BB5395" w14:textId="18B94676" w:rsidR="004041EF" w:rsidRPr="00EB4F9A" w:rsidRDefault="00492E67"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r0130}.</w:t>
            </w:r>
          </w:p>
        </w:tc>
      </w:tr>
      <w:tr w:rsidR="007A4538" w:rsidRPr="00EB4F9A" w14:paraId="79342798" w14:textId="77777777" w:rsidTr="00466F09">
        <w:trPr>
          <w:trHeight w:val="50"/>
        </w:trPr>
        <w:tc>
          <w:tcPr>
            <w:tcW w:w="1701" w:type="dxa"/>
          </w:tcPr>
          <w:p w14:paraId="04EAA741" w14:textId="5B76EB7F" w:rsidR="007A4538" w:rsidRPr="00D86DB5" w:rsidRDefault="004D2DDC"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01</w:t>
            </w:r>
            <w:r w:rsidR="00721EE0">
              <w:rPr>
                <w:rStyle w:val="FormatvorlageInstructionsTabelleText"/>
                <w:rFonts w:ascii="Times New Roman" w:hAnsi="Times New Roman"/>
                <w:sz w:val="24"/>
              </w:rPr>
              <w:t>20</w:t>
            </w:r>
          </w:p>
        </w:tc>
        <w:tc>
          <w:tcPr>
            <w:tcW w:w="7308" w:type="dxa"/>
          </w:tcPr>
          <w:p w14:paraId="4C276325" w14:textId="756BA6DE" w:rsidR="00F22C91" w:rsidRPr="00EB4F9A" w:rsidRDefault="00303FCE" w:rsidP="0001573B">
            <w:pPr>
              <w:pStyle w:val="InstructionsText"/>
              <w:rPr>
                <w:rStyle w:val="InstructionsTabelleberschrift"/>
                <w:rFonts w:ascii="Times New Roman" w:hAnsi="Times New Roman"/>
                <w:sz w:val="24"/>
              </w:rPr>
            </w:pPr>
            <w:r w:rsidRPr="00303FCE">
              <w:rPr>
                <w:rStyle w:val="InstructionsTabelleberschrift"/>
                <w:rFonts w:ascii="Times New Roman" w:hAnsi="Times New Roman"/>
                <w:sz w:val="24"/>
              </w:rPr>
              <w:t>∆</w:t>
            </w:r>
            <w:r w:rsidR="007F45ED">
              <w:rPr>
                <w:rStyle w:val="InstructionsTabelleberschrift"/>
                <w:rFonts w:ascii="Times New Roman" w:hAnsi="Times New Roman"/>
                <w:sz w:val="24"/>
              </w:rPr>
              <w:t>NII</w:t>
            </w:r>
            <w:r w:rsidR="001930C5">
              <w:rPr>
                <w:rStyle w:val="InstructionsTabelleberschrift"/>
                <w:rFonts w:ascii="Times New Roman" w:hAnsi="Times New Roman"/>
                <w:sz w:val="24"/>
              </w:rPr>
              <w:t xml:space="preserve"> -</w:t>
            </w:r>
            <w:r w:rsidR="001930C5" w:rsidRPr="0045709F">
              <w:rPr>
                <w:rStyle w:val="InstructionsTabelleberschrift"/>
                <w:rFonts w:ascii="Times New Roman" w:hAnsi="Times New Roman"/>
                <w:sz w:val="24"/>
              </w:rPr>
              <w:t xml:space="preserve"> </w:t>
            </w:r>
            <w:r w:rsidRPr="00303FCE">
              <w:rPr>
                <w:rStyle w:val="InstructionsTabelleberschrift"/>
                <w:rFonts w:ascii="Times New Roman" w:hAnsi="Times New Roman"/>
                <w:sz w:val="24"/>
              </w:rPr>
              <w:t xml:space="preserve">Parallel shock </w:t>
            </w:r>
            <w:r>
              <w:rPr>
                <w:rStyle w:val="InstructionsTabelleberschrift"/>
                <w:rFonts w:ascii="Times New Roman" w:hAnsi="Times New Roman"/>
                <w:sz w:val="24"/>
              </w:rPr>
              <w:t>down</w:t>
            </w:r>
          </w:p>
          <w:p w14:paraId="79C7988C" w14:textId="156E5C31" w:rsidR="004041EF" w:rsidRPr="00EB4F9A" w:rsidRDefault="00492E67"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r01</w:t>
            </w:r>
            <w:r w:rsidR="00303FCE">
              <w:t>4</w:t>
            </w:r>
            <w:r>
              <w:t>0}.</w:t>
            </w:r>
          </w:p>
        </w:tc>
      </w:tr>
      <w:tr w:rsidR="007A4538" w:rsidRPr="00EB4F9A" w14:paraId="787EFD12" w14:textId="77777777" w:rsidTr="00466F09">
        <w:tc>
          <w:tcPr>
            <w:tcW w:w="1701" w:type="dxa"/>
          </w:tcPr>
          <w:p w14:paraId="60DFF26B" w14:textId="2482EC0B" w:rsidR="007A4538" w:rsidRPr="004F4ED3" w:rsidRDefault="004D2DDC"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01</w:t>
            </w:r>
            <w:r w:rsidR="00547294">
              <w:rPr>
                <w:rStyle w:val="FormatvorlageInstructionsTabelleText"/>
                <w:rFonts w:ascii="Times New Roman" w:hAnsi="Times New Roman"/>
                <w:sz w:val="24"/>
              </w:rPr>
              <w:t>3</w:t>
            </w:r>
            <w:r w:rsidRPr="00EB4F9A">
              <w:rPr>
                <w:rStyle w:val="FormatvorlageInstructionsTabelleText"/>
                <w:rFonts w:ascii="Times New Roman" w:hAnsi="Times New Roman"/>
                <w:sz w:val="24"/>
              </w:rPr>
              <w:t>0-0</w:t>
            </w:r>
            <w:r w:rsidR="00C1716D">
              <w:rPr>
                <w:rStyle w:val="FormatvorlageInstructionsTabelleText"/>
                <w:rFonts w:ascii="Times New Roman" w:hAnsi="Times New Roman"/>
                <w:sz w:val="24"/>
              </w:rPr>
              <w:t>1</w:t>
            </w:r>
            <w:r w:rsidR="00547294">
              <w:rPr>
                <w:rStyle w:val="FormatvorlageInstructionsTabelleText"/>
                <w:rFonts w:ascii="Times New Roman" w:hAnsi="Times New Roman"/>
                <w:sz w:val="24"/>
              </w:rPr>
              <w:t>5</w:t>
            </w:r>
            <w:r w:rsidRPr="00EB4F9A">
              <w:rPr>
                <w:rStyle w:val="FormatvorlageInstructionsTabelleText"/>
                <w:rFonts w:ascii="Times New Roman" w:hAnsi="Times New Roman"/>
                <w:sz w:val="24"/>
              </w:rPr>
              <w:t>0</w:t>
            </w:r>
          </w:p>
        </w:tc>
        <w:tc>
          <w:tcPr>
            <w:tcW w:w="7308" w:type="dxa"/>
          </w:tcPr>
          <w:p w14:paraId="41D72025" w14:textId="6B83FFCF" w:rsidR="00EA079E" w:rsidRPr="00EB4F9A" w:rsidRDefault="00303FCE" w:rsidP="0001573B">
            <w:pPr>
              <w:pStyle w:val="InstructionsText"/>
              <w:rPr>
                <w:rStyle w:val="InstructionsTabelleberschrift"/>
                <w:rFonts w:ascii="Times New Roman" w:hAnsi="Times New Roman"/>
                <w:sz w:val="24"/>
              </w:rPr>
            </w:pPr>
            <w:r w:rsidRPr="00303FCE">
              <w:rPr>
                <w:rStyle w:val="InstructionsTabelleberschrift"/>
                <w:rFonts w:ascii="Times New Roman" w:hAnsi="Times New Roman"/>
                <w:sz w:val="24"/>
              </w:rPr>
              <w:t>Market Value</w:t>
            </w:r>
          </w:p>
          <w:p w14:paraId="7D3BC199" w14:textId="00971876" w:rsidR="007A4538" w:rsidRPr="00EB4F9A" w:rsidRDefault="00303FCE" w:rsidP="0001573B">
            <w:pPr>
              <w:pStyle w:val="InstructionsText"/>
              <w:rPr>
                <w:rStyle w:val="InstructionsTabelleberschrift"/>
                <w:rFonts w:ascii="Times New Roman" w:hAnsi="Times New Roman"/>
                <w:b w:val="0"/>
                <w:sz w:val="24"/>
                <w:u w:val="none"/>
              </w:rPr>
            </w:pPr>
            <w:r>
              <w:t>Institutions shall follow the same instructions as described in</w:t>
            </w:r>
            <w:r w:rsidRPr="000B6B22">
              <w:t xml:space="preserve"> {</w:t>
            </w:r>
            <w:r>
              <w:t>J 01.00</w:t>
            </w:r>
            <w:r w:rsidRPr="000B6B22">
              <w:t xml:space="preserve">; </w:t>
            </w:r>
            <w:r>
              <w:t>r01</w:t>
            </w:r>
            <w:r w:rsidR="006D1EB6">
              <w:t>5</w:t>
            </w:r>
            <w:r>
              <w:t>0</w:t>
            </w:r>
            <w:r w:rsidR="006D1EB6">
              <w:t>-r0170</w:t>
            </w:r>
            <w:r>
              <w:t>}.</w:t>
            </w:r>
          </w:p>
        </w:tc>
      </w:tr>
      <w:tr w:rsidR="007A4538" w:rsidRPr="00EB4F9A" w14:paraId="644F7128" w14:textId="77777777" w:rsidTr="00466F09">
        <w:trPr>
          <w:trHeight w:val="507"/>
        </w:trPr>
        <w:tc>
          <w:tcPr>
            <w:tcW w:w="1701" w:type="dxa"/>
          </w:tcPr>
          <w:p w14:paraId="3ABF8A5C" w14:textId="4DA62342" w:rsidR="007A4538" w:rsidRPr="00D86DB5" w:rsidRDefault="004D2DDC"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01</w:t>
            </w:r>
            <w:r w:rsidR="00547294">
              <w:rPr>
                <w:rStyle w:val="FormatvorlageInstructionsTabelleText"/>
                <w:rFonts w:ascii="Times New Roman" w:hAnsi="Times New Roman"/>
                <w:sz w:val="24"/>
              </w:rPr>
              <w:t>3</w:t>
            </w:r>
            <w:r w:rsidRPr="00EB4F9A">
              <w:rPr>
                <w:rStyle w:val="FormatvorlageInstructionsTabelleText"/>
                <w:rFonts w:ascii="Times New Roman" w:hAnsi="Times New Roman"/>
                <w:sz w:val="24"/>
              </w:rPr>
              <w:t>0</w:t>
            </w:r>
          </w:p>
        </w:tc>
        <w:tc>
          <w:tcPr>
            <w:tcW w:w="7308" w:type="dxa"/>
          </w:tcPr>
          <w:p w14:paraId="681520C2" w14:textId="3286ACAD" w:rsidR="00EA079E" w:rsidRPr="00EB4F9A" w:rsidRDefault="001930C5"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Level of MV - </w:t>
            </w:r>
            <w:r w:rsidR="0070008E" w:rsidRPr="0070008E">
              <w:rPr>
                <w:rStyle w:val="InstructionsTabelleberschrift"/>
                <w:rFonts w:ascii="Times New Roman" w:hAnsi="Times New Roman"/>
                <w:sz w:val="24"/>
              </w:rPr>
              <w:t>Baseline scenario</w:t>
            </w:r>
          </w:p>
          <w:p w14:paraId="6536044A" w14:textId="0D1A40C4" w:rsidR="007A4538" w:rsidRPr="00EB4F9A" w:rsidRDefault="006D1EB6"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r0150}.</w:t>
            </w:r>
          </w:p>
        </w:tc>
      </w:tr>
      <w:tr w:rsidR="007A4538" w:rsidRPr="00EB4F9A" w14:paraId="0E97A024" w14:textId="77777777" w:rsidTr="00466F09">
        <w:tc>
          <w:tcPr>
            <w:tcW w:w="1701" w:type="dxa"/>
          </w:tcPr>
          <w:p w14:paraId="56B50969" w14:textId="79A37CD4" w:rsidR="007A4538" w:rsidRPr="00D86DB5" w:rsidRDefault="004D2DDC"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01</w:t>
            </w:r>
            <w:r w:rsidR="00547294">
              <w:rPr>
                <w:rStyle w:val="FormatvorlageInstructionsTabelleText"/>
                <w:rFonts w:ascii="Times New Roman" w:hAnsi="Times New Roman"/>
                <w:sz w:val="24"/>
              </w:rPr>
              <w:t>4</w:t>
            </w:r>
            <w:r w:rsidRPr="00EB4F9A">
              <w:rPr>
                <w:rStyle w:val="FormatvorlageInstructionsTabelleText"/>
                <w:rFonts w:ascii="Times New Roman" w:hAnsi="Times New Roman"/>
                <w:sz w:val="24"/>
              </w:rPr>
              <w:t>0</w:t>
            </w:r>
          </w:p>
        </w:tc>
        <w:tc>
          <w:tcPr>
            <w:tcW w:w="7308" w:type="dxa"/>
          </w:tcPr>
          <w:p w14:paraId="13CE4294" w14:textId="345F1927" w:rsidR="00EA079E" w:rsidRPr="00EB4F9A" w:rsidRDefault="0070008E" w:rsidP="0001573B">
            <w:pPr>
              <w:pStyle w:val="InstructionsText"/>
              <w:rPr>
                <w:rStyle w:val="InstructionsTabelleberschrift"/>
                <w:rFonts w:ascii="Times New Roman" w:hAnsi="Times New Roman"/>
                <w:sz w:val="24"/>
              </w:rPr>
            </w:pPr>
            <w:r w:rsidRPr="0070008E">
              <w:rPr>
                <w:rStyle w:val="InstructionsTabelleberschrift"/>
                <w:rFonts w:ascii="Times New Roman" w:hAnsi="Times New Roman"/>
                <w:sz w:val="24"/>
              </w:rPr>
              <w:t>∆</w:t>
            </w:r>
            <w:r w:rsidR="007F45ED">
              <w:rPr>
                <w:rStyle w:val="InstructionsTabelleberschrift"/>
                <w:rFonts w:ascii="Times New Roman" w:hAnsi="Times New Roman"/>
                <w:sz w:val="24"/>
              </w:rPr>
              <w:t>MV</w:t>
            </w:r>
            <w:r w:rsidR="001930C5">
              <w:rPr>
                <w:rStyle w:val="InstructionsTabelleberschrift"/>
                <w:rFonts w:ascii="Times New Roman" w:hAnsi="Times New Roman"/>
                <w:sz w:val="24"/>
              </w:rPr>
              <w:t xml:space="preserve"> -</w:t>
            </w:r>
            <w:r w:rsidR="001930C5" w:rsidRPr="0045709F">
              <w:rPr>
                <w:rStyle w:val="InstructionsTabelleberschrift"/>
                <w:rFonts w:ascii="Times New Roman" w:hAnsi="Times New Roman"/>
                <w:sz w:val="24"/>
              </w:rPr>
              <w:t xml:space="preserve"> </w:t>
            </w:r>
            <w:r w:rsidRPr="0070008E">
              <w:rPr>
                <w:rStyle w:val="InstructionsTabelleberschrift"/>
                <w:rFonts w:ascii="Times New Roman" w:hAnsi="Times New Roman"/>
                <w:sz w:val="24"/>
              </w:rPr>
              <w:t>Parallel shock up</w:t>
            </w:r>
          </w:p>
          <w:p w14:paraId="2661BCE0" w14:textId="14594E55" w:rsidR="004041EF" w:rsidRPr="00EB4F9A" w:rsidRDefault="006D1EB6"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r0160}.</w:t>
            </w:r>
          </w:p>
        </w:tc>
      </w:tr>
      <w:tr w:rsidR="007A4538" w:rsidRPr="00EB4F9A" w14:paraId="45C4E5F3" w14:textId="77777777" w:rsidTr="00466F09">
        <w:tc>
          <w:tcPr>
            <w:tcW w:w="1701" w:type="dxa"/>
          </w:tcPr>
          <w:p w14:paraId="69E7327C" w14:textId="0FF8D9C3" w:rsidR="007A4538" w:rsidRPr="00D86DB5" w:rsidRDefault="004D2DDC"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w:t>
            </w:r>
            <w:r w:rsidR="00C1716D">
              <w:rPr>
                <w:rStyle w:val="FormatvorlageInstructionsTabelleText"/>
                <w:rFonts w:ascii="Times New Roman" w:hAnsi="Times New Roman"/>
                <w:sz w:val="24"/>
              </w:rPr>
              <w:t>1</w:t>
            </w:r>
            <w:r w:rsidR="00547294">
              <w:rPr>
                <w:rStyle w:val="FormatvorlageInstructionsTabelleText"/>
                <w:rFonts w:ascii="Times New Roman" w:hAnsi="Times New Roman"/>
                <w:sz w:val="24"/>
              </w:rPr>
              <w:t>5</w:t>
            </w:r>
            <w:r w:rsidRPr="00EB4F9A">
              <w:rPr>
                <w:rStyle w:val="FormatvorlageInstructionsTabelleText"/>
                <w:rFonts w:ascii="Times New Roman" w:hAnsi="Times New Roman"/>
                <w:sz w:val="24"/>
              </w:rPr>
              <w:t>0</w:t>
            </w:r>
          </w:p>
        </w:tc>
        <w:tc>
          <w:tcPr>
            <w:tcW w:w="7308" w:type="dxa"/>
          </w:tcPr>
          <w:p w14:paraId="49D8F6F5" w14:textId="76992071" w:rsidR="00EA079E" w:rsidRPr="00EB4F9A" w:rsidRDefault="0070008E" w:rsidP="0001573B">
            <w:pPr>
              <w:pStyle w:val="InstructionsText"/>
              <w:rPr>
                <w:rStyle w:val="InstructionsTabelleberschrift"/>
                <w:rFonts w:ascii="Times New Roman" w:hAnsi="Times New Roman"/>
                <w:sz w:val="24"/>
              </w:rPr>
            </w:pPr>
            <w:r w:rsidRPr="0070008E">
              <w:rPr>
                <w:rStyle w:val="InstructionsTabelleberschrift"/>
                <w:rFonts w:ascii="Times New Roman" w:hAnsi="Times New Roman"/>
                <w:sz w:val="24"/>
              </w:rPr>
              <w:t>∆</w:t>
            </w:r>
            <w:r w:rsidR="007F45ED">
              <w:rPr>
                <w:rStyle w:val="InstructionsTabelleberschrift"/>
                <w:rFonts w:ascii="Times New Roman" w:hAnsi="Times New Roman"/>
                <w:sz w:val="24"/>
              </w:rPr>
              <w:t>MV</w:t>
            </w:r>
            <w:r w:rsidR="001930C5">
              <w:rPr>
                <w:rStyle w:val="InstructionsTabelleberschrift"/>
                <w:rFonts w:ascii="Times New Roman" w:hAnsi="Times New Roman"/>
                <w:sz w:val="24"/>
              </w:rPr>
              <w:t xml:space="preserve"> -</w:t>
            </w:r>
            <w:r w:rsidR="001930C5" w:rsidRPr="0045709F">
              <w:rPr>
                <w:rStyle w:val="InstructionsTabelleberschrift"/>
                <w:rFonts w:ascii="Times New Roman" w:hAnsi="Times New Roman"/>
                <w:sz w:val="24"/>
              </w:rPr>
              <w:t xml:space="preserve"> </w:t>
            </w:r>
            <w:r w:rsidRPr="0070008E">
              <w:rPr>
                <w:rStyle w:val="InstructionsTabelleberschrift"/>
                <w:rFonts w:ascii="Times New Roman" w:hAnsi="Times New Roman"/>
                <w:sz w:val="24"/>
              </w:rPr>
              <w:t xml:space="preserve">Parallel shock </w:t>
            </w:r>
            <w:r>
              <w:rPr>
                <w:rStyle w:val="InstructionsTabelleberschrift"/>
                <w:rFonts w:ascii="Times New Roman" w:hAnsi="Times New Roman"/>
                <w:sz w:val="24"/>
              </w:rPr>
              <w:t>down</w:t>
            </w:r>
          </w:p>
          <w:p w14:paraId="44CB4939" w14:textId="482E3B3A" w:rsidR="004041EF" w:rsidRPr="00EB4F9A" w:rsidRDefault="006D1EB6"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r0170}.</w:t>
            </w:r>
          </w:p>
        </w:tc>
      </w:tr>
    </w:tbl>
    <w:p w14:paraId="651ED856" w14:textId="77777777" w:rsidR="009E536A" w:rsidRPr="00D86DB5" w:rsidRDefault="009E536A">
      <w:pPr>
        <w:spacing w:before="0" w:after="0"/>
        <w:jc w:val="left"/>
        <w:rPr>
          <w:rStyle w:val="InstructionsTabelleText"/>
          <w:rFonts w:ascii="Times New Roman" w:hAnsi="Times New Roman"/>
          <w:sz w:val="24"/>
        </w:rPr>
      </w:pPr>
      <w:r w:rsidRPr="00EB4F9A">
        <w:rPr>
          <w:rStyle w:val="InstructionsTabelleText"/>
          <w:rFonts w:ascii="Times New Roman" w:hAnsi="Times New Roman"/>
          <w:sz w:val="24"/>
        </w:rPr>
        <w:br w:type="page"/>
      </w:r>
    </w:p>
    <w:p w14:paraId="6B5E5AFE" w14:textId="63F1E14E" w:rsidR="009E536A" w:rsidRPr="00EC067D" w:rsidRDefault="009E536A" w:rsidP="00FE1304">
      <w:pPr>
        <w:pStyle w:val="Heading2"/>
      </w:pPr>
      <w:bookmarkStart w:id="51" w:name="_Toc141362421"/>
      <w:r w:rsidRPr="00EC067D">
        <w:t>PART I</w:t>
      </w:r>
      <w:r w:rsidR="0074085C">
        <w:t>V</w:t>
      </w:r>
      <w:r w:rsidRPr="00EC067D">
        <w:t xml:space="preserve">: </w:t>
      </w:r>
      <w:r w:rsidR="006A7DF0" w:rsidRPr="006A7DF0">
        <w:t>REPRICING CASH FLOWS</w:t>
      </w:r>
      <w:r w:rsidR="00261AD1">
        <w:t xml:space="preserve"> (J 0</w:t>
      </w:r>
      <w:r w:rsidR="00FE1304">
        <w:t>5</w:t>
      </w:r>
      <w:r w:rsidR="00261AD1">
        <w:t>.00</w:t>
      </w:r>
      <w:r w:rsidR="00D3084F">
        <w:t xml:space="preserve">, J </w:t>
      </w:r>
      <w:r w:rsidR="00DB23B2">
        <w:t>0</w:t>
      </w:r>
      <w:r w:rsidR="00FE1304">
        <w:t>6</w:t>
      </w:r>
      <w:r w:rsidR="00261AD1">
        <w:t>.00 and J 0</w:t>
      </w:r>
      <w:r w:rsidR="00FE1304">
        <w:t>7</w:t>
      </w:r>
      <w:r w:rsidR="00261AD1">
        <w:t>.00)</w:t>
      </w:r>
      <w:bookmarkEnd w:id="51"/>
    </w:p>
    <w:p w14:paraId="1DD5B6DD" w14:textId="104ABBAE" w:rsidR="009E536A" w:rsidRPr="005B50C3" w:rsidRDefault="24F67432" w:rsidP="00FE1304">
      <w:pPr>
        <w:pStyle w:val="Instructionsberschrift2"/>
        <w:rPr>
          <w:sz w:val="24"/>
        </w:rPr>
      </w:pPr>
      <w:bookmarkStart w:id="52" w:name="_Toc141362422"/>
      <w:r w:rsidRPr="005B50C3">
        <w:rPr>
          <w:sz w:val="24"/>
        </w:rPr>
        <w:t>General remarks</w:t>
      </w:r>
      <w:bookmarkEnd w:id="52"/>
    </w:p>
    <w:p w14:paraId="2C9ABE9B" w14:textId="6BF412C8" w:rsidR="00903207" w:rsidRPr="00551497" w:rsidRDefault="00261AD1" w:rsidP="0001573B">
      <w:pPr>
        <w:pStyle w:val="InstructionsText2"/>
      </w:pPr>
      <w:r>
        <w:t>T</w:t>
      </w:r>
      <w:r w:rsidR="00903207">
        <w:t>emplate</w:t>
      </w:r>
      <w:r>
        <w:t>s J 0</w:t>
      </w:r>
      <w:r w:rsidR="00FE1304">
        <w:t>5</w:t>
      </w:r>
      <w:r>
        <w:t>.00</w:t>
      </w:r>
      <w:r w:rsidR="0063501E">
        <w:t>, J 0</w:t>
      </w:r>
      <w:r w:rsidR="00FE1304">
        <w:t>6</w:t>
      </w:r>
      <w:r>
        <w:t>.00 and J 0</w:t>
      </w:r>
      <w:r w:rsidR="00FE1304">
        <w:t>7</w:t>
      </w:r>
      <w:r>
        <w:t>.00</w:t>
      </w:r>
      <w:r w:rsidR="00903207">
        <w:t xml:space="preserve"> contain detailed information on the repricing cash flows </w:t>
      </w:r>
      <w:r w:rsidR="00AB4CE3">
        <w:t>for the balance-sheet items reported in template</w:t>
      </w:r>
      <w:r w:rsidR="00B0111E">
        <w:t>s</w:t>
      </w:r>
      <w:r w:rsidR="00AB4CE3">
        <w:t xml:space="preserve"> J 02.00</w:t>
      </w:r>
      <w:r w:rsidR="00264E1F">
        <w:t>,</w:t>
      </w:r>
      <w:r w:rsidR="00B0111E">
        <w:t xml:space="preserve"> J 0</w:t>
      </w:r>
      <w:r w:rsidR="004305E3">
        <w:t>3</w:t>
      </w:r>
      <w:r w:rsidR="00B0111E">
        <w:t>.00</w:t>
      </w:r>
      <w:r w:rsidR="00264E1F">
        <w:t xml:space="preserve"> and J 04.00</w:t>
      </w:r>
      <w:r w:rsidR="00AB4CE3">
        <w:t xml:space="preserve">. This information shall be reported </w:t>
      </w:r>
      <w:r w:rsidR="00903207">
        <w:t xml:space="preserve">under an EVE perspective, considering the requirements and modelling assumptions specified in Article 4 of </w:t>
      </w:r>
      <w:r w:rsidR="00C463D4">
        <w:t xml:space="preserve">the </w:t>
      </w:r>
      <w:r w:rsidR="00C463D4" w:rsidRPr="00AB4CE3">
        <w:rPr>
          <w:highlight w:val="lightGray"/>
        </w:rPr>
        <w:t xml:space="preserve">EBA </w:t>
      </w:r>
      <w:r w:rsidR="00903207" w:rsidRPr="00AB4CE3">
        <w:rPr>
          <w:highlight w:val="lightGray"/>
        </w:rPr>
        <w:t>RTS SOT</w:t>
      </w:r>
      <w:r w:rsidR="00B0111E">
        <w:t xml:space="preserve"> and</w:t>
      </w:r>
      <w:r w:rsidR="00903207">
        <w:t xml:space="preserve"> considering contractual </w:t>
      </w:r>
      <w:r w:rsidR="007175AE">
        <w:t xml:space="preserve">and behavioural </w:t>
      </w:r>
      <w:r w:rsidR="00903207">
        <w:t xml:space="preserve">information, and in both cases disregarding automatic optionality. </w:t>
      </w:r>
      <w:r w:rsidR="00B0111E">
        <w:t>T</w:t>
      </w:r>
      <w:r w:rsidR="00903207">
        <w:t xml:space="preserve">he instructions for the rows shall be the same as described in </w:t>
      </w:r>
      <w:r w:rsidR="00B86CE4">
        <w:t xml:space="preserve">Part I, </w:t>
      </w:r>
      <w:r w:rsidR="00903207">
        <w:t xml:space="preserve">section </w:t>
      </w:r>
      <w:r w:rsidR="00903207">
        <w:fldChar w:fldCharType="begin"/>
      </w:r>
      <w:r w:rsidR="00903207">
        <w:instrText xml:space="preserve"> REF _Ref119418268 \r \h  \* MERGEFORMAT </w:instrText>
      </w:r>
      <w:r w:rsidR="00903207">
        <w:fldChar w:fldCharType="separate"/>
      </w:r>
      <w:r w:rsidR="004049B3">
        <w:t>11</w:t>
      </w:r>
      <w:r w:rsidR="00903207">
        <w:fldChar w:fldCharType="end"/>
      </w:r>
      <w:r w:rsidR="00903207">
        <w:t xml:space="preserve"> of this Annex. Moreover, i</w:t>
      </w:r>
      <w:r w:rsidR="00903207" w:rsidRPr="00551497">
        <w:t xml:space="preserve">nstitutions shall duly consider the </w:t>
      </w:r>
      <w:r w:rsidR="00903207">
        <w:t xml:space="preserve">reporting </w:t>
      </w:r>
      <w:r w:rsidR="00903207" w:rsidRPr="00551497">
        <w:t xml:space="preserve">conventions specified in </w:t>
      </w:r>
      <w:r w:rsidR="00903207" w:rsidRPr="00903207">
        <w:t xml:space="preserve">Part </w:t>
      </w:r>
      <w:r w:rsidR="00B86CE4">
        <w:t>I</w:t>
      </w:r>
      <w:r w:rsidR="00903207" w:rsidRPr="00903207">
        <w:t>,</w:t>
      </w:r>
      <w:r w:rsidR="00903207">
        <w:t xml:space="preserve"> in particular those related to the definition of fixed/floating</w:t>
      </w:r>
      <w:r w:rsidR="00917444">
        <w:t xml:space="preserve"> rate instruments</w:t>
      </w:r>
      <w:r w:rsidR="00903207">
        <w:t xml:space="preserve"> and the treatment of options.</w:t>
      </w:r>
    </w:p>
    <w:p w14:paraId="476D1915" w14:textId="39DE63E4" w:rsidR="0076500E" w:rsidRDefault="0076500E" w:rsidP="0001573B">
      <w:pPr>
        <w:pStyle w:val="InstructionsText2"/>
      </w:pPr>
      <w:r>
        <w:t>Th</w:t>
      </w:r>
      <w:r w:rsidR="00C463D4">
        <w:t>e</w:t>
      </w:r>
      <w:r>
        <w:t xml:space="preserve"> template</w:t>
      </w:r>
      <w:r w:rsidR="00C463D4">
        <w:t>s</w:t>
      </w:r>
      <w:r>
        <w:t xml:space="preserve"> shall be reported for </w:t>
      </w:r>
      <w:r w:rsidRPr="003666D2">
        <w:t xml:space="preserve">each currency separately </w:t>
      </w:r>
      <w:r w:rsidR="00C463D4">
        <w:t>in</w:t>
      </w:r>
      <w:r w:rsidR="00C463D4" w:rsidRPr="003666D2">
        <w:t xml:space="preserve"> </w:t>
      </w:r>
      <w:r w:rsidRPr="003666D2">
        <w:t xml:space="preserve">which the institution has positions where the accounting value of financial assets or liabilities denominated in a currency </w:t>
      </w:r>
      <w:r>
        <w:t>amount</w:t>
      </w:r>
      <w:r w:rsidRPr="003666D2">
        <w:t xml:space="preserve"> to 5% or more of the total </w:t>
      </w:r>
      <w:r w:rsidR="00F93133">
        <w:t>banking book</w:t>
      </w:r>
      <w:r w:rsidRPr="003666D2">
        <w:t xml:space="preserve"> financial assets or liabilities, or less than 5% if the sum of financial assets or liabilities included in the calculation is lower than 90% of total </w:t>
      </w:r>
      <w:r w:rsidR="00F93133">
        <w:t>banking book</w:t>
      </w:r>
      <w:r w:rsidRPr="003666D2">
        <w:t xml:space="preserve"> financial assets (excluding tangible assets) or liabilities</w:t>
      </w:r>
      <w:r>
        <w:t xml:space="preserve">. </w:t>
      </w:r>
    </w:p>
    <w:p w14:paraId="7C0A7F4F" w14:textId="622534D4" w:rsidR="002E2229" w:rsidRPr="00583FE1" w:rsidRDefault="002E2229" w:rsidP="0001573B">
      <w:pPr>
        <w:pStyle w:val="InstructionsText2"/>
      </w:pPr>
      <w:r>
        <w:t xml:space="preserve">Moreover, </w:t>
      </w:r>
      <w:r w:rsidR="00C463D4">
        <w:t xml:space="preserve">the templates </w:t>
      </w:r>
      <w:r>
        <w:t>shall be reported separately according to contractual and behavioural conditions</w:t>
      </w:r>
      <w:r w:rsidR="00B870D4">
        <w:t xml:space="preserve"> (Modelling: contractual or behavioural)</w:t>
      </w:r>
      <w:r>
        <w:t>:</w:t>
      </w:r>
    </w:p>
    <w:p w14:paraId="4AF04087" w14:textId="03A1AA97" w:rsidR="0076500E" w:rsidRPr="00F1188C" w:rsidRDefault="0076500E" w:rsidP="0001573B">
      <w:pPr>
        <w:pStyle w:val="InstructionsText2"/>
        <w:numPr>
          <w:ilvl w:val="0"/>
          <w:numId w:val="33"/>
        </w:numPr>
      </w:pPr>
      <w:r>
        <w:t xml:space="preserve">Contractual: according to the contractual repricing </w:t>
      </w:r>
      <w:r w:rsidR="000674B5">
        <w:t xml:space="preserve">date </w:t>
      </w:r>
      <w:r w:rsidR="00CE79DC">
        <w:t>as defined in</w:t>
      </w:r>
      <w:r w:rsidR="00861A64">
        <w:t xml:space="preserve"> </w:t>
      </w:r>
      <w:r w:rsidR="00CE79DC">
        <w:t>Article 1, point 1 (1</w:t>
      </w:r>
      <w:r w:rsidR="004B2BE0">
        <w:t>2</w:t>
      </w:r>
      <w:r w:rsidR="00CE79DC">
        <w:t xml:space="preserve">) of the </w:t>
      </w:r>
      <w:r w:rsidR="00CE79DC" w:rsidRPr="00490A70">
        <w:rPr>
          <w:highlight w:val="lightGray"/>
        </w:rPr>
        <w:t>EBA RTS on SA</w:t>
      </w:r>
      <w:r w:rsidR="00490A70">
        <w:t xml:space="preserve"> </w:t>
      </w:r>
      <w:r>
        <w:t>without taking into account behavioural assumptions. O</w:t>
      </w:r>
      <w:r w:rsidRPr="00F1188C">
        <w:t xml:space="preserve">nly contractual and legal features (disregarding automatic options and legal caps/floors) shall be considered. The cash flow profile of non-maturity products (including </w:t>
      </w:r>
      <w:r w:rsidR="00C20D6B">
        <w:t>NMDs</w:t>
      </w:r>
      <w:r w:rsidRPr="00F1188C">
        <w:t>) shall be treated as short-term variable positions (shortest time bucket). No behavioural early-termination and pre-payment shall be applied, equivalent to 0% rates for conditional prepayment and early redemption;</w:t>
      </w:r>
    </w:p>
    <w:p w14:paraId="5697020E" w14:textId="54D220F2" w:rsidR="0076500E" w:rsidRDefault="0076500E" w:rsidP="0001573B">
      <w:pPr>
        <w:pStyle w:val="InstructionsText2"/>
        <w:numPr>
          <w:ilvl w:val="0"/>
          <w:numId w:val="33"/>
        </w:numPr>
      </w:pPr>
      <w:r>
        <w:t xml:space="preserve">Behavioural </w:t>
      </w:r>
      <w:r w:rsidR="002874D5">
        <w:t xml:space="preserve">modelling in the </w:t>
      </w:r>
      <w:r w:rsidR="00574C08">
        <w:t xml:space="preserve">baseline </w:t>
      </w:r>
      <w:r>
        <w:t>scenario: according to the modelled repricing</w:t>
      </w:r>
      <w:r w:rsidR="009F7AD0">
        <w:t xml:space="preserve"> cash flows</w:t>
      </w:r>
      <w:r>
        <w:t xml:space="preserve"> which accounts, where applicable, for behavioural assumptions under the baseline scenario.</w:t>
      </w:r>
    </w:p>
    <w:p w14:paraId="63E1F799" w14:textId="0F1F4098" w:rsidR="00786D30" w:rsidRPr="006C03E6" w:rsidRDefault="00786D30" w:rsidP="0001573B">
      <w:pPr>
        <w:pStyle w:val="InstructionsText2"/>
      </w:pPr>
      <w:bookmarkStart w:id="53" w:name="_Ref140654581"/>
      <w:r w:rsidRPr="007C40B0">
        <w:t>In the case of derivatives, institutions shall report the net amounts of repricing cash-flows (i.e</w:t>
      </w:r>
      <w:r w:rsidR="000100F8">
        <w:t>.,</w:t>
      </w:r>
      <w:r w:rsidRPr="007C40B0">
        <w:t xml:space="preserve"> not broken down by receiver/payer legs). For derivatives hedging assets, the long leg (receiver/asset) of the derivative shall be considered with a positive sign while the short leg (payer/liability) shall be considered with a negative sign when computing the net amounts per time bucket. Exceptions to this rule </w:t>
      </w:r>
      <w:r w:rsidR="006C03E6">
        <w:t>shall</w:t>
      </w:r>
      <w:r w:rsidRPr="007C40B0">
        <w:t xml:space="preserve"> apply for the case of receiver coupon's fixed in negative interest rate environment</w:t>
      </w:r>
      <w:r w:rsidR="002468EC">
        <w:t>,</w:t>
      </w:r>
      <w:r w:rsidRPr="007C40B0">
        <w:t xml:space="preserve"> which shall be considered with a negative sign even if part of the long leg (receiver/asset). The opposite applies to derivatives hedging liabilities: the long leg (receiver/asset) shall be considered with a negative sign, while the short leg (payer/liability) with a positive sign when computing the net repricing cashflows.</w:t>
      </w:r>
      <w:bookmarkEnd w:id="53"/>
      <w:r w:rsidRPr="007C40B0">
        <w:t xml:space="preserve"> </w:t>
      </w:r>
    </w:p>
    <w:p w14:paraId="0A355842" w14:textId="799F0078" w:rsidR="00591990" w:rsidRDefault="00591990" w:rsidP="0001573B">
      <w:pPr>
        <w:pStyle w:val="InstructionsText2"/>
      </w:pPr>
      <w:r>
        <w:t xml:space="preserve">Institutions shall </w:t>
      </w:r>
      <w:r w:rsidR="000F2F1C">
        <w:t xml:space="preserve">not </w:t>
      </w:r>
      <w:r>
        <w:t xml:space="preserve">report </w:t>
      </w:r>
      <w:r w:rsidR="00936E87">
        <w:t>columns</w:t>
      </w:r>
      <w:r>
        <w:t xml:space="preserve"> related to</w:t>
      </w:r>
      <w:r w:rsidR="00CE79DC">
        <w:t xml:space="preserve"> the</w:t>
      </w:r>
      <w:r>
        <w:t xml:space="preserve"> </w:t>
      </w:r>
      <w:r w:rsidR="00EA400F">
        <w:t>notional</w:t>
      </w:r>
      <w:r>
        <w:t xml:space="preserve"> amount,</w:t>
      </w:r>
      <w:r w:rsidR="00CE79DC">
        <w:t xml:space="preserve"> </w:t>
      </w:r>
      <w:r>
        <w:t>information on automatic options and behavioural modelling,</w:t>
      </w:r>
      <w:r w:rsidR="00CE79DC">
        <w:t xml:space="preserve"> the</w:t>
      </w:r>
      <w:r>
        <w:t xml:space="preserve"> average yield</w:t>
      </w:r>
      <w:r w:rsidR="007031E9">
        <w:t xml:space="preserve"> and</w:t>
      </w:r>
      <w:r w:rsidR="00CE79DC">
        <w:t xml:space="preserve"> the</w:t>
      </w:r>
      <w:r>
        <w:t xml:space="preserve"> contractual maturity </w:t>
      </w:r>
      <w:r w:rsidR="008C58DA">
        <w:t>in the sheets for contractual conditions.</w:t>
      </w:r>
    </w:p>
    <w:p w14:paraId="34D3A582" w14:textId="20B40AB2" w:rsidR="003F3D6D" w:rsidRPr="005B50C3" w:rsidRDefault="24F67432" w:rsidP="00FE1304">
      <w:pPr>
        <w:pStyle w:val="Instructionsberschrift2"/>
        <w:rPr>
          <w:rFonts w:cs="Times New Roman"/>
          <w:sz w:val="24"/>
        </w:rPr>
      </w:pPr>
      <w:bookmarkStart w:id="54" w:name="_Toc141362423"/>
      <w:r w:rsidRPr="005B50C3">
        <w:rPr>
          <w:rFonts w:cs="Times New Roman"/>
          <w:sz w:val="24"/>
        </w:rPr>
        <w:t xml:space="preserve">Instructions concerning </w:t>
      </w:r>
      <w:r w:rsidR="00B779AF" w:rsidRPr="005B50C3">
        <w:rPr>
          <w:rFonts w:cs="Times New Roman"/>
          <w:sz w:val="24"/>
        </w:rPr>
        <w:t>specific positions</w:t>
      </w:r>
      <w:r w:rsidR="00CA08B4">
        <w:rPr>
          <w:rFonts w:cs="Times New Roman"/>
          <w:sz w:val="24"/>
        </w:rPr>
        <w:t>:</w:t>
      </w:r>
      <w:bookmarkEnd w:id="54"/>
    </w:p>
    <w:p w14:paraId="5615CEA5" w14:textId="77777777" w:rsidR="009E536A" w:rsidRDefault="009E536A" w:rsidP="009E536A">
      <w:pPr>
        <w:spacing w:after="0"/>
        <w:rPr>
          <w:rStyle w:val="InstructionsTabelleText"/>
          <w:rFonts w:ascii="Times New Roman" w:hAnsi="Times New Roman"/>
          <w:sz w:val="24"/>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E334BE" w:rsidRPr="00EC067D" w14:paraId="1AAC0987" w14:textId="77777777" w:rsidTr="63452C95">
        <w:tc>
          <w:tcPr>
            <w:tcW w:w="1129" w:type="dxa"/>
            <w:shd w:val="clear" w:color="auto" w:fill="D9D9D9" w:themeFill="background1" w:themeFillShade="D9"/>
          </w:tcPr>
          <w:p w14:paraId="58577E93" w14:textId="77777777" w:rsidR="00E334BE" w:rsidRPr="00EC067D" w:rsidRDefault="00E334BE" w:rsidP="0001573B">
            <w:pPr>
              <w:pStyle w:val="InstructionsText"/>
              <w:rPr>
                <w:rStyle w:val="InstructionsTabelleText"/>
                <w:rFonts w:ascii="Times New Roman" w:hAnsi="Times New Roman"/>
                <w:bCs/>
                <w:sz w:val="24"/>
                <w:lang w:eastAsia="en-US"/>
              </w:rPr>
            </w:pPr>
            <w:r>
              <w:rPr>
                <w:rStyle w:val="InstructionsTabelleText"/>
                <w:rFonts w:ascii="Times New Roman" w:hAnsi="Times New Roman"/>
                <w:sz w:val="24"/>
              </w:rPr>
              <w:t>Columns</w:t>
            </w:r>
          </w:p>
        </w:tc>
        <w:tc>
          <w:tcPr>
            <w:tcW w:w="7620" w:type="dxa"/>
            <w:shd w:val="clear" w:color="auto" w:fill="D9D9D9" w:themeFill="background1" w:themeFillShade="D9"/>
          </w:tcPr>
          <w:p w14:paraId="2F9FA5E5" w14:textId="77777777" w:rsidR="00E334BE" w:rsidRPr="00EC067D" w:rsidRDefault="00E334BE" w:rsidP="0001573B">
            <w:pPr>
              <w:pStyle w:val="InstructionsText"/>
              <w:rPr>
                <w:rStyle w:val="InstructionsTabelleText"/>
                <w:rFonts w:ascii="Times New Roman" w:hAnsi="Times New Roman"/>
                <w:bCs/>
                <w:sz w:val="24"/>
                <w:lang w:eastAsia="en-US"/>
              </w:rPr>
            </w:pPr>
            <w:r w:rsidRPr="00EC067D">
              <w:rPr>
                <w:rStyle w:val="InstructionsTabelleText"/>
                <w:rFonts w:ascii="Times New Roman" w:hAnsi="Times New Roman"/>
                <w:sz w:val="24"/>
              </w:rPr>
              <w:t>Legal references and instructions</w:t>
            </w:r>
          </w:p>
        </w:tc>
      </w:tr>
      <w:tr w:rsidR="00A65377" w:rsidRPr="00EC067D" w:rsidDel="00910670" w14:paraId="4BFF452C" w14:textId="77777777" w:rsidTr="63452C95">
        <w:tc>
          <w:tcPr>
            <w:tcW w:w="1129" w:type="dxa"/>
          </w:tcPr>
          <w:p w14:paraId="424DCEEA" w14:textId="2047D5C3" w:rsidR="00A65377" w:rsidRPr="00EB4F9A" w:rsidDel="00910670" w:rsidRDefault="00ED0A05"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0010-0250</w:t>
            </w:r>
          </w:p>
        </w:tc>
        <w:tc>
          <w:tcPr>
            <w:tcW w:w="7620" w:type="dxa"/>
          </w:tcPr>
          <w:p w14:paraId="53EA9135" w14:textId="66FFB9DA" w:rsidR="00A65377" w:rsidRDefault="00FE6D25"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Fixed </w:t>
            </w:r>
            <w:r w:rsidR="00C161BA">
              <w:rPr>
                <w:rStyle w:val="InstructionsTabelleberschrift"/>
                <w:rFonts w:ascii="Times New Roman" w:hAnsi="Times New Roman"/>
                <w:sz w:val="24"/>
              </w:rPr>
              <w:t>rate</w:t>
            </w:r>
          </w:p>
          <w:p w14:paraId="3E07CAE3" w14:textId="382AB5D9" w:rsidR="00EF76AB" w:rsidRPr="63452C95" w:rsidDel="00910670" w:rsidRDefault="00EF76AB" w:rsidP="0001573B">
            <w:pPr>
              <w:pStyle w:val="InstructionsText"/>
              <w:rPr>
                <w:rStyle w:val="InstructionsTabelleberschrift"/>
                <w:rFonts w:ascii="Times New Roman" w:hAnsi="Times New Roman"/>
                <w:sz w:val="24"/>
              </w:rPr>
            </w:pPr>
            <w:r w:rsidRPr="00466F09">
              <w:t xml:space="preserve">Institutions shall report estimates related to fixed rate instruments, according to the convention specified in section </w:t>
            </w:r>
            <w:r w:rsidRPr="00466F09">
              <w:fldChar w:fldCharType="begin"/>
            </w:r>
            <w:r w:rsidRPr="00466F09">
              <w:instrText xml:space="preserve"> REF _Ref125115357 \r \h </w:instrText>
            </w:r>
            <w:r w:rsidR="00B3089D">
              <w:instrText xml:space="preserve"> \* MERGEFORMAT </w:instrText>
            </w:r>
            <w:r w:rsidRPr="00466F09">
              <w:fldChar w:fldCharType="separate"/>
            </w:r>
            <w:r w:rsidR="004049B3">
              <w:t>3</w:t>
            </w:r>
            <w:r w:rsidRPr="00466F09">
              <w:fldChar w:fldCharType="end"/>
            </w:r>
            <w:r w:rsidRPr="00466F09">
              <w:t xml:space="preserve"> of Part I of this document.</w:t>
            </w:r>
          </w:p>
        </w:tc>
      </w:tr>
      <w:tr w:rsidR="00A65377" w:rsidRPr="00EC067D" w:rsidDel="00910670" w14:paraId="57B0CF75" w14:textId="77777777" w:rsidTr="63452C95">
        <w:tc>
          <w:tcPr>
            <w:tcW w:w="1129" w:type="dxa"/>
          </w:tcPr>
          <w:p w14:paraId="6E3BC7AB" w14:textId="2B703315" w:rsidR="00A65377" w:rsidRPr="00EB4F9A" w:rsidDel="00910670" w:rsidRDefault="00543AB9"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0260-0390</w:t>
            </w:r>
          </w:p>
        </w:tc>
        <w:tc>
          <w:tcPr>
            <w:tcW w:w="7620" w:type="dxa"/>
          </w:tcPr>
          <w:p w14:paraId="7B9BFD7B" w14:textId="7B89C8CB" w:rsidR="00A65377" w:rsidRDefault="00FE6D25"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Floating </w:t>
            </w:r>
            <w:r w:rsidR="00C161BA">
              <w:rPr>
                <w:rStyle w:val="InstructionsTabelleberschrift"/>
                <w:rFonts w:ascii="Times New Roman" w:hAnsi="Times New Roman"/>
                <w:sz w:val="24"/>
              </w:rPr>
              <w:t>rate</w:t>
            </w:r>
          </w:p>
          <w:p w14:paraId="0667D05A" w14:textId="61E1851D" w:rsidR="00EF76AB" w:rsidRPr="63452C95" w:rsidDel="00910670" w:rsidRDefault="00EF76AB" w:rsidP="0001573B">
            <w:pPr>
              <w:pStyle w:val="InstructionsText"/>
              <w:rPr>
                <w:rStyle w:val="InstructionsTabelleberschrift"/>
                <w:rFonts w:ascii="Times New Roman" w:hAnsi="Times New Roman"/>
                <w:sz w:val="24"/>
              </w:rPr>
            </w:pPr>
            <w:r w:rsidRPr="00466F09">
              <w:t>Institutions shall report estimates related to f</w:t>
            </w:r>
            <w:r w:rsidR="00D92910">
              <w:rPr>
                <w:rStyle w:val="InstructionsTabelleberschrift"/>
                <w:rFonts w:ascii="Times New Roman" w:hAnsi="Times New Roman"/>
                <w:b w:val="0"/>
                <w:bCs w:val="0"/>
                <w:sz w:val="24"/>
                <w:u w:val="none"/>
              </w:rPr>
              <w:t>loating</w:t>
            </w:r>
            <w:r w:rsidRPr="00466F09">
              <w:t xml:space="preserve"> rate instruments, according to the convention specified in section </w:t>
            </w:r>
            <w:r w:rsidRPr="00466F09">
              <w:fldChar w:fldCharType="begin"/>
            </w:r>
            <w:r w:rsidRPr="00466F09">
              <w:instrText xml:space="preserve"> REF _Ref125115357 \r \h </w:instrText>
            </w:r>
            <w:r w:rsidR="00B3089D" w:rsidRPr="00B3089D">
              <w:instrText xml:space="preserve"> \* MERGEFORMAT </w:instrText>
            </w:r>
            <w:r w:rsidRPr="00466F09">
              <w:fldChar w:fldCharType="separate"/>
            </w:r>
            <w:r w:rsidR="004049B3">
              <w:t>3</w:t>
            </w:r>
            <w:r w:rsidRPr="00466F09">
              <w:fldChar w:fldCharType="end"/>
            </w:r>
            <w:r w:rsidRPr="00466F09">
              <w:t xml:space="preserve"> of Part I of this document</w:t>
            </w:r>
            <w:r w:rsidRPr="007F62B7">
              <w:rPr>
                <w:b/>
              </w:rPr>
              <w:t>.</w:t>
            </w:r>
          </w:p>
        </w:tc>
      </w:tr>
      <w:tr w:rsidR="00910670" w:rsidRPr="00EC067D" w:rsidDel="00910670" w14:paraId="501C377B" w14:textId="77777777" w:rsidTr="63452C95">
        <w:tc>
          <w:tcPr>
            <w:tcW w:w="1129" w:type="dxa"/>
          </w:tcPr>
          <w:p w14:paraId="440DBE1C" w14:textId="5EB8B8CF" w:rsidR="00910670" w:rsidRPr="00EB4F9A" w:rsidDel="00910670" w:rsidRDefault="00910670"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0010</w:t>
            </w:r>
          </w:p>
        </w:tc>
        <w:tc>
          <w:tcPr>
            <w:tcW w:w="7620" w:type="dxa"/>
          </w:tcPr>
          <w:p w14:paraId="75A0ED55" w14:textId="29E23F25" w:rsidR="00910670" w:rsidRDefault="00910670"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Notional </w:t>
            </w:r>
            <w:r w:rsidR="007C1F07">
              <w:rPr>
                <w:rStyle w:val="InstructionsTabelleberschrift"/>
                <w:rFonts w:ascii="Times New Roman" w:hAnsi="Times New Roman"/>
                <w:sz w:val="24"/>
              </w:rPr>
              <w:t>amount</w:t>
            </w:r>
          </w:p>
          <w:p w14:paraId="46766D8B" w14:textId="222F990D" w:rsidR="00CB0263" w:rsidRDefault="00CB0263"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Institutions shall report the outstanding principal amount of instruments.</w:t>
            </w:r>
          </w:p>
          <w:p w14:paraId="5E431F7F" w14:textId="07283D72" w:rsidR="00910670" w:rsidRPr="0079588F" w:rsidDel="00910670" w:rsidRDefault="00C57102" w:rsidP="0001573B">
            <w:pPr>
              <w:pStyle w:val="InstructionsText"/>
              <w:rPr>
                <w:rStyle w:val="InstructionsTabelleberschrift"/>
                <w:rFonts w:ascii="Times New Roman" w:hAnsi="Times New Roman"/>
                <w:b w:val="0"/>
                <w:sz w:val="24"/>
                <w:u w:val="none"/>
              </w:rPr>
            </w:pPr>
            <w:r w:rsidRPr="579D23CD">
              <w:rPr>
                <w:lang w:val="en-US"/>
              </w:rPr>
              <w:t>In the case of derivatives the outstanding principal amount of the asset (receiver) leg shall be reported (i.e</w:t>
            </w:r>
            <w:r w:rsidR="008D16C6">
              <w:rPr>
                <w:lang w:val="en-US"/>
              </w:rPr>
              <w:t>.,</w:t>
            </w:r>
            <w:r w:rsidRPr="579D23CD">
              <w:rPr>
                <w:lang w:val="en-US"/>
              </w:rPr>
              <w:t xml:space="preserve"> no netted amounts of receiver/payer legs).</w:t>
            </w:r>
          </w:p>
        </w:tc>
      </w:tr>
      <w:tr w:rsidR="008A13DA" w:rsidRPr="00EC067D" w14:paraId="2FB0A7BA" w14:textId="77777777" w:rsidTr="63452C95">
        <w:tc>
          <w:tcPr>
            <w:tcW w:w="1129" w:type="dxa"/>
          </w:tcPr>
          <w:p w14:paraId="3AFC7C48" w14:textId="1AE50117" w:rsidR="008A13DA" w:rsidRDefault="008A13D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w:t>
            </w:r>
            <w:r w:rsidR="00CA641A">
              <w:rPr>
                <w:rStyle w:val="FormatvorlageInstructionsTabelleText"/>
                <w:rFonts w:ascii="Times New Roman" w:hAnsi="Times New Roman"/>
                <w:sz w:val="24"/>
              </w:rPr>
              <w:t>2</w:t>
            </w:r>
            <w:r>
              <w:rPr>
                <w:rStyle w:val="FormatvorlageInstructionsTabelleText"/>
                <w:rFonts w:ascii="Times New Roman" w:hAnsi="Times New Roman"/>
                <w:sz w:val="24"/>
              </w:rPr>
              <w:t>0</w:t>
            </w:r>
            <w:r w:rsidR="00901CBA">
              <w:rPr>
                <w:rStyle w:val="FormatvorlageInstructionsTabelleText"/>
                <w:rFonts w:ascii="Times New Roman" w:hAnsi="Times New Roman"/>
                <w:sz w:val="24"/>
              </w:rPr>
              <w:t xml:space="preserve"> and </w:t>
            </w:r>
            <w:r w:rsidR="00BB632B">
              <w:rPr>
                <w:rStyle w:val="FormatvorlageInstructionsTabelleText"/>
                <w:rFonts w:ascii="Times New Roman" w:hAnsi="Times New Roman"/>
                <w:sz w:val="24"/>
              </w:rPr>
              <w:t>0270</w:t>
            </w:r>
          </w:p>
        </w:tc>
        <w:tc>
          <w:tcPr>
            <w:tcW w:w="7620" w:type="dxa"/>
          </w:tcPr>
          <w:p w14:paraId="1D1717F1" w14:textId="693BF044" w:rsidR="008A13DA" w:rsidRPr="0015109C" w:rsidRDefault="008A13DA" w:rsidP="0001573B">
            <w:pPr>
              <w:pStyle w:val="InstructionsText"/>
              <w:rPr>
                <w:rStyle w:val="InstructionsTabelleberschrift"/>
                <w:rFonts w:ascii="Times New Roman" w:hAnsi="Times New Roman"/>
                <w:sz w:val="24"/>
                <w:lang w:eastAsia="en-US"/>
              </w:rPr>
            </w:pPr>
            <w:r>
              <w:rPr>
                <w:rStyle w:val="InstructionsTabelleberschrift"/>
                <w:rFonts w:ascii="Times New Roman" w:hAnsi="Times New Roman"/>
                <w:sz w:val="24"/>
              </w:rPr>
              <w:t>%</w:t>
            </w:r>
            <w:r w:rsidRPr="00EB4F9A">
              <w:rPr>
                <w:rStyle w:val="InstructionsTabelleberschrift"/>
                <w:rFonts w:ascii="Times New Roman" w:hAnsi="Times New Roman"/>
                <w:sz w:val="24"/>
              </w:rPr>
              <w:t xml:space="preserve"> With embedded or explicit automatic optionality</w:t>
            </w:r>
            <w:r w:rsidRPr="5E4CEB54">
              <w:rPr>
                <w:rStyle w:val="InstructionsTabelleberschrift"/>
                <w:rFonts w:ascii="Times New Roman" w:hAnsi="Times New Roman"/>
                <w:sz w:val="24"/>
              </w:rPr>
              <w:t xml:space="preserve"> </w:t>
            </w:r>
            <w:r>
              <w:rPr>
                <w:rStyle w:val="InstructionsTabelleberschrift"/>
                <w:rFonts w:ascii="Times New Roman" w:hAnsi="Times New Roman"/>
                <w:sz w:val="24"/>
              </w:rPr>
              <w:t>–</w:t>
            </w:r>
            <w:r w:rsidRPr="5E4CEB54">
              <w:rPr>
                <w:rStyle w:val="InstructionsTabelleberschrift"/>
                <w:rFonts w:ascii="Times New Roman" w:hAnsi="Times New Roman"/>
                <w:sz w:val="24"/>
              </w:rPr>
              <w:t xml:space="preserve"> </w:t>
            </w:r>
            <w:r w:rsidR="000452C6">
              <w:rPr>
                <w:rStyle w:val="InstructionsTabelleberschrift"/>
                <w:rFonts w:ascii="Times New Roman" w:hAnsi="Times New Roman"/>
                <w:sz w:val="24"/>
              </w:rPr>
              <w:t>b</w:t>
            </w:r>
            <w:r w:rsidR="000452C6" w:rsidRPr="5E4CEB54">
              <w:rPr>
                <w:rStyle w:val="InstructionsTabelleberschrift"/>
                <w:rFonts w:ascii="Times New Roman" w:hAnsi="Times New Roman"/>
                <w:sz w:val="24"/>
              </w:rPr>
              <w:t>ought</w:t>
            </w:r>
          </w:p>
          <w:p w14:paraId="19FE4847" w14:textId="7FB34E5C" w:rsidR="008A13DA" w:rsidRDefault="008A13DA" w:rsidP="0001573B">
            <w:pPr>
              <w:pStyle w:val="InstructionsText"/>
              <w:rPr>
                <w:rStyle w:val="InstructionsTabelleberschrift"/>
                <w:rFonts w:ascii="Times New Roman" w:hAnsi="Times New Roman"/>
                <w:b w:val="0"/>
                <w:bCs w:val="0"/>
                <w:sz w:val="24"/>
                <w:u w:val="none"/>
              </w:rPr>
            </w:pPr>
            <w:r w:rsidRPr="6A3A78DE">
              <w:rPr>
                <w:rStyle w:val="InstructionsTabelleberschrift"/>
                <w:rFonts w:ascii="Times New Roman" w:hAnsi="Times New Roman"/>
                <w:b w:val="0"/>
                <w:bCs w:val="0"/>
                <w:sz w:val="24"/>
                <w:u w:val="none"/>
              </w:rPr>
              <w:t xml:space="preserve">Percentage of the </w:t>
            </w:r>
            <w:r w:rsidR="0002618A">
              <w:rPr>
                <w:rStyle w:val="InstructionsTabelleberschrift"/>
                <w:rFonts w:ascii="Times New Roman" w:hAnsi="Times New Roman"/>
                <w:b w:val="0"/>
                <w:bCs w:val="0"/>
                <w:sz w:val="24"/>
                <w:u w:val="none"/>
              </w:rPr>
              <w:t>n</w:t>
            </w:r>
            <w:r w:rsidR="00E4014C">
              <w:rPr>
                <w:rStyle w:val="InstructionsTabelleberschrift"/>
                <w:rFonts w:ascii="Times New Roman" w:hAnsi="Times New Roman"/>
                <w:b w:val="0"/>
                <w:bCs w:val="0"/>
                <w:sz w:val="24"/>
                <w:u w:val="none"/>
              </w:rPr>
              <w:t>o</w:t>
            </w:r>
            <w:r w:rsidR="0002618A">
              <w:rPr>
                <w:rStyle w:val="InstructionsTabelleberschrift"/>
                <w:rFonts w:ascii="Times New Roman" w:hAnsi="Times New Roman"/>
                <w:b w:val="0"/>
                <w:bCs w:val="0"/>
                <w:sz w:val="24"/>
                <w:u w:val="none"/>
              </w:rPr>
              <w:t>tional amount</w:t>
            </w:r>
            <w:r w:rsidR="001C3480" w:rsidRPr="6A3A78DE">
              <w:rPr>
                <w:rStyle w:val="InstructionsTabelleberschrift"/>
                <w:rFonts w:ascii="Times New Roman" w:hAnsi="Times New Roman"/>
                <w:b w:val="0"/>
                <w:bCs w:val="0"/>
                <w:sz w:val="24"/>
                <w:u w:val="none"/>
              </w:rPr>
              <w:t xml:space="preserve"> </w:t>
            </w:r>
            <w:r w:rsidRPr="6A3A78DE">
              <w:rPr>
                <w:rStyle w:val="InstructionsTabelleberschrift"/>
                <w:rFonts w:ascii="Times New Roman" w:hAnsi="Times New Roman"/>
                <w:b w:val="0"/>
                <w:bCs w:val="0"/>
                <w:sz w:val="24"/>
                <w:u w:val="none"/>
              </w:rPr>
              <w:t>reported in column</w:t>
            </w:r>
            <w:r w:rsidR="00B17F52">
              <w:rPr>
                <w:rStyle w:val="InstructionsTabelleberschrift"/>
                <w:rFonts w:ascii="Times New Roman" w:hAnsi="Times New Roman"/>
                <w:b w:val="0"/>
                <w:bCs w:val="0"/>
                <w:sz w:val="24"/>
                <w:u w:val="none"/>
              </w:rPr>
              <w:t>s</w:t>
            </w:r>
            <w:r w:rsidRPr="6A3A78DE">
              <w:rPr>
                <w:rStyle w:val="InstructionsTabelleberschrift"/>
                <w:rFonts w:ascii="Times New Roman" w:hAnsi="Times New Roman"/>
                <w:b w:val="0"/>
                <w:bCs w:val="0"/>
                <w:sz w:val="24"/>
                <w:u w:val="none"/>
              </w:rPr>
              <w:t xml:space="preserve"> 00</w:t>
            </w:r>
            <w:r w:rsidR="0002618A">
              <w:rPr>
                <w:rStyle w:val="InstructionsTabelleberschrift"/>
                <w:rFonts w:ascii="Times New Roman" w:hAnsi="Times New Roman"/>
                <w:b w:val="0"/>
                <w:bCs w:val="0"/>
                <w:sz w:val="24"/>
                <w:u w:val="none"/>
              </w:rPr>
              <w:t>1</w:t>
            </w:r>
            <w:r w:rsidRPr="6A3A78DE">
              <w:rPr>
                <w:rStyle w:val="InstructionsTabelleberschrift"/>
                <w:rFonts w:ascii="Times New Roman" w:hAnsi="Times New Roman"/>
                <w:b w:val="0"/>
                <w:bCs w:val="0"/>
                <w:sz w:val="24"/>
                <w:u w:val="none"/>
              </w:rPr>
              <w:t xml:space="preserve">0 </w:t>
            </w:r>
            <w:r w:rsidR="00B17F52">
              <w:rPr>
                <w:rStyle w:val="InstructionsTabelleberschrift"/>
                <w:rFonts w:ascii="Times New Roman" w:hAnsi="Times New Roman"/>
                <w:b w:val="0"/>
                <w:bCs w:val="0"/>
                <w:sz w:val="24"/>
                <w:u w:val="none"/>
              </w:rPr>
              <w:t xml:space="preserve">and 0260 </w:t>
            </w:r>
            <w:r w:rsidRPr="6A3A78DE">
              <w:rPr>
                <w:rStyle w:val="InstructionsTabelleberschrift"/>
                <w:rFonts w:ascii="Times New Roman" w:hAnsi="Times New Roman"/>
                <w:b w:val="0"/>
                <w:bCs w:val="0"/>
                <w:sz w:val="24"/>
                <w:u w:val="none"/>
              </w:rPr>
              <w:t xml:space="preserve">subject to bought </w:t>
            </w:r>
            <w:r w:rsidR="000452C6" w:rsidRPr="6A3A78DE">
              <w:rPr>
                <w:rStyle w:val="InstructionsTabelleberschrift"/>
                <w:rFonts w:ascii="Times New Roman" w:hAnsi="Times New Roman"/>
                <w:b w:val="0"/>
                <w:bCs w:val="0"/>
                <w:sz w:val="24"/>
                <w:u w:val="none"/>
              </w:rPr>
              <w:t xml:space="preserve">automatic </w:t>
            </w:r>
            <w:r w:rsidRPr="6A3A78DE">
              <w:rPr>
                <w:rStyle w:val="InstructionsTabelleberschrift"/>
                <w:rFonts w:ascii="Times New Roman" w:hAnsi="Times New Roman"/>
                <w:b w:val="0"/>
                <w:bCs w:val="0"/>
                <w:sz w:val="24"/>
                <w:u w:val="none"/>
              </w:rPr>
              <w:t xml:space="preserve">interest rate options. </w:t>
            </w:r>
            <w:r>
              <w:br/>
            </w:r>
            <w:r w:rsidRPr="6A3A78DE">
              <w:rPr>
                <w:rStyle w:val="InstructionsTabelleberschrift"/>
                <w:rFonts w:ascii="Times New Roman" w:hAnsi="Times New Roman"/>
                <w:b w:val="0"/>
                <w:bCs w:val="0"/>
                <w:sz w:val="24"/>
                <w:u w:val="none"/>
              </w:rPr>
              <w:t xml:space="preserve">The optionality can arise from standalone instruments bought by the institution (including </w:t>
            </w:r>
            <w:r w:rsidRPr="6A3A78DE">
              <w:rPr>
                <w:rStyle w:val="InstructionsTabelleberschrift"/>
                <w:rFonts w:ascii="Times New Roman" w:hAnsi="Times New Roman"/>
                <w:b w:val="0"/>
                <w:bCs w:val="0"/>
                <w:i/>
                <w:iCs/>
                <w:sz w:val="24"/>
                <w:u w:val="none"/>
              </w:rPr>
              <w:t xml:space="preserve">floors, caps </w:t>
            </w:r>
            <w:r w:rsidRPr="6A3A78DE">
              <w:rPr>
                <w:rStyle w:val="InstructionsTabelleberschrift"/>
                <w:rFonts w:ascii="Times New Roman" w:hAnsi="Times New Roman"/>
                <w:b w:val="0"/>
                <w:bCs w:val="0"/>
                <w:sz w:val="24"/>
                <w:u w:val="none"/>
              </w:rPr>
              <w:t xml:space="preserve">and </w:t>
            </w:r>
            <w:r w:rsidRPr="6A3A78DE">
              <w:rPr>
                <w:rStyle w:val="InstructionsTabelleberschrift"/>
                <w:rFonts w:ascii="Times New Roman" w:hAnsi="Times New Roman"/>
                <w:b w:val="0"/>
                <w:bCs w:val="0"/>
                <w:i/>
                <w:iCs/>
                <w:sz w:val="24"/>
                <w:u w:val="none"/>
              </w:rPr>
              <w:t>swaptions</w:t>
            </w:r>
            <w:r w:rsidRPr="6A3A78DE">
              <w:rPr>
                <w:rStyle w:val="InstructionsTabelleberschrift"/>
                <w:rFonts w:ascii="Times New Roman" w:hAnsi="Times New Roman"/>
                <w:b w:val="0"/>
                <w:bCs w:val="0"/>
                <w:sz w:val="24"/>
                <w:u w:val="none"/>
              </w:rPr>
              <w:t>) or be “embedded” within the contractual terms of other standard banking products.</w:t>
            </w:r>
          </w:p>
          <w:p w14:paraId="03C11696" w14:textId="6D4F9A1E" w:rsidR="00A83E73" w:rsidRDefault="00A83E73" w:rsidP="0001573B">
            <w:pPr>
              <w:pStyle w:val="InstructionsText"/>
              <w:rPr>
                <w:rStyle w:val="InstructionsTabelleberschrift"/>
                <w:rFonts w:ascii="Times New Roman" w:hAnsi="Times New Roman"/>
                <w:b w:val="0"/>
                <w:bCs w:val="0"/>
                <w:sz w:val="24"/>
                <w:u w:val="none"/>
              </w:rPr>
            </w:pPr>
            <w:r w:rsidRPr="009E0C3D">
              <w:rPr>
                <w:lang w:val="en-US"/>
              </w:rPr>
              <w:t xml:space="preserve">Embedded automatic interest rate options </w:t>
            </w:r>
            <w:r>
              <w:rPr>
                <w:lang w:val="en-US"/>
              </w:rPr>
              <w:t>shall</w:t>
            </w:r>
            <w:r w:rsidRPr="009E0C3D">
              <w:rPr>
                <w:lang w:val="en-US"/>
              </w:rPr>
              <w:t xml:space="preserve"> be reported together with its relevant host instrument (either asset or liability)</w:t>
            </w:r>
            <w:r w:rsidRPr="18E24F6C">
              <w:rPr>
                <w:lang w:val="en-US"/>
              </w:rPr>
              <w:t xml:space="preserve">.  Explicit automatic interest rate options </w:t>
            </w:r>
            <w:r w:rsidR="00332BAD">
              <w:rPr>
                <w:lang w:val="en-US"/>
              </w:rPr>
              <w:t>shall</w:t>
            </w:r>
            <w:r w:rsidRPr="18E24F6C">
              <w:rPr>
                <w:lang w:val="en-US"/>
              </w:rPr>
              <w:t xml:space="preserve"> be reported as derivative instruments</w:t>
            </w:r>
            <w:r>
              <w:rPr>
                <w:lang w:val="en-US"/>
              </w:rPr>
              <w:t>.</w:t>
            </w:r>
          </w:p>
          <w:p w14:paraId="1515B951" w14:textId="16DE8CDA" w:rsidR="000452C6" w:rsidRDefault="008A13DA" w:rsidP="0001573B">
            <w:pPr>
              <w:pStyle w:val="InstructionsText"/>
              <w:rPr>
                <w:rStyle w:val="InstructionsTabelleberschrift"/>
                <w:rFonts w:ascii="Times New Roman" w:hAnsi="Times New Roman"/>
                <w:b w:val="0"/>
                <w:bCs w:val="0"/>
                <w:sz w:val="24"/>
                <w:u w:val="none"/>
              </w:rPr>
            </w:pPr>
            <w:r w:rsidRPr="00C006DC">
              <w:rPr>
                <w:rStyle w:val="InstructionsTabelleberschrift"/>
                <w:rFonts w:ascii="Times New Roman" w:hAnsi="Times New Roman"/>
                <w:b w:val="0"/>
                <w:bCs w:val="0"/>
                <w:sz w:val="24"/>
                <w:u w:val="none"/>
              </w:rPr>
              <w:t xml:space="preserve">Embedded automatic bought options </w:t>
            </w:r>
            <w:r w:rsidR="003124F8">
              <w:rPr>
                <w:rStyle w:val="InstructionsTabelleberschrift"/>
                <w:rFonts w:ascii="Times New Roman" w:hAnsi="Times New Roman"/>
                <w:b w:val="0"/>
                <w:bCs w:val="0"/>
                <w:sz w:val="24"/>
                <w:u w:val="none"/>
              </w:rPr>
              <w:t xml:space="preserve">shall </w:t>
            </w:r>
            <w:r>
              <w:rPr>
                <w:rStyle w:val="InstructionsTabelleberschrift"/>
                <w:rFonts w:ascii="Times New Roman" w:hAnsi="Times New Roman"/>
                <w:b w:val="0"/>
                <w:bCs w:val="0"/>
                <w:sz w:val="24"/>
                <w:u w:val="none"/>
              </w:rPr>
              <w:t>include, in</w:t>
            </w:r>
            <w:r w:rsidRPr="00C006DC">
              <w:rPr>
                <w:rStyle w:val="InstructionsTabelleberschrift"/>
                <w:rFonts w:ascii="Times New Roman" w:hAnsi="Times New Roman"/>
                <w:b w:val="0"/>
                <w:bCs w:val="0"/>
                <w:sz w:val="24"/>
                <w:u w:val="none"/>
              </w:rPr>
              <w:t xml:space="preserve"> case of floating rate positions: (i) bought floors over floating rate assets (loans or debt securities); (ii) bought caps over floating rate debt securities issued etc. </w:t>
            </w:r>
          </w:p>
          <w:p w14:paraId="4B278975" w14:textId="355207C3" w:rsidR="008A13DA" w:rsidRDefault="008A13DA" w:rsidP="0001573B">
            <w:pPr>
              <w:pStyle w:val="InstructionsText"/>
              <w:rPr>
                <w:rStyle w:val="InstructionsTabelleberschrift"/>
                <w:rFonts w:ascii="Times New Roman" w:hAnsi="Times New Roman"/>
                <w:b w:val="0"/>
                <w:bCs w:val="0"/>
                <w:sz w:val="24"/>
                <w:u w:val="none"/>
              </w:rPr>
            </w:pPr>
            <w:r w:rsidRPr="00C006DC">
              <w:rPr>
                <w:rStyle w:val="InstructionsTabelleberschrift"/>
                <w:rFonts w:ascii="Times New Roman" w:hAnsi="Times New Roman"/>
                <w:b w:val="0"/>
                <w:bCs w:val="0"/>
                <w:sz w:val="24"/>
                <w:u w:val="none"/>
              </w:rPr>
              <w:t xml:space="preserve">In case of fixed rate positions, </w:t>
            </w:r>
            <w:r w:rsidR="000452C6">
              <w:rPr>
                <w:rStyle w:val="InstructionsTabelleberschrift"/>
                <w:rFonts w:ascii="Times New Roman" w:hAnsi="Times New Roman"/>
                <w:b w:val="0"/>
                <w:bCs w:val="0"/>
                <w:sz w:val="24"/>
                <w:u w:val="none"/>
              </w:rPr>
              <w:t>they shall include</w:t>
            </w:r>
            <w:r w:rsidRPr="00C006DC">
              <w:rPr>
                <w:rStyle w:val="InstructionsTabelleberschrift"/>
                <w:rFonts w:ascii="Times New Roman" w:hAnsi="Times New Roman"/>
                <w:b w:val="0"/>
                <w:bCs w:val="0"/>
                <w:sz w:val="24"/>
                <w:u w:val="none"/>
              </w:rPr>
              <w:t>: (i) fixed rate debt securit</w:t>
            </w:r>
            <w:r w:rsidR="000452C6">
              <w:rPr>
                <w:rStyle w:val="InstructionsTabelleberschrift"/>
                <w:rFonts w:ascii="Times New Roman" w:hAnsi="Times New Roman"/>
                <w:b w:val="0"/>
                <w:bCs w:val="0"/>
                <w:sz w:val="24"/>
                <w:u w:val="none"/>
              </w:rPr>
              <w:t>y</w:t>
            </w:r>
            <w:r w:rsidRPr="00C006DC">
              <w:rPr>
                <w:rStyle w:val="InstructionsTabelleberschrift"/>
                <w:rFonts w:ascii="Times New Roman" w:hAnsi="Times New Roman"/>
                <w:b w:val="0"/>
                <w:bCs w:val="0"/>
                <w:sz w:val="24"/>
                <w:u w:val="none"/>
              </w:rPr>
              <w:t xml:space="preserve"> assets with </w:t>
            </w:r>
            <w:r w:rsidR="000452C6">
              <w:rPr>
                <w:rStyle w:val="InstructionsTabelleberschrift"/>
                <w:rFonts w:ascii="Times New Roman" w:hAnsi="Times New Roman"/>
                <w:b w:val="0"/>
                <w:bCs w:val="0"/>
                <w:sz w:val="24"/>
                <w:u w:val="none"/>
              </w:rPr>
              <w:t xml:space="preserve">a </w:t>
            </w:r>
            <w:r w:rsidRPr="00C006DC">
              <w:rPr>
                <w:rStyle w:val="InstructionsTabelleberschrift"/>
                <w:rFonts w:ascii="Times New Roman" w:hAnsi="Times New Roman"/>
                <w:b w:val="0"/>
                <w:bCs w:val="0"/>
                <w:sz w:val="24"/>
                <w:u w:val="none"/>
              </w:rPr>
              <w:t xml:space="preserve">prepayment option for the bank (embedded bought swaption payer); (ii) fixed rate debt securities issued liabilities with </w:t>
            </w:r>
            <w:r w:rsidR="000452C6">
              <w:rPr>
                <w:rStyle w:val="InstructionsTabelleberschrift"/>
                <w:rFonts w:ascii="Times New Roman" w:hAnsi="Times New Roman"/>
                <w:b w:val="0"/>
                <w:bCs w:val="0"/>
                <w:sz w:val="24"/>
                <w:u w:val="none"/>
              </w:rPr>
              <w:t xml:space="preserve">a </w:t>
            </w:r>
            <w:r w:rsidRPr="00C006DC">
              <w:rPr>
                <w:rStyle w:val="InstructionsTabelleberschrift"/>
                <w:rFonts w:ascii="Times New Roman" w:hAnsi="Times New Roman"/>
                <w:b w:val="0"/>
                <w:bCs w:val="0"/>
                <w:sz w:val="24"/>
                <w:u w:val="none"/>
              </w:rPr>
              <w:t>prepayment option for the bank (embedd</w:t>
            </w:r>
            <w:r>
              <w:rPr>
                <w:rStyle w:val="InstructionsTabelleberschrift"/>
                <w:rFonts w:ascii="Times New Roman" w:hAnsi="Times New Roman"/>
                <w:b w:val="0"/>
                <w:bCs w:val="0"/>
                <w:sz w:val="24"/>
                <w:u w:val="none"/>
              </w:rPr>
              <w:t>ed bought swaption receiver).</w:t>
            </w:r>
          </w:p>
          <w:p w14:paraId="0EC5C984" w14:textId="103B6458" w:rsidR="004736B2" w:rsidRDefault="004736B2"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Explicit automatic bought options are derivatives which shall include, (i) </w:t>
            </w:r>
            <w:r w:rsidRPr="00C43B3F">
              <w:rPr>
                <w:rStyle w:val="InstructionsTabelleberschrift"/>
                <w:rFonts w:ascii="Times New Roman" w:hAnsi="Times New Roman"/>
                <w:b w:val="0"/>
                <w:bCs w:val="0"/>
                <w:sz w:val="24"/>
                <w:u w:val="none"/>
              </w:rPr>
              <w:t>explicit bought floors</w:t>
            </w:r>
            <w:r>
              <w:rPr>
                <w:rStyle w:val="InstructionsTabelleberschrift"/>
                <w:rFonts w:ascii="Times New Roman" w:hAnsi="Times New Roman"/>
                <w:b w:val="0"/>
                <w:bCs w:val="0"/>
                <w:sz w:val="24"/>
                <w:u w:val="none"/>
              </w:rPr>
              <w:t xml:space="preserve">; (ii) </w:t>
            </w:r>
            <w:r w:rsidRPr="00C43B3F">
              <w:rPr>
                <w:rStyle w:val="InstructionsTabelleberschrift"/>
                <w:rFonts w:ascii="Times New Roman" w:hAnsi="Times New Roman"/>
                <w:b w:val="0"/>
                <w:bCs w:val="0"/>
                <w:sz w:val="24"/>
                <w:u w:val="none"/>
              </w:rPr>
              <w:t>explicit bought swaption payers (bank has the right to enter into an I</w:t>
            </w:r>
            <w:r>
              <w:rPr>
                <w:rStyle w:val="InstructionsTabelleberschrift"/>
                <w:rFonts w:ascii="Times New Roman" w:hAnsi="Times New Roman"/>
                <w:b w:val="0"/>
                <w:bCs w:val="0"/>
                <w:sz w:val="24"/>
                <w:u w:val="none"/>
              </w:rPr>
              <w:t>nterest Rate Swap</w:t>
            </w:r>
            <w:r w:rsidRPr="00C43B3F">
              <w:rPr>
                <w:rStyle w:val="InstructionsTabelleberschrift"/>
                <w:rFonts w:ascii="Times New Roman" w:hAnsi="Times New Roman"/>
                <w:b w:val="0"/>
                <w:bCs w:val="0"/>
                <w:sz w:val="24"/>
                <w:u w:val="none"/>
              </w:rPr>
              <w:t xml:space="preserve"> p</w:t>
            </w:r>
            <w:r>
              <w:rPr>
                <w:rStyle w:val="InstructionsTabelleberschrift"/>
                <w:rFonts w:ascii="Times New Roman" w:hAnsi="Times New Roman"/>
                <w:b w:val="0"/>
                <w:bCs w:val="0"/>
                <w:sz w:val="24"/>
                <w:u w:val="none"/>
              </w:rPr>
              <w:t xml:space="preserve">aying fixed receiving variable); (iii) </w:t>
            </w:r>
            <w:r w:rsidRPr="00C43B3F">
              <w:rPr>
                <w:rStyle w:val="InstructionsTabelleberschrift"/>
                <w:rFonts w:ascii="Times New Roman" w:hAnsi="Times New Roman"/>
                <w:b w:val="0"/>
                <w:bCs w:val="0"/>
                <w:sz w:val="24"/>
                <w:u w:val="none"/>
              </w:rPr>
              <w:t>explicit bought caps</w:t>
            </w:r>
            <w:r>
              <w:rPr>
                <w:rStyle w:val="InstructionsTabelleberschrift"/>
                <w:rFonts w:ascii="Times New Roman" w:hAnsi="Times New Roman"/>
                <w:b w:val="0"/>
                <w:bCs w:val="0"/>
                <w:sz w:val="24"/>
                <w:u w:val="none"/>
              </w:rPr>
              <w:t xml:space="preserve">; (iv) </w:t>
            </w:r>
            <w:r w:rsidRPr="00C43B3F">
              <w:rPr>
                <w:rStyle w:val="InstructionsTabelleberschrift"/>
                <w:rFonts w:ascii="Times New Roman" w:hAnsi="Times New Roman"/>
                <w:b w:val="0"/>
                <w:bCs w:val="0"/>
                <w:sz w:val="24"/>
                <w:u w:val="none"/>
              </w:rPr>
              <w:t>explicit bought swaption receivers (bank has the right to enter into an I</w:t>
            </w:r>
            <w:r>
              <w:rPr>
                <w:rStyle w:val="InstructionsTabelleberschrift"/>
                <w:rFonts w:ascii="Times New Roman" w:hAnsi="Times New Roman"/>
                <w:b w:val="0"/>
                <w:bCs w:val="0"/>
                <w:sz w:val="24"/>
                <w:u w:val="none"/>
              </w:rPr>
              <w:t xml:space="preserve">nterest </w:t>
            </w:r>
            <w:r w:rsidRPr="00C43B3F">
              <w:rPr>
                <w:rStyle w:val="InstructionsTabelleberschrift"/>
                <w:rFonts w:ascii="Times New Roman" w:hAnsi="Times New Roman"/>
                <w:b w:val="0"/>
                <w:bCs w:val="0"/>
                <w:sz w:val="24"/>
                <w:u w:val="none"/>
              </w:rPr>
              <w:t>R</w:t>
            </w:r>
            <w:r>
              <w:rPr>
                <w:rStyle w:val="InstructionsTabelleberschrift"/>
                <w:rFonts w:ascii="Times New Roman" w:hAnsi="Times New Roman"/>
                <w:b w:val="0"/>
                <w:bCs w:val="0"/>
                <w:sz w:val="24"/>
                <w:u w:val="none"/>
              </w:rPr>
              <w:t xml:space="preserve">ate </w:t>
            </w:r>
            <w:r w:rsidRPr="00C43B3F">
              <w:rPr>
                <w:rStyle w:val="InstructionsTabelleberschrift"/>
                <w:rFonts w:ascii="Times New Roman" w:hAnsi="Times New Roman"/>
                <w:b w:val="0"/>
                <w:bCs w:val="0"/>
                <w:sz w:val="24"/>
                <w:u w:val="none"/>
              </w:rPr>
              <w:t>S</w:t>
            </w:r>
            <w:r>
              <w:rPr>
                <w:rStyle w:val="InstructionsTabelleberschrift"/>
                <w:rFonts w:ascii="Times New Roman" w:hAnsi="Times New Roman"/>
                <w:b w:val="0"/>
                <w:bCs w:val="0"/>
                <w:sz w:val="24"/>
                <w:u w:val="none"/>
              </w:rPr>
              <w:t>wap</w:t>
            </w:r>
            <w:r w:rsidRPr="00C43B3F">
              <w:rPr>
                <w:rStyle w:val="InstructionsTabelleberschrift"/>
                <w:rFonts w:ascii="Times New Roman" w:hAnsi="Times New Roman"/>
                <w:b w:val="0"/>
                <w:bCs w:val="0"/>
                <w:sz w:val="24"/>
                <w:u w:val="none"/>
              </w:rPr>
              <w:t xml:space="preserve"> receiving fixed paying variable)</w:t>
            </w:r>
            <w:r>
              <w:rPr>
                <w:rStyle w:val="InstructionsTabelleberschrift"/>
                <w:rFonts w:ascii="Times New Roman" w:hAnsi="Times New Roman"/>
                <w:b w:val="0"/>
                <w:bCs w:val="0"/>
                <w:sz w:val="24"/>
                <w:u w:val="none"/>
              </w:rPr>
              <w:t>.</w:t>
            </w:r>
          </w:p>
          <w:p w14:paraId="0338A8CE" w14:textId="13871A59" w:rsidR="008A13DA" w:rsidRPr="009E536A" w:rsidRDefault="004736B2" w:rsidP="0001573B">
            <w:pPr>
              <w:pStyle w:val="InstructionsText"/>
              <w:rPr>
                <w:rStyle w:val="InstructionsTabelleberschrift"/>
                <w:rFonts w:ascii="Times New Roman" w:hAnsi="Times New Roman"/>
                <w:sz w:val="24"/>
              </w:rPr>
            </w:pPr>
            <w:r>
              <w:t>When calculating the percentage exposure, i</w:t>
            </w:r>
            <w:r w:rsidRPr="00551497">
              <w:t xml:space="preserve">nstitutions shall duly consider the conventions specified in </w:t>
            </w:r>
            <w:r>
              <w:t xml:space="preserve">Part I, section </w:t>
            </w:r>
            <w:r w:rsidRPr="00A6215F">
              <w:fldChar w:fldCharType="begin"/>
            </w:r>
            <w:r w:rsidRPr="00A6215F">
              <w:instrText xml:space="preserve"> REF _Ref122265153 \r \h </w:instrText>
            </w:r>
            <w:r w:rsidR="00A6215F">
              <w:instrText xml:space="preserve"> \* MERGEFORMAT </w:instrText>
            </w:r>
            <w:r w:rsidRPr="00A6215F">
              <w:fldChar w:fldCharType="separate"/>
            </w:r>
            <w:r w:rsidR="004049B3">
              <w:t>3</w:t>
            </w:r>
            <w:r w:rsidRPr="00A6215F">
              <w:fldChar w:fldCharType="end"/>
            </w:r>
            <w:r>
              <w:t xml:space="preserve"> with regards options.</w:t>
            </w:r>
          </w:p>
        </w:tc>
      </w:tr>
      <w:tr w:rsidR="008A13DA" w:rsidRPr="00EC067D" w14:paraId="148EA992" w14:textId="77777777" w:rsidTr="63452C95">
        <w:tc>
          <w:tcPr>
            <w:tcW w:w="1129" w:type="dxa"/>
          </w:tcPr>
          <w:p w14:paraId="0C9C2184" w14:textId="481FBD27" w:rsidR="008A13DA" w:rsidRDefault="008A13D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w:t>
            </w:r>
            <w:r w:rsidR="00BB632B">
              <w:rPr>
                <w:rStyle w:val="FormatvorlageInstructionsTabelleText"/>
                <w:rFonts w:ascii="Times New Roman" w:hAnsi="Times New Roman"/>
                <w:sz w:val="24"/>
              </w:rPr>
              <w:t>3</w:t>
            </w:r>
            <w:r>
              <w:rPr>
                <w:rStyle w:val="FormatvorlageInstructionsTabelleText"/>
                <w:rFonts w:ascii="Times New Roman" w:hAnsi="Times New Roman"/>
                <w:sz w:val="24"/>
              </w:rPr>
              <w:t>0</w:t>
            </w:r>
            <w:r w:rsidR="00901CBA">
              <w:rPr>
                <w:rStyle w:val="FormatvorlageInstructionsTabelleText"/>
                <w:rFonts w:ascii="Times New Roman" w:hAnsi="Times New Roman"/>
                <w:sz w:val="24"/>
              </w:rPr>
              <w:t xml:space="preserve"> and</w:t>
            </w:r>
            <w:r w:rsidR="00BB632B">
              <w:rPr>
                <w:rStyle w:val="FormatvorlageInstructionsTabelleText"/>
                <w:rFonts w:ascii="Times New Roman" w:hAnsi="Times New Roman"/>
                <w:sz w:val="24"/>
              </w:rPr>
              <w:t xml:space="preserve"> 0280</w:t>
            </w:r>
          </w:p>
        </w:tc>
        <w:tc>
          <w:tcPr>
            <w:tcW w:w="7620" w:type="dxa"/>
          </w:tcPr>
          <w:p w14:paraId="685A6336" w14:textId="5A91B1B4" w:rsidR="008A13DA" w:rsidRPr="00E45329" w:rsidRDefault="008A13DA" w:rsidP="0001573B">
            <w:pPr>
              <w:pStyle w:val="InstructionsText"/>
              <w:rPr>
                <w:rStyle w:val="InstructionsTabelleberschrift"/>
                <w:rFonts w:ascii="Times New Roman" w:hAnsi="Times New Roman"/>
                <w:sz w:val="24"/>
                <w:lang w:eastAsia="en-US"/>
              </w:rPr>
            </w:pPr>
            <w:r>
              <w:rPr>
                <w:rStyle w:val="InstructionsTabelleberschrift"/>
                <w:rFonts w:ascii="Times New Roman" w:hAnsi="Times New Roman"/>
                <w:sz w:val="24"/>
              </w:rPr>
              <w:t>%</w:t>
            </w:r>
            <w:r w:rsidRPr="00E45329">
              <w:rPr>
                <w:rStyle w:val="InstructionsTabelleberschrift"/>
                <w:rFonts w:ascii="Times New Roman" w:hAnsi="Times New Roman"/>
                <w:sz w:val="24"/>
              </w:rPr>
              <w:t xml:space="preserve"> With embedded or explicit automatic optionality - </w:t>
            </w:r>
            <w:r w:rsidR="000452C6">
              <w:rPr>
                <w:rStyle w:val="InstructionsTabelleberschrift"/>
                <w:rFonts w:ascii="Times New Roman" w:hAnsi="Times New Roman"/>
                <w:sz w:val="24"/>
              </w:rPr>
              <w:t>s</w:t>
            </w:r>
            <w:r w:rsidR="000452C6" w:rsidRPr="00E45329">
              <w:rPr>
                <w:rStyle w:val="InstructionsTabelleberschrift"/>
                <w:rFonts w:ascii="Times New Roman" w:hAnsi="Times New Roman"/>
                <w:sz w:val="24"/>
              </w:rPr>
              <w:t>old</w:t>
            </w:r>
          </w:p>
          <w:p w14:paraId="6E9CFF28" w14:textId="16A3E298" w:rsidR="008A13DA" w:rsidRDefault="008A13DA" w:rsidP="0001573B">
            <w:pPr>
              <w:pStyle w:val="InstructionsText"/>
              <w:rPr>
                <w:rStyle w:val="InstructionsTabelleberschrift"/>
                <w:rFonts w:ascii="Times New Roman" w:hAnsi="Times New Roman"/>
                <w:b w:val="0"/>
                <w:bCs w:val="0"/>
                <w:sz w:val="24"/>
                <w:u w:val="none"/>
              </w:rPr>
            </w:pPr>
            <w:r w:rsidRPr="6A3A78DE">
              <w:rPr>
                <w:rStyle w:val="InstructionsTabelleberschrift"/>
                <w:rFonts w:ascii="Times New Roman" w:hAnsi="Times New Roman"/>
                <w:b w:val="0"/>
                <w:bCs w:val="0"/>
                <w:sz w:val="24"/>
                <w:u w:val="none"/>
              </w:rPr>
              <w:t xml:space="preserve">Percentage of the </w:t>
            </w:r>
            <w:r w:rsidR="0002618A">
              <w:rPr>
                <w:rStyle w:val="InstructionsTabelleberschrift"/>
                <w:rFonts w:ascii="Times New Roman" w:hAnsi="Times New Roman"/>
                <w:b w:val="0"/>
                <w:bCs w:val="0"/>
                <w:sz w:val="24"/>
                <w:u w:val="none"/>
              </w:rPr>
              <w:t>notional amount</w:t>
            </w:r>
            <w:r w:rsidR="001C3480" w:rsidRPr="6A3A78DE">
              <w:rPr>
                <w:rStyle w:val="InstructionsTabelleberschrift"/>
                <w:rFonts w:ascii="Times New Roman" w:hAnsi="Times New Roman"/>
                <w:b w:val="0"/>
                <w:bCs w:val="0"/>
                <w:sz w:val="24"/>
                <w:u w:val="none"/>
              </w:rPr>
              <w:t xml:space="preserve"> </w:t>
            </w:r>
            <w:r w:rsidRPr="6A3A78DE">
              <w:rPr>
                <w:rStyle w:val="InstructionsTabelleberschrift"/>
                <w:rFonts w:ascii="Times New Roman" w:hAnsi="Times New Roman"/>
                <w:b w:val="0"/>
                <w:bCs w:val="0"/>
                <w:sz w:val="24"/>
                <w:u w:val="none"/>
              </w:rPr>
              <w:t>reported in column</w:t>
            </w:r>
            <w:r w:rsidR="00324D7F">
              <w:rPr>
                <w:rStyle w:val="InstructionsTabelleberschrift"/>
                <w:rFonts w:ascii="Times New Roman" w:hAnsi="Times New Roman"/>
                <w:b w:val="0"/>
                <w:bCs w:val="0"/>
                <w:sz w:val="24"/>
                <w:u w:val="none"/>
              </w:rPr>
              <w:t>s</w:t>
            </w:r>
            <w:r w:rsidRPr="6A3A78DE">
              <w:rPr>
                <w:rStyle w:val="InstructionsTabelleberschrift"/>
                <w:rFonts w:ascii="Times New Roman" w:hAnsi="Times New Roman"/>
                <w:b w:val="0"/>
                <w:bCs w:val="0"/>
                <w:sz w:val="24"/>
                <w:u w:val="none"/>
              </w:rPr>
              <w:t xml:space="preserve"> 00</w:t>
            </w:r>
            <w:r w:rsidR="0002618A">
              <w:rPr>
                <w:rStyle w:val="InstructionsTabelleberschrift"/>
                <w:rFonts w:ascii="Times New Roman" w:hAnsi="Times New Roman"/>
                <w:b w:val="0"/>
                <w:bCs w:val="0"/>
                <w:sz w:val="24"/>
                <w:u w:val="none"/>
              </w:rPr>
              <w:t>1</w:t>
            </w:r>
            <w:r w:rsidRPr="6A3A78DE">
              <w:rPr>
                <w:rStyle w:val="InstructionsTabelleberschrift"/>
                <w:rFonts w:ascii="Times New Roman" w:hAnsi="Times New Roman"/>
                <w:b w:val="0"/>
                <w:bCs w:val="0"/>
                <w:sz w:val="24"/>
                <w:u w:val="none"/>
              </w:rPr>
              <w:t xml:space="preserve">0 </w:t>
            </w:r>
            <w:r w:rsidR="00324D7F">
              <w:rPr>
                <w:rStyle w:val="InstructionsTabelleberschrift"/>
                <w:rFonts w:ascii="Times New Roman" w:hAnsi="Times New Roman"/>
                <w:b w:val="0"/>
                <w:bCs w:val="0"/>
                <w:sz w:val="24"/>
                <w:u w:val="none"/>
              </w:rPr>
              <w:t xml:space="preserve">and 0260 </w:t>
            </w:r>
            <w:r w:rsidRPr="6A3A78DE">
              <w:rPr>
                <w:rStyle w:val="InstructionsTabelleberschrift"/>
                <w:rFonts w:ascii="Times New Roman" w:hAnsi="Times New Roman"/>
                <w:b w:val="0"/>
                <w:bCs w:val="0"/>
                <w:sz w:val="24"/>
                <w:u w:val="none"/>
              </w:rPr>
              <w:t xml:space="preserve">subject to </w:t>
            </w:r>
            <w:r w:rsidR="000452C6" w:rsidRPr="6A3A78DE">
              <w:rPr>
                <w:rStyle w:val="InstructionsTabelleberschrift"/>
                <w:rFonts w:ascii="Times New Roman" w:hAnsi="Times New Roman"/>
                <w:b w:val="0"/>
                <w:bCs w:val="0"/>
                <w:sz w:val="24"/>
                <w:u w:val="none"/>
              </w:rPr>
              <w:t xml:space="preserve">sold </w:t>
            </w:r>
            <w:r w:rsidRPr="6A3A78DE">
              <w:rPr>
                <w:rStyle w:val="InstructionsTabelleberschrift"/>
                <w:rFonts w:ascii="Times New Roman" w:hAnsi="Times New Roman"/>
                <w:b w:val="0"/>
                <w:bCs w:val="0"/>
                <w:sz w:val="24"/>
                <w:u w:val="none"/>
              </w:rPr>
              <w:t xml:space="preserve">automatic interest rate options. </w:t>
            </w:r>
            <w:r>
              <w:br/>
            </w:r>
            <w:r w:rsidRPr="6A3A78DE">
              <w:rPr>
                <w:rStyle w:val="InstructionsTabelleberschrift"/>
                <w:rFonts w:ascii="Times New Roman" w:hAnsi="Times New Roman"/>
                <w:b w:val="0"/>
                <w:bCs w:val="0"/>
                <w:sz w:val="24"/>
                <w:u w:val="none"/>
              </w:rPr>
              <w:t xml:space="preserve">The optionality can arise from standalone instruments sold by the institution (including </w:t>
            </w:r>
            <w:r w:rsidRPr="6A3A78DE">
              <w:rPr>
                <w:rStyle w:val="InstructionsTabelleberschrift"/>
                <w:rFonts w:ascii="Times New Roman" w:hAnsi="Times New Roman"/>
                <w:b w:val="0"/>
                <w:bCs w:val="0"/>
                <w:i/>
                <w:iCs/>
                <w:sz w:val="24"/>
                <w:u w:val="none"/>
              </w:rPr>
              <w:t xml:space="preserve">floors, caps </w:t>
            </w:r>
            <w:r w:rsidRPr="6A3A78DE">
              <w:rPr>
                <w:rStyle w:val="InstructionsTabelleberschrift"/>
                <w:rFonts w:ascii="Times New Roman" w:hAnsi="Times New Roman"/>
                <w:b w:val="0"/>
                <w:bCs w:val="0"/>
                <w:sz w:val="24"/>
                <w:u w:val="none"/>
              </w:rPr>
              <w:t xml:space="preserve">and </w:t>
            </w:r>
            <w:r w:rsidRPr="6A3A78DE">
              <w:rPr>
                <w:rStyle w:val="InstructionsTabelleberschrift"/>
                <w:rFonts w:ascii="Times New Roman" w:hAnsi="Times New Roman"/>
                <w:b w:val="0"/>
                <w:bCs w:val="0"/>
                <w:i/>
                <w:iCs/>
                <w:sz w:val="24"/>
                <w:u w:val="none"/>
              </w:rPr>
              <w:t>swaptions</w:t>
            </w:r>
            <w:r w:rsidRPr="6A3A78DE">
              <w:rPr>
                <w:rStyle w:val="InstructionsTabelleberschrift"/>
                <w:rFonts w:ascii="Times New Roman" w:hAnsi="Times New Roman"/>
                <w:b w:val="0"/>
                <w:bCs w:val="0"/>
                <w:sz w:val="24"/>
                <w:u w:val="none"/>
              </w:rPr>
              <w:t>) or be “embedded” within the contractual terms of other standard banking products.</w:t>
            </w:r>
          </w:p>
          <w:p w14:paraId="4F3EEBA7" w14:textId="6CB86620" w:rsidR="00332BAD" w:rsidRPr="007C40B0" w:rsidRDefault="00332BAD" w:rsidP="007C40B0">
            <w:pPr>
              <w:spacing w:after="118" w:line="244" w:lineRule="auto"/>
              <w:ind w:right="82"/>
              <w:rPr>
                <w:rStyle w:val="InstructionsTabelleberschrift"/>
                <w:rFonts w:ascii="Times New Roman" w:hAnsi="Times New Roman"/>
                <w:b w:val="0"/>
                <w:bCs w:val="0"/>
                <w:sz w:val="24"/>
                <w:u w:val="none"/>
                <w:lang w:val="en-US"/>
              </w:rPr>
            </w:pPr>
            <w:r w:rsidRPr="007C40B0">
              <w:rPr>
                <w:rFonts w:ascii="Times New Roman" w:hAnsi="Times New Roman"/>
                <w:sz w:val="24"/>
                <w:lang w:val="en-US"/>
              </w:rPr>
              <w:t>Embedded automatic interest rate options shall be reported together with its relevant host instrument (either asset or liability).  Explicit automatic interest rate options shall be reported as derivative instruments.</w:t>
            </w:r>
          </w:p>
          <w:p w14:paraId="5E648301" w14:textId="40FE5855" w:rsidR="000978F0" w:rsidRDefault="008A13DA" w:rsidP="0001573B">
            <w:pPr>
              <w:pStyle w:val="InstructionsText"/>
            </w:pPr>
            <w:r w:rsidRPr="00A027E0">
              <w:t xml:space="preserve">Embedded </w:t>
            </w:r>
            <w:r>
              <w:t xml:space="preserve">automatic </w:t>
            </w:r>
            <w:r w:rsidRPr="00A027E0">
              <w:t>sold interest rate options</w:t>
            </w:r>
            <w:r>
              <w:t xml:space="preserve"> </w:t>
            </w:r>
            <w:r w:rsidR="003124F8">
              <w:t xml:space="preserve">shall </w:t>
            </w:r>
            <w:r>
              <w:t>include, in case of floating rate positions</w:t>
            </w:r>
            <w:r w:rsidRPr="00A027E0">
              <w:t>: (i) sold caps over floating rate assets (loans and debt securities); (ii) sold floors over floating rate debt securities issued</w:t>
            </w:r>
            <w:r>
              <w:t xml:space="preserve"> etc. </w:t>
            </w:r>
          </w:p>
          <w:p w14:paraId="17F59AFE" w14:textId="62BFBB28" w:rsidR="008A13DA" w:rsidRDefault="008A13DA" w:rsidP="0001573B">
            <w:pPr>
              <w:pStyle w:val="InstructionsText"/>
            </w:pPr>
            <w:r>
              <w:t>For fixed rate positions,</w:t>
            </w:r>
            <w:r w:rsidR="000978F0">
              <w:t xml:space="preserve"> they</w:t>
            </w:r>
            <w:r>
              <w:t xml:space="preserve"> </w:t>
            </w:r>
            <w:r w:rsidR="00B0111E">
              <w:t>shall</w:t>
            </w:r>
            <w:r w:rsidR="004F2025">
              <w:t xml:space="preserve"> </w:t>
            </w:r>
            <w:r w:rsidR="000978F0">
              <w:t>include</w:t>
            </w:r>
            <w:r>
              <w:t xml:space="preserve">: </w:t>
            </w:r>
            <w:r w:rsidRPr="00A027E0">
              <w:t>(i) fixed rate debt securities with a prepayment option for the issuer</w:t>
            </w:r>
            <w:r>
              <w:t xml:space="preserve"> (embedded sold swaption receiver</w:t>
            </w:r>
            <w:r w:rsidR="000978F0">
              <w:t>)</w:t>
            </w:r>
            <w:r w:rsidRPr="00A027E0">
              <w:t>; (i</w:t>
            </w:r>
            <w:r w:rsidR="00D8090E">
              <w:t>i</w:t>
            </w:r>
            <w:r w:rsidRPr="00A027E0">
              <w:t xml:space="preserve">) sold floors </w:t>
            </w:r>
            <w:r w:rsidR="000978F0">
              <w:t>for</w:t>
            </w:r>
            <w:r w:rsidR="000978F0" w:rsidRPr="001D22F9">
              <w:t xml:space="preserve"> </w:t>
            </w:r>
            <w:r>
              <w:t>NMD</w:t>
            </w:r>
            <w:r w:rsidRPr="00E61125">
              <w:t>s</w:t>
            </w:r>
            <w:r>
              <w:t xml:space="preserve"> </w:t>
            </w:r>
            <w:r w:rsidRPr="00A027E0">
              <w:t>and term deposits including legal and implied floors and (i</w:t>
            </w:r>
            <w:r w:rsidR="00D8090E">
              <w:t>v</w:t>
            </w:r>
            <w:r w:rsidRPr="00A027E0">
              <w:t>) fixed rate debt securities issued with a prepayment option for the investor</w:t>
            </w:r>
            <w:r>
              <w:t xml:space="preserve"> (embedded sold swaption payer)</w:t>
            </w:r>
            <w:r w:rsidRPr="00A027E0">
              <w:t>.</w:t>
            </w:r>
          </w:p>
          <w:p w14:paraId="4039C229" w14:textId="4532D1E7" w:rsidR="00F73C99" w:rsidRDefault="00F73C99"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Explicit automatic sold options are derivatives which shall include, (i) </w:t>
            </w:r>
            <w:r w:rsidRPr="00C43B3F">
              <w:rPr>
                <w:rStyle w:val="InstructionsTabelleberschrift"/>
                <w:rFonts w:ascii="Times New Roman" w:hAnsi="Times New Roman"/>
                <w:b w:val="0"/>
                <w:bCs w:val="0"/>
                <w:sz w:val="24"/>
                <w:u w:val="none"/>
              </w:rPr>
              <w:t>explicit sold caps</w:t>
            </w:r>
            <w:r>
              <w:rPr>
                <w:rStyle w:val="InstructionsTabelleberschrift"/>
                <w:rFonts w:ascii="Times New Roman" w:hAnsi="Times New Roman"/>
                <w:b w:val="0"/>
                <w:bCs w:val="0"/>
                <w:sz w:val="24"/>
                <w:u w:val="none"/>
              </w:rPr>
              <w:t xml:space="preserve">; (ii) </w:t>
            </w:r>
            <w:r w:rsidRPr="00C43B3F">
              <w:rPr>
                <w:rStyle w:val="InstructionsTabelleberschrift"/>
                <w:rFonts w:ascii="Times New Roman" w:hAnsi="Times New Roman"/>
                <w:b w:val="0"/>
                <w:bCs w:val="0"/>
                <w:sz w:val="24"/>
                <w:u w:val="none"/>
              </w:rPr>
              <w:t>explicit sold swaption receivers (bank has the obligation to enter into an I</w:t>
            </w:r>
            <w:r>
              <w:rPr>
                <w:rStyle w:val="InstructionsTabelleberschrift"/>
                <w:rFonts w:ascii="Times New Roman" w:hAnsi="Times New Roman"/>
                <w:b w:val="0"/>
                <w:bCs w:val="0"/>
                <w:sz w:val="24"/>
                <w:u w:val="none"/>
              </w:rPr>
              <w:t xml:space="preserve">nterest </w:t>
            </w:r>
            <w:r w:rsidRPr="00C43B3F">
              <w:rPr>
                <w:rStyle w:val="InstructionsTabelleberschrift"/>
                <w:rFonts w:ascii="Times New Roman" w:hAnsi="Times New Roman"/>
                <w:b w:val="0"/>
                <w:bCs w:val="0"/>
                <w:sz w:val="24"/>
                <w:u w:val="none"/>
              </w:rPr>
              <w:t>R</w:t>
            </w:r>
            <w:r>
              <w:rPr>
                <w:rStyle w:val="InstructionsTabelleberschrift"/>
                <w:rFonts w:ascii="Times New Roman" w:hAnsi="Times New Roman"/>
                <w:b w:val="0"/>
                <w:bCs w:val="0"/>
                <w:sz w:val="24"/>
                <w:u w:val="none"/>
              </w:rPr>
              <w:t xml:space="preserve">ate </w:t>
            </w:r>
            <w:r w:rsidRPr="00C43B3F">
              <w:rPr>
                <w:rStyle w:val="InstructionsTabelleberschrift"/>
                <w:rFonts w:ascii="Times New Roman" w:hAnsi="Times New Roman"/>
                <w:b w:val="0"/>
                <w:bCs w:val="0"/>
                <w:sz w:val="24"/>
                <w:u w:val="none"/>
              </w:rPr>
              <w:t>S</w:t>
            </w:r>
            <w:r>
              <w:rPr>
                <w:rStyle w:val="InstructionsTabelleberschrift"/>
                <w:rFonts w:ascii="Times New Roman" w:hAnsi="Times New Roman"/>
                <w:b w:val="0"/>
                <w:bCs w:val="0"/>
                <w:sz w:val="24"/>
                <w:u w:val="none"/>
              </w:rPr>
              <w:t>waps</w:t>
            </w:r>
            <w:r w:rsidRPr="00C43B3F">
              <w:rPr>
                <w:rStyle w:val="InstructionsTabelleberschrift"/>
                <w:rFonts w:ascii="Times New Roman" w:hAnsi="Times New Roman"/>
                <w:b w:val="0"/>
                <w:bCs w:val="0"/>
                <w:sz w:val="24"/>
                <w:u w:val="none"/>
              </w:rPr>
              <w:t xml:space="preserve"> paying fixed receiving variable)</w:t>
            </w:r>
            <w:r>
              <w:rPr>
                <w:rStyle w:val="InstructionsTabelleberschrift"/>
                <w:rFonts w:ascii="Times New Roman" w:hAnsi="Times New Roman"/>
                <w:b w:val="0"/>
                <w:bCs w:val="0"/>
                <w:sz w:val="24"/>
                <w:u w:val="none"/>
              </w:rPr>
              <w:t xml:space="preserve">; (iii) </w:t>
            </w:r>
            <w:r w:rsidRPr="00C43B3F">
              <w:rPr>
                <w:rStyle w:val="InstructionsTabelleberschrift"/>
                <w:rFonts w:ascii="Times New Roman" w:hAnsi="Times New Roman"/>
                <w:b w:val="0"/>
                <w:bCs w:val="0"/>
                <w:sz w:val="24"/>
                <w:u w:val="none"/>
              </w:rPr>
              <w:t>explicit sold floors</w:t>
            </w:r>
            <w:r>
              <w:rPr>
                <w:rStyle w:val="InstructionsTabelleberschrift"/>
                <w:rFonts w:ascii="Times New Roman" w:hAnsi="Times New Roman"/>
                <w:b w:val="0"/>
                <w:bCs w:val="0"/>
                <w:sz w:val="24"/>
                <w:u w:val="none"/>
              </w:rPr>
              <w:t xml:space="preserve">; (iv) explicit </w:t>
            </w:r>
            <w:r w:rsidRPr="00C43B3F">
              <w:rPr>
                <w:rStyle w:val="InstructionsTabelleberschrift"/>
                <w:rFonts w:ascii="Times New Roman" w:hAnsi="Times New Roman"/>
                <w:b w:val="0"/>
                <w:bCs w:val="0"/>
                <w:sz w:val="24"/>
                <w:u w:val="none"/>
              </w:rPr>
              <w:t>sold swaption payers (bank has the obligation to enter into an I</w:t>
            </w:r>
            <w:r>
              <w:rPr>
                <w:rStyle w:val="InstructionsTabelleberschrift"/>
                <w:rFonts w:ascii="Times New Roman" w:hAnsi="Times New Roman"/>
                <w:b w:val="0"/>
                <w:bCs w:val="0"/>
                <w:sz w:val="24"/>
                <w:u w:val="none"/>
              </w:rPr>
              <w:t xml:space="preserve">nterest </w:t>
            </w:r>
            <w:r w:rsidRPr="00C43B3F">
              <w:rPr>
                <w:rStyle w:val="InstructionsTabelleberschrift"/>
                <w:rFonts w:ascii="Times New Roman" w:hAnsi="Times New Roman"/>
                <w:b w:val="0"/>
                <w:bCs w:val="0"/>
                <w:sz w:val="24"/>
                <w:u w:val="none"/>
              </w:rPr>
              <w:t>R</w:t>
            </w:r>
            <w:r>
              <w:rPr>
                <w:rStyle w:val="InstructionsTabelleberschrift"/>
                <w:rFonts w:ascii="Times New Roman" w:hAnsi="Times New Roman"/>
                <w:b w:val="0"/>
                <w:bCs w:val="0"/>
                <w:sz w:val="24"/>
                <w:u w:val="none"/>
              </w:rPr>
              <w:t xml:space="preserve">ate </w:t>
            </w:r>
            <w:r w:rsidRPr="00C43B3F">
              <w:rPr>
                <w:rStyle w:val="InstructionsTabelleberschrift"/>
                <w:rFonts w:ascii="Times New Roman" w:hAnsi="Times New Roman"/>
                <w:b w:val="0"/>
                <w:bCs w:val="0"/>
                <w:sz w:val="24"/>
                <w:u w:val="none"/>
              </w:rPr>
              <w:t>S</w:t>
            </w:r>
            <w:r>
              <w:rPr>
                <w:rStyle w:val="InstructionsTabelleberschrift"/>
                <w:rFonts w:ascii="Times New Roman" w:hAnsi="Times New Roman"/>
                <w:b w:val="0"/>
                <w:bCs w:val="0"/>
                <w:sz w:val="24"/>
                <w:u w:val="none"/>
              </w:rPr>
              <w:t>waps</w:t>
            </w:r>
            <w:r w:rsidRPr="00C43B3F">
              <w:rPr>
                <w:rStyle w:val="InstructionsTabelleberschrift"/>
                <w:rFonts w:ascii="Times New Roman" w:hAnsi="Times New Roman"/>
                <w:b w:val="0"/>
                <w:bCs w:val="0"/>
                <w:sz w:val="24"/>
                <w:u w:val="none"/>
              </w:rPr>
              <w:t xml:space="preserve"> r</w:t>
            </w:r>
            <w:r>
              <w:rPr>
                <w:rStyle w:val="InstructionsTabelleberschrift"/>
                <w:rFonts w:ascii="Times New Roman" w:hAnsi="Times New Roman"/>
                <w:b w:val="0"/>
                <w:bCs w:val="0"/>
                <w:sz w:val="24"/>
                <w:u w:val="none"/>
              </w:rPr>
              <w:t>eceiving fixed paying variable).</w:t>
            </w:r>
          </w:p>
          <w:p w14:paraId="5CBE88B0" w14:textId="4E447771" w:rsidR="008A13DA" w:rsidRPr="009E536A" w:rsidRDefault="00F73C99" w:rsidP="0001573B">
            <w:pPr>
              <w:pStyle w:val="InstructionsText"/>
              <w:rPr>
                <w:rStyle w:val="InstructionsTabelleberschrift"/>
                <w:rFonts w:ascii="Times New Roman" w:hAnsi="Times New Roman"/>
                <w:sz w:val="24"/>
              </w:rPr>
            </w:pPr>
            <w:r>
              <w:t xml:space="preserve">When calculating the percentage </w:t>
            </w:r>
            <w:r w:rsidR="009D5901">
              <w:t>amount</w:t>
            </w:r>
            <w:r>
              <w:t>, i</w:t>
            </w:r>
            <w:r w:rsidRPr="00551497">
              <w:t xml:space="preserve">nstitutions shall duly consider the conventions specified in </w:t>
            </w:r>
            <w:r>
              <w:t xml:space="preserve">Part I, section </w:t>
            </w:r>
            <w:r>
              <w:fldChar w:fldCharType="begin"/>
            </w:r>
            <w:r>
              <w:instrText xml:space="preserve"> REF _Ref122265153 \r \h </w:instrText>
            </w:r>
            <w:r>
              <w:fldChar w:fldCharType="separate"/>
            </w:r>
            <w:r w:rsidR="004049B3">
              <w:t>3</w:t>
            </w:r>
            <w:r>
              <w:fldChar w:fldCharType="end"/>
            </w:r>
            <w:r>
              <w:t xml:space="preserve"> with regards options.</w:t>
            </w:r>
          </w:p>
        </w:tc>
      </w:tr>
      <w:tr w:rsidR="005A510E" w:rsidRPr="00EC067D" w14:paraId="2D5F7193" w14:textId="77777777" w:rsidTr="63452C95">
        <w:tc>
          <w:tcPr>
            <w:tcW w:w="1129" w:type="dxa"/>
          </w:tcPr>
          <w:p w14:paraId="400C1384" w14:textId="08885C17" w:rsidR="005A510E" w:rsidRDefault="005A510E" w:rsidP="0001573B">
            <w:pPr>
              <w:pStyle w:val="InstructionsText"/>
              <w:rPr>
                <w:rStyle w:val="FormatvorlageInstructionsTabelleText"/>
                <w:rFonts w:ascii="Times New Roman" w:hAnsi="Times New Roman"/>
                <w:sz w:val="24"/>
                <w:lang w:eastAsia="en-US"/>
              </w:rPr>
            </w:pPr>
            <w:r w:rsidRPr="63452C95">
              <w:rPr>
                <w:rStyle w:val="FormatvorlageInstructionsTabelleText"/>
                <w:rFonts w:ascii="Times New Roman" w:hAnsi="Times New Roman"/>
                <w:sz w:val="24"/>
              </w:rPr>
              <w:t>00</w:t>
            </w:r>
            <w:r w:rsidR="006B3029">
              <w:rPr>
                <w:rStyle w:val="FormatvorlageInstructionsTabelleText"/>
                <w:rFonts w:ascii="Times New Roman" w:hAnsi="Times New Roman"/>
                <w:sz w:val="24"/>
              </w:rPr>
              <w:t>4</w:t>
            </w:r>
            <w:r w:rsidRPr="63452C95">
              <w:rPr>
                <w:rStyle w:val="FormatvorlageInstructionsTabelleText"/>
                <w:rFonts w:ascii="Times New Roman" w:hAnsi="Times New Roman"/>
                <w:sz w:val="24"/>
              </w:rPr>
              <w:t>0</w:t>
            </w:r>
            <w:r w:rsidR="00901CBA">
              <w:rPr>
                <w:rStyle w:val="FormatvorlageInstructionsTabelleText"/>
                <w:rFonts w:ascii="Times New Roman" w:hAnsi="Times New Roman"/>
                <w:sz w:val="24"/>
              </w:rPr>
              <w:t xml:space="preserve"> and</w:t>
            </w:r>
            <w:r w:rsidR="006B3029">
              <w:rPr>
                <w:rStyle w:val="FormatvorlageInstructionsTabelleText"/>
                <w:rFonts w:ascii="Times New Roman" w:hAnsi="Times New Roman"/>
                <w:sz w:val="24"/>
              </w:rPr>
              <w:t xml:space="preserve"> 0290</w:t>
            </w:r>
          </w:p>
        </w:tc>
        <w:tc>
          <w:tcPr>
            <w:tcW w:w="7620" w:type="dxa"/>
          </w:tcPr>
          <w:p w14:paraId="0B5BDF1F" w14:textId="77777777" w:rsidR="001D2293" w:rsidRPr="00EB4F9A" w:rsidRDefault="001D2293"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w:t>
            </w:r>
            <w:r w:rsidRPr="00EB4F9A">
              <w:rPr>
                <w:rStyle w:val="InstructionsTabelleberschrift"/>
                <w:rFonts w:ascii="Times New Roman" w:hAnsi="Times New Roman"/>
                <w:sz w:val="24"/>
              </w:rPr>
              <w:t xml:space="preserve"> Subject to </w:t>
            </w:r>
            <w:r>
              <w:rPr>
                <w:rStyle w:val="InstructionsTabelleberschrift"/>
                <w:rFonts w:ascii="Times New Roman" w:hAnsi="Times New Roman"/>
                <w:sz w:val="24"/>
              </w:rPr>
              <w:t>b</w:t>
            </w:r>
            <w:r w:rsidRPr="00EB4F9A">
              <w:rPr>
                <w:rStyle w:val="InstructionsTabelleberschrift"/>
                <w:rFonts w:ascii="Times New Roman" w:hAnsi="Times New Roman"/>
                <w:sz w:val="24"/>
              </w:rPr>
              <w:t>ehavioural modelling</w:t>
            </w:r>
          </w:p>
          <w:p w14:paraId="2A5581C0" w14:textId="2E607039" w:rsidR="005A510E" w:rsidRPr="009E536A" w:rsidRDefault="001D2293" w:rsidP="0001573B">
            <w:pPr>
              <w:pStyle w:val="InstructionsText"/>
              <w:rPr>
                <w:rStyle w:val="InstructionsTabelleberschrift"/>
                <w:rFonts w:ascii="Times New Roman" w:hAnsi="Times New Roman"/>
                <w:sz w:val="24"/>
              </w:rPr>
            </w:pPr>
            <w:r w:rsidRPr="63452C95">
              <w:rPr>
                <w:rStyle w:val="InstructionsTabelleberschrift"/>
                <w:rFonts w:ascii="Times New Roman" w:hAnsi="Times New Roman"/>
                <w:b w:val="0"/>
                <w:bCs w:val="0"/>
                <w:sz w:val="24"/>
                <w:u w:val="none"/>
              </w:rPr>
              <w:t xml:space="preserve">Percentage of the </w:t>
            </w:r>
            <w:r w:rsidR="0002618A">
              <w:rPr>
                <w:rStyle w:val="InstructionsTabelleberschrift"/>
                <w:rFonts w:ascii="Times New Roman" w:hAnsi="Times New Roman"/>
                <w:b w:val="0"/>
                <w:bCs w:val="0"/>
                <w:sz w:val="24"/>
                <w:u w:val="none"/>
              </w:rPr>
              <w:t>notional amount</w:t>
            </w:r>
            <w:r w:rsidRPr="63452C95">
              <w:rPr>
                <w:rStyle w:val="InstructionsTabelleberschrift"/>
                <w:rFonts w:ascii="Times New Roman" w:hAnsi="Times New Roman"/>
                <w:b w:val="0"/>
                <w:bCs w:val="0"/>
                <w:sz w:val="24"/>
                <w:u w:val="none"/>
              </w:rPr>
              <w:t xml:space="preserve"> reported in column</w:t>
            </w:r>
            <w:r w:rsidR="006C0177">
              <w:rPr>
                <w:rStyle w:val="InstructionsTabelleberschrift"/>
                <w:rFonts w:ascii="Times New Roman" w:hAnsi="Times New Roman"/>
                <w:b w:val="0"/>
                <w:bCs w:val="0"/>
                <w:sz w:val="24"/>
                <w:u w:val="none"/>
              </w:rPr>
              <w:t>s</w:t>
            </w:r>
            <w:r w:rsidRPr="63452C95">
              <w:rPr>
                <w:rStyle w:val="InstructionsTabelleberschrift"/>
                <w:rFonts w:ascii="Times New Roman" w:hAnsi="Times New Roman"/>
                <w:b w:val="0"/>
                <w:bCs w:val="0"/>
                <w:sz w:val="24"/>
                <w:u w:val="none"/>
              </w:rPr>
              <w:t xml:space="preserve"> 00</w:t>
            </w:r>
            <w:r w:rsidR="0002618A">
              <w:rPr>
                <w:rStyle w:val="InstructionsTabelleberschrift"/>
                <w:rFonts w:ascii="Times New Roman" w:hAnsi="Times New Roman"/>
                <w:b w:val="0"/>
                <w:bCs w:val="0"/>
                <w:sz w:val="24"/>
                <w:u w:val="none"/>
              </w:rPr>
              <w:t>1</w:t>
            </w:r>
            <w:r w:rsidRPr="63452C95">
              <w:rPr>
                <w:rStyle w:val="InstructionsTabelleberschrift"/>
                <w:rFonts w:ascii="Times New Roman" w:hAnsi="Times New Roman"/>
                <w:b w:val="0"/>
                <w:bCs w:val="0"/>
                <w:sz w:val="24"/>
                <w:u w:val="none"/>
              </w:rPr>
              <w:t>0</w:t>
            </w:r>
            <w:r w:rsidR="006C0177">
              <w:rPr>
                <w:rStyle w:val="InstructionsTabelleberschrift"/>
                <w:rFonts w:ascii="Times New Roman" w:hAnsi="Times New Roman"/>
                <w:b w:val="0"/>
                <w:bCs w:val="0"/>
                <w:sz w:val="24"/>
                <w:u w:val="none"/>
              </w:rPr>
              <w:t xml:space="preserve"> and 0260</w:t>
            </w:r>
            <w:r w:rsidRPr="63452C95">
              <w:rPr>
                <w:rStyle w:val="InstructionsTabelleberschrift"/>
                <w:rFonts w:ascii="Times New Roman" w:hAnsi="Times New Roman"/>
                <w:b w:val="0"/>
                <w:bCs w:val="0"/>
                <w:sz w:val="24"/>
                <w:u w:val="none"/>
              </w:rPr>
              <w:t xml:space="preserve">, subject to behavioural modelling, for which the timing </w:t>
            </w:r>
            <w:r>
              <w:rPr>
                <w:rStyle w:val="InstructionsTabelleberschrift"/>
                <w:rFonts w:ascii="Times New Roman" w:hAnsi="Times New Roman"/>
                <w:b w:val="0"/>
                <w:bCs w:val="0"/>
                <w:sz w:val="24"/>
                <w:u w:val="none"/>
              </w:rPr>
              <w:t>or</w:t>
            </w:r>
            <w:r w:rsidRPr="63452C95">
              <w:rPr>
                <w:rStyle w:val="InstructionsTabelleberschrift"/>
                <w:rFonts w:ascii="Times New Roman" w:hAnsi="Times New Roman"/>
                <w:b w:val="0"/>
                <w:bCs w:val="0"/>
                <w:sz w:val="24"/>
                <w:u w:val="none"/>
              </w:rPr>
              <w:t xml:space="preserve"> amount of the cash flows depend on the behaviour of customers.</w:t>
            </w:r>
          </w:p>
        </w:tc>
      </w:tr>
      <w:tr w:rsidR="005A510E" w:rsidRPr="00EC067D" w14:paraId="320394BE" w14:textId="77777777" w:rsidTr="63452C95">
        <w:tc>
          <w:tcPr>
            <w:tcW w:w="1129" w:type="dxa"/>
          </w:tcPr>
          <w:p w14:paraId="4194F18A" w14:textId="66BE13F3" w:rsidR="005A510E" w:rsidRDefault="005A510E"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00</w:t>
            </w:r>
            <w:r w:rsidR="00F768EF">
              <w:rPr>
                <w:rStyle w:val="FormatvorlageInstructionsTabelleText"/>
                <w:rFonts w:ascii="Times New Roman" w:hAnsi="Times New Roman"/>
                <w:sz w:val="24"/>
              </w:rPr>
              <w:t>5</w:t>
            </w:r>
            <w:r w:rsidRPr="00EB4F9A">
              <w:rPr>
                <w:rStyle w:val="FormatvorlageInstructionsTabelleText"/>
                <w:rFonts w:ascii="Times New Roman" w:hAnsi="Times New Roman"/>
                <w:sz w:val="24"/>
              </w:rPr>
              <w:t>0</w:t>
            </w:r>
            <w:r w:rsidR="00901CBA">
              <w:rPr>
                <w:rStyle w:val="FormatvorlageInstructionsTabelleText"/>
                <w:rFonts w:ascii="Times New Roman" w:hAnsi="Times New Roman"/>
                <w:sz w:val="24"/>
              </w:rPr>
              <w:t xml:space="preserve"> and </w:t>
            </w:r>
            <w:r w:rsidR="004D5673">
              <w:rPr>
                <w:rStyle w:val="FormatvorlageInstructionsTabelleText"/>
                <w:rFonts w:ascii="Times New Roman" w:hAnsi="Times New Roman"/>
                <w:sz w:val="24"/>
              </w:rPr>
              <w:t>0300</w:t>
            </w:r>
          </w:p>
        </w:tc>
        <w:tc>
          <w:tcPr>
            <w:tcW w:w="7620" w:type="dxa"/>
          </w:tcPr>
          <w:p w14:paraId="1F589AA0" w14:textId="6E6F27F9" w:rsidR="005A510E" w:rsidRPr="00EB4F9A" w:rsidRDefault="005A510E" w:rsidP="0001573B">
            <w:pPr>
              <w:pStyle w:val="InstructionsText"/>
              <w:rPr>
                <w:rStyle w:val="InstructionsTabelleberschrift"/>
                <w:rFonts w:ascii="Times New Roman" w:hAnsi="Times New Roman"/>
                <w:sz w:val="24"/>
              </w:rPr>
            </w:pPr>
            <w:r w:rsidRPr="00EB4F9A">
              <w:rPr>
                <w:rStyle w:val="InstructionsTabelleberschrift"/>
                <w:rFonts w:ascii="Times New Roman" w:hAnsi="Times New Roman"/>
                <w:sz w:val="24"/>
              </w:rPr>
              <w:t xml:space="preserve">Weighted </w:t>
            </w:r>
            <w:r>
              <w:rPr>
                <w:rStyle w:val="InstructionsTabelleberschrift"/>
                <w:rFonts w:ascii="Times New Roman" w:hAnsi="Times New Roman"/>
                <w:sz w:val="24"/>
              </w:rPr>
              <w:t>a</w:t>
            </w:r>
            <w:r w:rsidRPr="00EB4F9A">
              <w:rPr>
                <w:rStyle w:val="InstructionsTabelleberschrift"/>
                <w:rFonts w:ascii="Times New Roman" w:hAnsi="Times New Roman"/>
                <w:sz w:val="24"/>
              </w:rPr>
              <w:t>verage yield</w:t>
            </w:r>
          </w:p>
          <w:p w14:paraId="0A030C82" w14:textId="148A1E1F" w:rsidR="005A510E" w:rsidRPr="009E536A" w:rsidRDefault="000B09F9"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sz w:val="24"/>
                <w:u w:val="none"/>
              </w:rPr>
              <w:t>A</w:t>
            </w:r>
            <w:r w:rsidR="005A510E" w:rsidRPr="00EB4F9A">
              <w:rPr>
                <w:rStyle w:val="InstructionsTabelleberschrift"/>
                <w:rFonts w:ascii="Times New Roman" w:hAnsi="Times New Roman"/>
                <w:b w:val="0"/>
                <w:sz w:val="24"/>
                <w:u w:val="none"/>
              </w:rPr>
              <w:t xml:space="preserve">verage yield </w:t>
            </w:r>
            <w:r w:rsidR="00D14AAB">
              <w:rPr>
                <w:rStyle w:val="InstructionsTabelleberschrift"/>
                <w:rFonts w:ascii="Times New Roman" w:hAnsi="Times New Roman"/>
                <w:b w:val="0"/>
                <w:sz w:val="24"/>
                <w:u w:val="none"/>
              </w:rPr>
              <w:t xml:space="preserve">on an annual basis </w:t>
            </w:r>
            <w:r>
              <w:rPr>
                <w:rStyle w:val="InstructionsTabelleberschrift"/>
                <w:rFonts w:ascii="Times New Roman" w:hAnsi="Times New Roman"/>
                <w:b w:val="0"/>
                <w:sz w:val="24"/>
                <w:u w:val="none"/>
              </w:rPr>
              <w:t xml:space="preserve">weighted by the </w:t>
            </w:r>
            <w:r w:rsidR="00C51C51">
              <w:rPr>
                <w:rStyle w:val="InstructionsTabelleberschrift"/>
                <w:rFonts w:ascii="Times New Roman" w:hAnsi="Times New Roman"/>
                <w:b w:val="0"/>
                <w:sz w:val="24"/>
                <w:u w:val="none"/>
              </w:rPr>
              <w:t>notional amount</w:t>
            </w:r>
            <w:r w:rsidR="005A510E" w:rsidRPr="00EB4F9A">
              <w:rPr>
                <w:rStyle w:val="InstructionsTabelleberschrift"/>
                <w:rFonts w:ascii="Times New Roman" w:hAnsi="Times New Roman"/>
                <w:b w:val="0"/>
                <w:sz w:val="24"/>
                <w:u w:val="none"/>
              </w:rPr>
              <w:t>.</w:t>
            </w:r>
          </w:p>
        </w:tc>
      </w:tr>
      <w:tr w:rsidR="005A510E" w:rsidRPr="00EC067D" w14:paraId="241B7FD2" w14:textId="77777777" w:rsidTr="63452C95">
        <w:tc>
          <w:tcPr>
            <w:tcW w:w="1129" w:type="dxa"/>
          </w:tcPr>
          <w:p w14:paraId="05DB9DDC" w14:textId="75231452" w:rsidR="005A510E" w:rsidRDefault="005A510E" w:rsidP="0001573B">
            <w:pPr>
              <w:pStyle w:val="InstructionsText"/>
              <w:rPr>
                <w:rStyle w:val="FormatvorlageInstructionsTabelleText"/>
                <w:rFonts w:ascii="Times New Roman" w:hAnsi="Times New Roman"/>
                <w:sz w:val="24"/>
                <w:lang w:eastAsia="en-US"/>
              </w:rPr>
            </w:pPr>
            <w:r w:rsidRPr="00EB4F9A">
              <w:rPr>
                <w:rStyle w:val="FormatvorlageInstructionsTabelleText"/>
                <w:rFonts w:ascii="Times New Roman" w:hAnsi="Times New Roman"/>
                <w:sz w:val="24"/>
              </w:rPr>
              <w:t>00</w:t>
            </w:r>
            <w:r w:rsidR="00C368AA">
              <w:rPr>
                <w:rStyle w:val="FormatvorlageInstructionsTabelleText"/>
                <w:rFonts w:ascii="Times New Roman" w:hAnsi="Times New Roman"/>
                <w:sz w:val="24"/>
              </w:rPr>
              <w:t>6</w:t>
            </w:r>
            <w:r w:rsidRPr="00EB4F9A">
              <w:rPr>
                <w:rStyle w:val="FormatvorlageInstructionsTabelleText"/>
                <w:rFonts w:ascii="Times New Roman" w:hAnsi="Times New Roman"/>
                <w:sz w:val="24"/>
              </w:rPr>
              <w:t>0</w:t>
            </w:r>
            <w:r w:rsidR="00901CBA">
              <w:rPr>
                <w:rStyle w:val="FormatvorlageInstructionsTabelleText"/>
                <w:rFonts w:ascii="Times New Roman" w:hAnsi="Times New Roman"/>
                <w:sz w:val="24"/>
              </w:rPr>
              <w:t xml:space="preserve"> and </w:t>
            </w:r>
            <w:r w:rsidR="00D167F4">
              <w:rPr>
                <w:rStyle w:val="FormatvorlageInstructionsTabelleText"/>
                <w:rFonts w:ascii="Times New Roman" w:hAnsi="Times New Roman"/>
                <w:sz w:val="24"/>
              </w:rPr>
              <w:t>0310</w:t>
            </w:r>
          </w:p>
        </w:tc>
        <w:tc>
          <w:tcPr>
            <w:tcW w:w="7620" w:type="dxa"/>
          </w:tcPr>
          <w:p w14:paraId="61B75614" w14:textId="476C6EAF" w:rsidR="005A510E" w:rsidRPr="00EB4F9A" w:rsidRDefault="005A510E" w:rsidP="0001573B">
            <w:pPr>
              <w:pStyle w:val="InstructionsText"/>
              <w:rPr>
                <w:rStyle w:val="InstructionsTabelleberschrift"/>
                <w:rFonts w:ascii="Times New Roman" w:hAnsi="Times New Roman"/>
                <w:sz w:val="24"/>
              </w:rPr>
            </w:pPr>
            <w:r w:rsidRPr="00EB4F9A">
              <w:rPr>
                <w:rStyle w:val="InstructionsTabelleberschrift"/>
                <w:rFonts w:ascii="Times New Roman" w:hAnsi="Times New Roman"/>
                <w:sz w:val="24"/>
              </w:rPr>
              <w:t xml:space="preserve">Weighted </w:t>
            </w:r>
            <w:r>
              <w:rPr>
                <w:rStyle w:val="InstructionsTabelleberschrift"/>
                <w:rFonts w:ascii="Times New Roman" w:hAnsi="Times New Roman"/>
                <w:sz w:val="24"/>
              </w:rPr>
              <w:t>a</w:t>
            </w:r>
            <w:r w:rsidRPr="00EB4F9A">
              <w:rPr>
                <w:rStyle w:val="InstructionsTabelleberschrift"/>
                <w:rFonts w:ascii="Times New Roman" w:hAnsi="Times New Roman"/>
                <w:sz w:val="24"/>
              </w:rPr>
              <w:t xml:space="preserve">verage </w:t>
            </w:r>
            <w:r>
              <w:rPr>
                <w:rStyle w:val="InstructionsTabelleberschrift"/>
                <w:rFonts w:ascii="Times New Roman" w:hAnsi="Times New Roman"/>
                <w:sz w:val="24"/>
              </w:rPr>
              <w:t>m</w:t>
            </w:r>
            <w:r w:rsidRPr="00EB4F9A">
              <w:rPr>
                <w:rStyle w:val="InstructionsTabelleberschrift"/>
                <w:rFonts w:ascii="Times New Roman" w:hAnsi="Times New Roman"/>
                <w:sz w:val="24"/>
              </w:rPr>
              <w:t>aturity (contractual)</w:t>
            </w:r>
          </w:p>
          <w:p w14:paraId="5543C64E" w14:textId="5DCF7F02" w:rsidR="005A510E" w:rsidRPr="009E536A" w:rsidRDefault="00E054D3"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sz w:val="24"/>
                <w:u w:val="none"/>
              </w:rPr>
              <w:t>A</w:t>
            </w:r>
            <w:r w:rsidR="005A510E" w:rsidRPr="00EB4F9A">
              <w:rPr>
                <w:rStyle w:val="InstructionsTabelleberschrift"/>
                <w:rFonts w:ascii="Times New Roman" w:hAnsi="Times New Roman"/>
                <w:b w:val="0"/>
                <w:sz w:val="24"/>
                <w:u w:val="none"/>
              </w:rPr>
              <w:t xml:space="preserve">verage </w:t>
            </w:r>
            <w:r w:rsidR="00A32C84">
              <w:rPr>
                <w:rStyle w:val="InstructionsTabelleberschrift"/>
                <w:rFonts w:ascii="Times New Roman" w:hAnsi="Times New Roman"/>
                <w:b w:val="0"/>
                <w:sz w:val="24"/>
                <w:u w:val="none"/>
              </w:rPr>
              <w:t>contractual</w:t>
            </w:r>
            <w:r w:rsidR="00A32C84" w:rsidRPr="00EB4F9A">
              <w:rPr>
                <w:rStyle w:val="InstructionsTabelleberschrift"/>
                <w:rFonts w:ascii="Times New Roman" w:hAnsi="Times New Roman"/>
                <w:b w:val="0"/>
                <w:sz w:val="24"/>
                <w:u w:val="none"/>
              </w:rPr>
              <w:t xml:space="preserve"> maturity </w:t>
            </w:r>
            <w:r w:rsidR="00CC6321">
              <w:rPr>
                <w:rStyle w:val="InstructionsTabelleberschrift"/>
                <w:rFonts w:ascii="Times New Roman" w:hAnsi="Times New Roman"/>
                <w:b w:val="0"/>
                <w:sz w:val="24"/>
                <w:u w:val="none"/>
              </w:rPr>
              <w:t xml:space="preserve">measured in years </w:t>
            </w:r>
            <w:r>
              <w:rPr>
                <w:rStyle w:val="InstructionsTabelleberschrift"/>
                <w:rFonts w:ascii="Times New Roman" w:hAnsi="Times New Roman"/>
                <w:b w:val="0"/>
                <w:sz w:val="24"/>
                <w:u w:val="none"/>
              </w:rPr>
              <w:t xml:space="preserve">weighted by the </w:t>
            </w:r>
            <w:r w:rsidR="00C51C51">
              <w:rPr>
                <w:rStyle w:val="InstructionsTabelleberschrift"/>
                <w:rFonts w:ascii="Times New Roman" w:hAnsi="Times New Roman"/>
                <w:b w:val="0"/>
                <w:sz w:val="24"/>
                <w:u w:val="none"/>
              </w:rPr>
              <w:t>notional amount</w:t>
            </w:r>
            <w:r w:rsidR="00A32C84">
              <w:rPr>
                <w:rStyle w:val="InstructionsTabelleberschrift"/>
                <w:rFonts w:ascii="Times New Roman" w:hAnsi="Times New Roman"/>
                <w:b w:val="0"/>
                <w:sz w:val="24"/>
                <w:u w:val="none"/>
              </w:rPr>
              <w:t>.</w:t>
            </w:r>
          </w:p>
        </w:tc>
      </w:tr>
      <w:tr w:rsidR="00E334BE" w:rsidRPr="00EC067D" w14:paraId="1C045037" w14:textId="77777777" w:rsidTr="63452C95">
        <w:tc>
          <w:tcPr>
            <w:tcW w:w="1129" w:type="dxa"/>
          </w:tcPr>
          <w:p w14:paraId="77861FE1" w14:textId="066DD219" w:rsidR="00E334BE" w:rsidRPr="00EC067D" w:rsidRDefault="00B45B2A"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w:t>
            </w:r>
            <w:r w:rsidR="008103BC">
              <w:rPr>
                <w:rStyle w:val="FormatvorlageInstructionsTabelleText"/>
                <w:rFonts w:ascii="Times New Roman" w:hAnsi="Times New Roman"/>
                <w:sz w:val="24"/>
              </w:rPr>
              <w:t>70</w:t>
            </w:r>
            <w:r w:rsidR="00901CBA">
              <w:rPr>
                <w:rStyle w:val="FormatvorlageInstructionsTabelleText"/>
                <w:rFonts w:ascii="Times New Roman" w:hAnsi="Times New Roman"/>
                <w:sz w:val="24"/>
              </w:rPr>
              <w:t>-</w:t>
            </w:r>
            <w:r w:rsidR="00E334BE">
              <w:rPr>
                <w:rStyle w:val="FormatvorlageInstructionsTabelleText"/>
                <w:rFonts w:ascii="Times New Roman" w:hAnsi="Times New Roman"/>
                <w:sz w:val="24"/>
              </w:rPr>
              <w:t>02</w:t>
            </w:r>
            <w:r w:rsidR="008103BC">
              <w:rPr>
                <w:rStyle w:val="FormatvorlageInstructionsTabelleText"/>
                <w:rFonts w:ascii="Times New Roman" w:hAnsi="Times New Roman"/>
                <w:sz w:val="24"/>
              </w:rPr>
              <w:t>5</w:t>
            </w:r>
            <w:r w:rsidR="00E334BE">
              <w:rPr>
                <w:rStyle w:val="FormatvorlageInstructionsTabelleText"/>
                <w:rFonts w:ascii="Times New Roman" w:hAnsi="Times New Roman"/>
                <w:sz w:val="24"/>
              </w:rPr>
              <w:t>0</w:t>
            </w:r>
            <w:r w:rsidR="008103BC">
              <w:rPr>
                <w:rStyle w:val="FormatvorlageInstructionsTabelleText"/>
                <w:rFonts w:ascii="Times New Roman" w:hAnsi="Times New Roman"/>
                <w:sz w:val="24"/>
              </w:rPr>
              <w:t xml:space="preserve"> and </w:t>
            </w:r>
            <w:r w:rsidR="0095276A">
              <w:rPr>
                <w:rStyle w:val="FormatvorlageInstructionsTabelleText"/>
                <w:rFonts w:ascii="Times New Roman" w:hAnsi="Times New Roman"/>
                <w:sz w:val="24"/>
              </w:rPr>
              <w:t>0320</w:t>
            </w:r>
            <w:r w:rsidR="00E52C4B">
              <w:rPr>
                <w:rStyle w:val="FormatvorlageInstructionsTabelleText"/>
                <w:rFonts w:ascii="Times New Roman" w:hAnsi="Times New Roman"/>
                <w:sz w:val="24"/>
              </w:rPr>
              <w:t xml:space="preserve"> - </w:t>
            </w:r>
            <w:r w:rsidR="00CF0BB6">
              <w:rPr>
                <w:rStyle w:val="FormatvorlageInstructionsTabelleText"/>
                <w:rFonts w:ascii="Times New Roman" w:hAnsi="Times New Roman"/>
                <w:sz w:val="24"/>
              </w:rPr>
              <w:t>0390</w:t>
            </w:r>
          </w:p>
        </w:tc>
        <w:tc>
          <w:tcPr>
            <w:tcW w:w="7620" w:type="dxa"/>
          </w:tcPr>
          <w:p w14:paraId="244DABE7" w14:textId="77777777" w:rsidR="00A37710" w:rsidRDefault="00E334BE" w:rsidP="0001573B">
            <w:pPr>
              <w:pStyle w:val="InstructionsText"/>
              <w:rPr>
                <w:rStyle w:val="InstructionsTabelleberschrift"/>
                <w:rFonts w:ascii="Times New Roman" w:hAnsi="Times New Roman"/>
                <w:sz w:val="24"/>
              </w:rPr>
            </w:pPr>
            <w:r w:rsidRPr="0074085C">
              <w:rPr>
                <w:rStyle w:val="InstructionsTabelleberschrift"/>
                <w:rFonts w:ascii="Times New Roman" w:hAnsi="Times New Roman"/>
                <w:sz w:val="24"/>
              </w:rPr>
              <w:t>Repricing schedule for all notional repricing cash flows</w:t>
            </w:r>
          </w:p>
          <w:p w14:paraId="27AC5034" w14:textId="3E21AD33" w:rsidR="00F93C6A" w:rsidRDefault="00F93C6A" w:rsidP="0001573B">
            <w:pPr>
              <w:pStyle w:val="InstructionsText"/>
            </w:pPr>
            <w:r>
              <w:t>Institutions shall report all future notional repricing cash flows arising from the interest rate-sensitive positions in the scope of the SOT (</w:t>
            </w:r>
            <w:r w:rsidRPr="63452C95">
              <w:rPr>
                <w:highlight w:val="lightGray"/>
              </w:rPr>
              <w:t>EBA RTS on SO</w:t>
            </w:r>
            <w:r w:rsidRPr="00AC38F7">
              <w:rPr>
                <w:highlight w:val="lightGray"/>
              </w:rPr>
              <w:t>T</w:t>
            </w:r>
            <w:r>
              <w:t xml:space="preserve">) onto </w:t>
            </w:r>
            <w:r w:rsidR="0002618A">
              <w:t>the</w:t>
            </w:r>
            <w:r>
              <w:t xml:space="preserve"> predefined time buckets (into which they fall according to their repricing dates.  </w:t>
            </w:r>
            <w:r w:rsidR="009C345D">
              <w:t>The d</w:t>
            </w:r>
            <w:r w:rsidRPr="00FD77DC">
              <w:rPr>
                <w:rStyle w:val="FormatvorlageInstructionsTabelleText"/>
                <w:rFonts w:ascii="Times New Roman" w:hAnsi="Times New Roman"/>
                <w:bCs w:val="0"/>
                <w:sz w:val="24"/>
              </w:rPr>
              <w:t xml:space="preserve">efinition of ‘repricing date’ and ‘notional repricing cash flows’ </w:t>
            </w:r>
            <w:r w:rsidR="009C345D">
              <w:rPr>
                <w:rStyle w:val="FormatvorlageInstructionsTabelleText"/>
                <w:rFonts w:ascii="Times New Roman" w:hAnsi="Times New Roman"/>
                <w:bCs w:val="0"/>
                <w:sz w:val="24"/>
              </w:rPr>
              <w:t>follow</w:t>
            </w:r>
            <w:r w:rsidRPr="00FD77DC">
              <w:rPr>
                <w:rStyle w:val="FormatvorlageInstructionsTabelleText"/>
                <w:rFonts w:ascii="Times New Roman" w:hAnsi="Times New Roman"/>
                <w:bCs w:val="0"/>
                <w:sz w:val="24"/>
              </w:rPr>
              <w:t xml:space="preserve"> Article 1.1(1) and 1.1(2) of the </w:t>
            </w:r>
            <w:r w:rsidRPr="00FD77DC">
              <w:rPr>
                <w:rStyle w:val="FormatvorlageInstructionsTabelleText"/>
                <w:rFonts w:ascii="Times New Roman" w:hAnsi="Times New Roman"/>
                <w:bCs w:val="0"/>
                <w:sz w:val="24"/>
                <w:highlight w:val="lightGray"/>
              </w:rPr>
              <w:t>EBA RTS on SA</w:t>
            </w:r>
            <w:r w:rsidR="000E3FE9">
              <w:rPr>
                <w:rStyle w:val="FormatvorlageInstructionsTabelleText"/>
                <w:rFonts w:ascii="Times New Roman" w:hAnsi="Times New Roman"/>
                <w:bCs w:val="0"/>
                <w:sz w:val="24"/>
              </w:rPr>
              <w:t>.</w:t>
            </w:r>
          </w:p>
          <w:p w14:paraId="07BE21EC" w14:textId="77777777" w:rsidR="00E334BE" w:rsidRDefault="00F93C6A" w:rsidP="0001573B">
            <w:pPr>
              <w:pStyle w:val="InstructionsText"/>
            </w:pPr>
            <w:r>
              <w:t xml:space="preserve">Automatic interest rate options whether explicit or embedded, shall be stripped out from their host contracts and ignored </w:t>
            </w:r>
            <w:r w:rsidR="00756982">
              <w:t>at</w:t>
            </w:r>
            <w:r>
              <w:t xml:space="preserve"> the notional repricing cash flow slotting.</w:t>
            </w:r>
          </w:p>
          <w:p w14:paraId="126FAB26" w14:textId="3C5ADDB7" w:rsidR="00DE2BDF" w:rsidRPr="007C40B0" w:rsidRDefault="00DE2BDF" w:rsidP="0001573B">
            <w:pPr>
              <w:pStyle w:val="InstructionsText"/>
            </w:pPr>
            <w:r w:rsidRPr="007C40B0">
              <w:t>Derivatives which are not automatic interest rate options</w:t>
            </w:r>
            <w:r>
              <w:t xml:space="preserve"> shall</w:t>
            </w:r>
            <w:r w:rsidRPr="007C40B0">
              <w:t xml:space="preserve"> be converted into positions in the relevant underlying and split into paying and receiving positions (short and long positions) in the relevant underlying. The amounts considered </w:t>
            </w:r>
            <w:r w:rsidR="006160B1">
              <w:t>shall be</w:t>
            </w:r>
            <w:r w:rsidRPr="007C40B0">
              <w:t xml:space="preserve"> principal amounts of the underlying or of the notional underlying. Futures and forward contracts including forward rate agreements </w:t>
            </w:r>
            <w:r w:rsidR="006160B1">
              <w:t>shall be</w:t>
            </w:r>
            <w:r w:rsidRPr="007C40B0">
              <w:t xml:space="preserve"> treated as a combination of short and long positions. </w:t>
            </w:r>
          </w:p>
          <w:p w14:paraId="4256EE64" w14:textId="2BBCD770" w:rsidR="00DE2BDF" w:rsidRPr="00A6215F" w:rsidRDefault="00DE2BDF" w:rsidP="0001573B">
            <w:pPr>
              <w:pStyle w:val="InstructionsText"/>
              <w:rPr>
                <w:rStyle w:val="InstructionsTabelleberschrift"/>
                <w:rFonts w:ascii="Times New Roman" w:hAnsi="Times New Roman"/>
                <w:b w:val="0"/>
                <w:u w:val="none"/>
                <w:lang w:val="en-US" w:eastAsia="en-US"/>
              </w:rPr>
            </w:pPr>
            <w:r w:rsidRPr="007C40B0">
              <w:t xml:space="preserve">When representing the repricing cash-flows of derivatives which are not automatic interest rate options, institutions shall duly consider the conventions specified in </w:t>
            </w:r>
            <w:r w:rsidR="006160B1">
              <w:t xml:space="preserve">paragraph </w:t>
            </w:r>
            <w:r w:rsidR="00D401D8" w:rsidRPr="00A6215F">
              <w:fldChar w:fldCharType="begin"/>
            </w:r>
            <w:r w:rsidR="00D401D8" w:rsidRPr="00A6215F">
              <w:instrText xml:space="preserve"> REF _Ref140654581 \r \h </w:instrText>
            </w:r>
            <w:r w:rsidR="00A6215F">
              <w:instrText xml:space="preserve"> \* MERGEFORMAT </w:instrText>
            </w:r>
            <w:r w:rsidR="00D401D8" w:rsidRPr="00A6215F">
              <w:fldChar w:fldCharType="separate"/>
            </w:r>
            <w:r w:rsidR="004049B3">
              <w:t>24</w:t>
            </w:r>
            <w:r w:rsidR="00D401D8" w:rsidRPr="00A6215F">
              <w:fldChar w:fldCharType="end"/>
            </w:r>
            <w:r w:rsidRPr="007C40B0">
              <w:t xml:space="preserve"> with regards derivatives.</w:t>
            </w:r>
          </w:p>
        </w:tc>
      </w:tr>
    </w:tbl>
    <w:p w14:paraId="14B6B511" w14:textId="02E578E4" w:rsidR="0074085C" w:rsidRDefault="0074085C" w:rsidP="006137FD">
      <w:pPr>
        <w:spacing w:after="0"/>
        <w:rPr>
          <w:rStyle w:val="InstructionsTabelleText"/>
          <w:rFonts w:ascii="Times New Roman" w:hAnsi="Times New Roman"/>
          <w:sz w:val="24"/>
        </w:rPr>
      </w:pPr>
    </w:p>
    <w:p w14:paraId="385B6273" w14:textId="114D160B" w:rsidR="0074085C" w:rsidRDefault="0074085C">
      <w:pPr>
        <w:spacing w:before="0" w:after="0"/>
        <w:jc w:val="left"/>
        <w:rPr>
          <w:rStyle w:val="InstructionsTabelleText"/>
          <w:rFonts w:ascii="Times New Roman" w:hAnsi="Times New Roman"/>
          <w:sz w:val="24"/>
        </w:rPr>
      </w:pPr>
    </w:p>
    <w:p w14:paraId="65BC6811" w14:textId="77777777" w:rsidR="00935CE7" w:rsidRDefault="00935CE7">
      <w:pPr>
        <w:spacing w:before="0" w:after="0"/>
        <w:jc w:val="left"/>
        <w:rPr>
          <w:rFonts w:ascii="Times New Roman" w:eastAsia="Arial" w:hAnsi="Times New Roman"/>
          <w:b/>
          <w:sz w:val="24"/>
          <w:lang w:eastAsia="x-none"/>
        </w:rPr>
      </w:pPr>
      <w:r>
        <w:br w:type="page"/>
      </w:r>
    </w:p>
    <w:p w14:paraId="24DCA249" w14:textId="06E369EE" w:rsidR="0074085C" w:rsidRPr="00EC067D" w:rsidRDefault="0074085C" w:rsidP="00FE1304">
      <w:pPr>
        <w:pStyle w:val="Heading2"/>
      </w:pPr>
      <w:bookmarkStart w:id="55" w:name="_Toc141362424"/>
      <w:r w:rsidRPr="00EC067D">
        <w:t xml:space="preserve">PART </w:t>
      </w:r>
      <w:r>
        <w:t>V</w:t>
      </w:r>
      <w:r w:rsidRPr="00EC067D">
        <w:t xml:space="preserve">: </w:t>
      </w:r>
      <w:r w:rsidR="006A7DF0" w:rsidRPr="006A7DF0">
        <w:t>RELEVANT PARAMETERS</w:t>
      </w:r>
      <w:r w:rsidR="00261AD1">
        <w:t xml:space="preserve"> (J 0</w:t>
      </w:r>
      <w:r w:rsidR="007504D9">
        <w:t>8</w:t>
      </w:r>
      <w:r w:rsidR="00261AD1">
        <w:t>.00 and J 0</w:t>
      </w:r>
      <w:r w:rsidR="007504D9">
        <w:t>9</w:t>
      </w:r>
      <w:r w:rsidR="00261AD1">
        <w:t>.00)</w:t>
      </w:r>
      <w:bookmarkEnd w:id="55"/>
    </w:p>
    <w:p w14:paraId="3F4A8018" w14:textId="22190B3B" w:rsidR="0074085C" w:rsidRPr="005B50C3" w:rsidRDefault="16FD60DB" w:rsidP="00FE1304">
      <w:pPr>
        <w:pStyle w:val="Instructionsberschrift2"/>
        <w:rPr>
          <w:sz w:val="24"/>
        </w:rPr>
      </w:pPr>
      <w:bookmarkStart w:id="56" w:name="_Toc141362425"/>
      <w:r w:rsidRPr="005B50C3">
        <w:rPr>
          <w:sz w:val="24"/>
        </w:rPr>
        <w:t>General remarks</w:t>
      </w:r>
      <w:bookmarkEnd w:id="56"/>
    </w:p>
    <w:p w14:paraId="6DBD998C" w14:textId="2AE60229" w:rsidR="00615CD6" w:rsidRDefault="00261AD1" w:rsidP="0001573B">
      <w:pPr>
        <w:pStyle w:val="InstructionsText2"/>
      </w:pPr>
      <w:r>
        <w:t>T</w:t>
      </w:r>
      <w:r w:rsidR="72658598">
        <w:t>emplate</w:t>
      </w:r>
      <w:r>
        <w:t>s J 0</w:t>
      </w:r>
      <w:r w:rsidR="007504D9">
        <w:t>8</w:t>
      </w:r>
      <w:r>
        <w:t>.00 and J 0</w:t>
      </w:r>
      <w:r w:rsidR="007504D9">
        <w:t>9</w:t>
      </w:r>
      <w:r>
        <w:t>.00</w:t>
      </w:r>
      <w:r w:rsidR="72658598">
        <w:t xml:space="preserve"> contain information on the r</w:t>
      </w:r>
      <w:r w:rsidR="16FD60DB">
        <w:t>elevant parameters</w:t>
      </w:r>
      <w:r w:rsidR="72658598">
        <w:t xml:space="preserve"> to monitor </w:t>
      </w:r>
      <w:r w:rsidR="00DA411F">
        <w:t>the modelling of</w:t>
      </w:r>
      <w:r w:rsidR="000978F0">
        <w:t xml:space="preserve"> the</w:t>
      </w:r>
      <w:r w:rsidR="00DA411F">
        <w:t xml:space="preserve"> </w:t>
      </w:r>
      <w:r w:rsidR="72658598">
        <w:t xml:space="preserve">IRRBB. </w:t>
      </w:r>
      <w:r w:rsidR="00B0111E">
        <w:t>Most of t</w:t>
      </w:r>
      <w:r w:rsidR="72658598">
        <w:t xml:space="preserve">he information in this template shall be derived from the information reported in templates </w:t>
      </w:r>
      <w:r w:rsidR="34BAD56E">
        <w:t xml:space="preserve">J </w:t>
      </w:r>
      <w:r w:rsidR="1FE80FD0">
        <w:t>02</w:t>
      </w:r>
      <w:r w:rsidR="34BAD56E">
        <w:t>.00</w:t>
      </w:r>
      <w:r w:rsidR="002E5D77">
        <w:t xml:space="preserve"> </w:t>
      </w:r>
      <w:r w:rsidR="00AB40BA">
        <w:t>to</w:t>
      </w:r>
      <w:r w:rsidR="32A6A564">
        <w:t xml:space="preserve"> </w:t>
      </w:r>
      <w:r w:rsidR="1FFF1DD0">
        <w:t>J 0</w:t>
      </w:r>
      <w:r w:rsidR="00AB40BA">
        <w:t>7</w:t>
      </w:r>
      <w:r w:rsidR="1FFF1DD0">
        <w:t>.00</w:t>
      </w:r>
      <w:r w:rsidR="3ECFDEE0">
        <w:t xml:space="preserve">. </w:t>
      </w:r>
      <w:r w:rsidR="4B235E1C">
        <w:t xml:space="preserve">The information shall be reported </w:t>
      </w:r>
      <w:r w:rsidR="7B375A73">
        <w:t>considering</w:t>
      </w:r>
      <w:r w:rsidR="4B235E1C">
        <w:t xml:space="preserve"> a</w:t>
      </w:r>
      <w:r w:rsidR="00F11BF3">
        <w:t>n</w:t>
      </w:r>
      <w:r w:rsidR="4B235E1C">
        <w:t xml:space="preserve"> EVE perspective</w:t>
      </w:r>
      <w:r w:rsidR="7F7B0197">
        <w:t xml:space="preserve">, including </w:t>
      </w:r>
      <w:r w:rsidR="33D814EA">
        <w:t xml:space="preserve">the requirements and modelling assumptions specified in Article 4 of </w:t>
      </w:r>
      <w:r w:rsidR="2F65203B">
        <w:t xml:space="preserve">the </w:t>
      </w:r>
      <w:r w:rsidR="2F65203B" w:rsidRPr="63452C95">
        <w:rPr>
          <w:rStyle w:val="FormatvorlageInstructionsTabelleText"/>
          <w:rFonts w:ascii="Times New Roman" w:hAnsi="Times New Roman"/>
          <w:sz w:val="24"/>
          <w:highlight w:val="lightGray"/>
        </w:rPr>
        <w:t>EBA RTS on SOT</w:t>
      </w:r>
      <w:r w:rsidR="33D814EA">
        <w:t>, and disregarding automatic optionality</w:t>
      </w:r>
      <w:r w:rsidR="4B235E1C">
        <w:t>, except for rows 0120 to 0150.</w:t>
      </w:r>
    </w:p>
    <w:p w14:paraId="392AF82E" w14:textId="5E82ADB9" w:rsidR="00583FE1" w:rsidRDefault="7EBA308C" w:rsidP="0001573B">
      <w:pPr>
        <w:pStyle w:val="InstructionsText2"/>
      </w:pPr>
      <w:r>
        <w:t>Th</w:t>
      </w:r>
      <w:r w:rsidR="000978F0">
        <w:t>e</w:t>
      </w:r>
      <w:r w:rsidR="00B0111E">
        <w:t>se</w:t>
      </w:r>
      <w:r>
        <w:t xml:space="preserve"> template</w:t>
      </w:r>
      <w:r w:rsidR="000978F0">
        <w:t>s</w:t>
      </w:r>
      <w:r>
        <w:t xml:space="preserve"> shall be reported for </w:t>
      </w:r>
      <w:r w:rsidR="7EDD11D8">
        <w:t xml:space="preserve">each currency separately for which the institution has positions where the accounting value of financial assets or liabilities denominated in a currency amounts to 5% or more of the total </w:t>
      </w:r>
      <w:r w:rsidR="00F93133">
        <w:t>banking book</w:t>
      </w:r>
      <w:r w:rsidR="7EDD11D8">
        <w:t xml:space="preserve"> financial assets or liabilities, or less than 5% if the sum of financial assets or liabilities included in the calculation is lower than 90% of total </w:t>
      </w:r>
      <w:r w:rsidR="00F93133">
        <w:t>banking book</w:t>
      </w:r>
      <w:r w:rsidR="7EDD11D8">
        <w:t xml:space="preserve"> financial assets (excluding tangible assets) or liabilities</w:t>
      </w:r>
      <w:r>
        <w:t>.</w:t>
      </w:r>
    </w:p>
    <w:p w14:paraId="6E96AF41" w14:textId="5C5071CA" w:rsidR="0074085C" w:rsidRPr="005B50C3" w:rsidRDefault="16FD60DB" w:rsidP="00FE1304">
      <w:pPr>
        <w:pStyle w:val="Instructionsberschrift2"/>
        <w:rPr>
          <w:sz w:val="24"/>
        </w:rPr>
      </w:pPr>
      <w:bookmarkStart w:id="57" w:name="_Toc141362426"/>
      <w:r w:rsidRPr="005B50C3">
        <w:rPr>
          <w:sz w:val="24"/>
        </w:rPr>
        <w:t>Instructions concerning specific positions</w:t>
      </w:r>
      <w:bookmarkEnd w:id="57"/>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B87342" w:rsidRPr="00506251" w14:paraId="1C34855D" w14:textId="77777777" w:rsidTr="63452C95">
        <w:tc>
          <w:tcPr>
            <w:tcW w:w="1129" w:type="dxa"/>
            <w:shd w:val="clear" w:color="auto" w:fill="D9D9D9" w:themeFill="background1" w:themeFillShade="D9"/>
          </w:tcPr>
          <w:p w14:paraId="409F2F99" w14:textId="77777777" w:rsidR="00B87342" w:rsidRPr="00FD77DC" w:rsidRDefault="00B87342" w:rsidP="0001573B">
            <w:pPr>
              <w:pStyle w:val="InstructionsText"/>
              <w:rPr>
                <w:rStyle w:val="InstructionsTabelleText"/>
                <w:rFonts w:ascii="Times New Roman" w:eastAsia="Arial" w:hAnsi="Times New Roman"/>
                <w:sz w:val="24"/>
                <w:lang w:eastAsia="en-US"/>
              </w:rPr>
            </w:pPr>
            <w:r w:rsidRPr="00FD77DC">
              <w:rPr>
                <w:rStyle w:val="InstructionsTabelleText"/>
                <w:rFonts w:ascii="Times New Roman" w:hAnsi="Times New Roman"/>
                <w:sz w:val="24"/>
              </w:rPr>
              <w:t>Row</w:t>
            </w:r>
          </w:p>
        </w:tc>
        <w:tc>
          <w:tcPr>
            <w:tcW w:w="7620" w:type="dxa"/>
            <w:shd w:val="clear" w:color="auto" w:fill="D9D9D9" w:themeFill="background1" w:themeFillShade="D9"/>
          </w:tcPr>
          <w:p w14:paraId="35F1E6EB" w14:textId="77777777" w:rsidR="00B87342" w:rsidRPr="00FD77DC" w:rsidRDefault="00B87342" w:rsidP="0001573B">
            <w:pPr>
              <w:pStyle w:val="InstructionsText"/>
              <w:rPr>
                <w:rStyle w:val="InstructionsTabelleText"/>
                <w:rFonts w:ascii="Times New Roman" w:hAnsi="Times New Roman"/>
                <w:bCs/>
                <w:sz w:val="24"/>
                <w:lang w:eastAsia="en-US"/>
              </w:rPr>
            </w:pPr>
            <w:r w:rsidRPr="00FD77DC">
              <w:rPr>
                <w:rStyle w:val="InstructionsTabelleText"/>
                <w:rFonts w:ascii="Times New Roman" w:hAnsi="Times New Roman"/>
                <w:sz w:val="24"/>
              </w:rPr>
              <w:t>Legal references and instructions</w:t>
            </w:r>
          </w:p>
        </w:tc>
      </w:tr>
      <w:tr w:rsidR="00B87342" w:rsidRPr="00506251" w14:paraId="0045BC51" w14:textId="77777777" w:rsidTr="63452C95">
        <w:tc>
          <w:tcPr>
            <w:tcW w:w="1129" w:type="dxa"/>
          </w:tcPr>
          <w:p w14:paraId="25ECF8E9" w14:textId="7BC0B77B" w:rsidR="00B87342" w:rsidRPr="00FD77DC" w:rsidRDefault="00B87342" w:rsidP="0001573B">
            <w:pPr>
              <w:pStyle w:val="InstructionsText"/>
              <w:rPr>
                <w:rStyle w:val="FormatvorlageInstructionsTabelleText"/>
                <w:rFonts w:ascii="Times New Roman" w:hAnsi="Times New Roman"/>
                <w:sz w:val="24"/>
                <w:lang w:eastAsia="en-US"/>
              </w:rPr>
            </w:pPr>
            <w:r w:rsidRPr="00FD77DC">
              <w:rPr>
                <w:rStyle w:val="FormatvorlageInstructionsTabelleText"/>
                <w:rFonts w:ascii="Times New Roman" w:hAnsi="Times New Roman"/>
                <w:sz w:val="24"/>
              </w:rPr>
              <w:t>0010-0</w:t>
            </w:r>
            <w:r w:rsidR="005B408D" w:rsidRPr="00FD77DC">
              <w:rPr>
                <w:rStyle w:val="FormatvorlageInstructionsTabelleText"/>
                <w:rFonts w:ascii="Times New Roman" w:hAnsi="Times New Roman"/>
                <w:sz w:val="24"/>
              </w:rPr>
              <w:t>1</w:t>
            </w:r>
            <w:r w:rsidR="0059475A">
              <w:rPr>
                <w:rStyle w:val="FormatvorlageInstructionsTabelleText"/>
                <w:rFonts w:ascii="Times New Roman" w:hAnsi="Times New Roman"/>
                <w:sz w:val="24"/>
              </w:rPr>
              <w:t>1</w:t>
            </w:r>
            <w:r w:rsidR="005B408D" w:rsidRPr="00FD77DC">
              <w:rPr>
                <w:rStyle w:val="FormatvorlageInstructionsTabelleText"/>
                <w:rFonts w:ascii="Times New Roman" w:hAnsi="Times New Roman"/>
                <w:sz w:val="24"/>
              </w:rPr>
              <w:t>0</w:t>
            </w:r>
          </w:p>
        </w:tc>
        <w:tc>
          <w:tcPr>
            <w:tcW w:w="7620" w:type="dxa"/>
          </w:tcPr>
          <w:p w14:paraId="4F4071B3" w14:textId="3F3376DD" w:rsidR="00B87342" w:rsidRPr="00FD77DC" w:rsidRDefault="00B87342" w:rsidP="0001573B">
            <w:pPr>
              <w:pStyle w:val="InstructionsText"/>
              <w:rPr>
                <w:rStyle w:val="InstructionsTabelleberschrift"/>
                <w:rFonts w:ascii="Times New Roman" w:hAnsi="Times New Roman"/>
                <w:sz w:val="24"/>
                <w:lang w:eastAsia="en-US"/>
              </w:rPr>
            </w:pPr>
            <w:r w:rsidRPr="00FD77DC">
              <w:rPr>
                <w:rStyle w:val="InstructionsTabelleberschrift"/>
                <w:rFonts w:ascii="Times New Roman" w:hAnsi="Times New Roman"/>
                <w:sz w:val="24"/>
              </w:rPr>
              <w:t>NMDs - Behavioural modelling - Average repricing dates before and after modelling</w:t>
            </w:r>
          </w:p>
          <w:p w14:paraId="7656C57A" w14:textId="04166B0F" w:rsidR="00B87342" w:rsidRPr="00FD77DC" w:rsidRDefault="00B87342" w:rsidP="0001573B">
            <w:pPr>
              <w:pStyle w:val="InstructionsText"/>
              <w:rPr>
                <w:rStyle w:val="FormatvorlageInstructionsTabelleText"/>
                <w:rFonts w:ascii="Times New Roman" w:hAnsi="Times New Roman"/>
                <w:sz w:val="24"/>
              </w:rPr>
            </w:pPr>
            <w:r w:rsidRPr="23B77829">
              <w:rPr>
                <w:rStyle w:val="FormatvorlageInstructionsTabelleText"/>
                <w:rFonts w:ascii="Times New Roman" w:hAnsi="Times New Roman"/>
                <w:sz w:val="24"/>
              </w:rPr>
              <w:t xml:space="preserve">Average repricing dates shall be calculated per </w:t>
            </w:r>
            <w:r w:rsidR="00644400">
              <w:rPr>
                <w:rStyle w:val="FormatvorlageInstructionsTabelleText"/>
                <w:rFonts w:ascii="Times New Roman" w:hAnsi="Times New Roman"/>
                <w:sz w:val="24"/>
              </w:rPr>
              <w:t>NMD</w:t>
            </w:r>
            <w:r w:rsidRPr="23B77829">
              <w:rPr>
                <w:rStyle w:val="FormatvorlageInstructionsTabelleText"/>
                <w:rFonts w:ascii="Times New Roman" w:hAnsi="Times New Roman"/>
                <w:sz w:val="24"/>
              </w:rPr>
              <w:t xml:space="preserve"> category according to the breakdown specified in </w:t>
            </w:r>
            <w:r w:rsidR="00C2047C">
              <w:rPr>
                <w:rStyle w:val="FormatvorlageInstructionsTabelleText"/>
                <w:rFonts w:ascii="Times New Roman" w:hAnsi="Times New Roman"/>
                <w:sz w:val="24"/>
              </w:rPr>
              <w:t>Part I</w:t>
            </w:r>
            <w:r w:rsidR="007B576C">
              <w:rPr>
                <w:rStyle w:val="FormatvorlageInstructionsTabelleText"/>
                <w:rFonts w:ascii="Times New Roman" w:hAnsi="Times New Roman"/>
                <w:sz w:val="24"/>
              </w:rPr>
              <w:t>I</w:t>
            </w:r>
            <w:r w:rsidR="00C2047C">
              <w:rPr>
                <w:rStyle w:val="FormatvorlageInstructionsTabelleText"/>
                <w:rFonts w:ascii="Times New Roman" w:hAnsi="Times New Roman"/>
                <w:sz w:val="24"/>
              </w:rPr>
              <w:t xml:space="preserve">, </w:t>
            </w:r>
            <w:r w:rsidR="00293629">
              <w:t xml:space="preserve">section </w:t>
            </w:r>
            <w:r>
              <w:fldChar w:fldCharType="begin"/>
            </w:r>
            <w:r>
              <w:instrText xml:space="preserve"> REF _Ref119418268 \r \h  \* MERGEFORMAT </w:instrText>
            </w:r>
            <w:r>
              <w:fldChar w:fldCharType="separate"/>
            </w:r>
            <w:r w:rsidR="004049B3">
              <w:t>11</w:t>
            </w:r>
            <w:r>
              <w:fldChar w:fldCharType="end"/>
            </w:r>
            <w:r w:rsidR="00293629">
              <w:t xml:space="preserve"> of this Annex</w:t>
            </w:r>
            <w:r w:rsidRPr="00696D98">
              <w:rPr>
                <w:rStyle w:val="FormatvorlageInstructionsTabelleText"/>
                <w:rFonts w:ascii="Times New Roman" w:hAnsi="Times New Roman"/>
                <w:sz w:val="24"/>
              </w:rPr>
              <w:t>,</w:t>
            </w:r>
            <w:r w:rsidRPr="23B77829">
              <w:rPr>
                <w:rStyle w:val="FormatvorlageInstructionsTabelleText"/>
                <w:rFonts w:ascii="Times New Roman" w:hAnsi="Times New Roman"/>
                <w:sz w:val="24"/>
              </w:rPr>
              <w:t xml:space="preserve"> with a further breakdown of i) the part deemed to be the ‘core’ volume (for those NMD’s different to wholesale financial, and according to the definition of ‘core’ </w:t>
            </w:r>
            <w:r w:rsidR="00894CF8">
              <w:rPr>
                <w:rStyle w:val="FormatvorlageInstructionsTabelleText"/>
                <w:rFonts w:ascii="Times New Roman" w:hAnsi="Times New Roman"/>
                <w:sz w:val="24"/>
              </w:rPr>
              <w:t>in</w:t>
            </w:r>
            <w:r w:rsidR="00894CF8" w:rsidRPr="23B77829">
              <w:rPr>
                <w:rStyle w:val="FormatvorlageInstructionsTabelleText"/>
                <w:rFonts w:ascii="Times New Roman" w:hAnsi="Times New Roman"/>
                <w:sz w:val="24"/>
              </w:rPr>
              <w:t xml:space="preserve"> </w:t>
            </w:r>
            <w:r w:rsidRPr="23B77829">
              <w:rPr>
                <w:rStyle w:val="FormatvorlageInstructionsTabelleText"/>
                <w:rFonts w:ascii="Times New Roman" w:hAnsi="Times New Roman"/>
                <w:sz w:val="24"/>
              </w:rPr>
              <w:t xml:space="preserve">Article 1.1(16) of the </w:t>
            </w:r>
            <w:r w:rsidR="00D77974" w:rsidRPr="23B77829">
              <w:rPr>
                <w:rStyle w:val="FormatvorlageInstructionsTabelleText"/>
                <w:rFonts w:ascii="Times New Roman" w:hAnsi="Times New Roman"/>
                <w:sz w:val="24"/>
                <w:highlight w:val="lightGray"/>
              </w:rPr>
              <w:t>EBA RTS on SA</w:t>
            </w:r>
            <w:r w:rsidRPr="23B77829">
              <w:rPr>
                <w:rStyle w:val="FormatvorlageInstructionsTabelleText"/>
                <w:rFonts w:ascii="Times New Roman" w:hAnsi="Times New Roman"/>
                <w:sz w:val="24"/>
              </w:rPr>
              <w:t xml:space="preserve">,  </w:t>
            </w:r>
            <w:r w:rsidR="517C6241" w:rsidRPr="23B77829">
              <w:rPr>
                <w:rStyle w:val="FormatvorlageInstructionsTabelleText"/>
                <w:rFonts w:ascii="Times New Roman" w:hAnsi="Times New Roman"/>
                <w:sz w:val="24"/>
              </w:rPr>
              <w:t>ii) the perimeter of regulated savings referred to in Article 428f(2</w:t>
            </w:r>
            <w:r w:rsidR="517C6241" w:rsidRPr="00F87D43">
              <w:rPr>
                <w:rStyle w:val="FormatvorlageInstructionsTabelleText"/>
                <w:rFonts w:ascii="Times New Roman" w:hAnsi="Times New Roman"/>
                <w:sz w:val="24"/>
              </w:rPr>
              <w:t>)</w:t>
            </w:r>
            <w:r w:rsidR="00E47D28">
              <w:rPr>
                <w:rStyle w:val="FormatvorlageInstructionsTabelleText"/>
                <w:rFonts w:ascii="Times New Roman" w:hAnsi="Times New Roman"/>
                <w:sz w:val="24"/>
              </w:rPr>
              <w:t>, paragraph (a</w:t>
            </w:r>
            <w:r w:rsidR="517C6241" w:rsidRPr="23B77829">
              <w:rPr>
                <w:rStyle w:val="FormatvorlageInstructionsTabelleText"/>
                <w:rFonts w:ascii="Times New Roman" w:hAnsi="Times New Roman"/>
                <w:sz w:val="24"/>
              </w:rPr>
              <w:t>) of the CRR</w:t>
            </w:r>
            <w:r w:rsidR="1DB0250F" w:rsidRPr="23B77829">
              <w:rPr>
                <w:rStyle w:val="FormatvorlageInstructionsTabelleText"/>
                <w:rFonts w:ascii="Times New Roman" w:hAnsi="Times New Roman"/>
                <w:sz w:val="24"/>
              </w:rPr>
              <w:t xml:space="preserve"> -</w:t>
            </w:r>
            <w:r w:rsidR="517C6241" w:rsidRPr="23B77829">
              <w:rPr>
                <w:rStyle w:val="FormatvorlageInstructionsTabelleText"/>
                <w:rFonts w:ascii="Times New Roman" w:hAnsi="Times New Roman"/>
                <w:sz w:val="24"/>
              </w:rPr>
              <w:t xml:space="preserve"> not limited to the centralised part</w:t>
            </w:r>
            <w:r w:rsidR="1B395D93" w:rsidRPr="23B77829">
              <w:rPr>
                <w:rStyle w:val="FormatvorlageInstructionsTabelleText"/>
                <w:rFonts w:ascii="Times New Roman" w:hAnsi="Times New Roman"/>
                <w:sz w:val="24"/>
              </w:rPr>
              <w:t xml:space="preserve"> -</w:t>
            </w:r>
            <w:r w:rsidR="517C6241" w:rsidRPr="23B77829">
              <w:rPr>
                <w:rStyle w:val="FormatvorlageInstructionsTabelleText"/>
                <w:rFonts w:ascii="Times New Roman" w:hAnsi="Times New Roman"/>
                <w:sz w:val="24"/>
              </w:rPr>
              <w:t xml:space="preserve"> </w:t>
            </w:r>
            <w:r w:rsidR="1C11B6B7" w:rsidRPr="23B77829">
              <w:rPr>
                <w:rStyle w:val="FormatvorlageInstructionsTabelleText"/>
                <w:rFonts w:ascii="Times New Roman" w:hAnsi="Times New Roman"/>
                <w:sz w:val="24"/>
              </w:rPr>
              <w:t>or</w:t>
            </w:r>
            <w:r w:rsidR="517C6241" w:rsidRPr="23B77829">
              <w:rPr>
                <w:rStyle w:val="FormatvorlageInstructionsTabelleText"/>
                <w:rFonts w:ascii="Times New Roman" w:hAnsi="Times New Roman"/>
                <w:sz w:val="24"/>
              </w:rPr>
              <w:t xml:space="preserve"> any other with material economic or fiscal constraints in case of withdrawal</w:t>
            </w:r>
            <w:r w:rsidR="7F124E65" w:rsidRPr="23B77829">
              <w:rPr>
                <w:rStyle w:val="FormatvorlageInstructionsTabelleText"/>
                <w:rFonts w:ascii="Times New Roman" w:hAnsi="Times New Roman"/>
                <w:sz w:val="24"/>
              </w:rPr>
              <w:t xml:space="preserve">, on which the institution </w:t>
            </w:r>
            <w:r w:rsidR="63C52ECF" w:rsidRPr="23B77829">
              <w:rPr>
                <w:rStyle w:val="FormatvorlageInstructionsTabelleText"/>
                <w:rFonts w:ascii="Times New Roman" w:hAnsi="Times New Roman"/>
                <w:sz w:val="24"/>
              </w:rPr>
              <w:t xml:space="preserve">is </w:t>
            </w:r>
            <w:r w:rsidR="64597D48" w:rsidRPr="23B77829">
              <w:rPr>
                <w:rStyle w:val="FormatvorlageInstructionsTabelleText"/>
                <w:rFonts w:ascii="Times New Roman" w:hAnsi="Times New Roman"/>
                <w:sz w:val="24"/>
              </w:rPr>
              <w:t xml:space="preserve">not </w:t>
            </w:r>
            <w:r w:rsidR="63C52ECF" w:rsidRPr="23B77829">
              <w:rPr>
                <w:rStyle w:val="FormatvorlageInstructionsTabelleText"/>
                <w:rFonts w:ascii="Times New Roman" w:hAnsi="Times New Roman"/>
                <w:sz w:val="24"/>
              </w:rPr>
              <w:t>applying</w:t>
            </w:r>
            <w:r w:rsidR="7F124E65" w:rsidRPr="23B77829">
              <w:rPr>
                <w:rStyle w:val="FormatvorlageInstructionsTabelleText"/>
                <w:rFonts w:ascii="Times New Roman" w:hAnsi="Times New Roman"/>
                <w:sz w:val="24"/>
              </w:rPr>
              <w:t xml:space="preserve"> a cap</w:t>
            </w:r>
            <w:r w:rsidR="73BFDE74" w:rsidRPr="23B77829">
              <w:rPr>
                <w:rStyle w:val="FormatvorlageInstructionsTabelleText"/>
                <w:rFonts w:ascii="Times New Roman" w:hAnsi="Times New Roman"/>
                <w:sz w:val="24"/>
              </w:rPr>
              <w:t xml:space="preserve"> </w:t>
            </w:r>
            <w:r w:rsidR="7F124E65" w:rsidRPr="23B77829">
              <w:rPr>
                <w:rStyle w:val="FormatvorlageInstructionsTabelleText"/>
                <w:rFonts w:ascii="Times New Roman" w:hAnsi="Times New Roman"/>
                <w:sz w:val="24"/>
              </w:rPr>
              <w:t>on their</w:t>
            </w:r>
            <w:r w:rsidR="45CDD705" w:rsidRPr="23B77829">
              <w:rPr>
                <w:rStyle w:val="FormatvorlageInstructionsTabelleText"/>
                <w:rFonts w:ascii="Times New Roman" w:hAnsi="Times New Roman"/>
                <w:sz w:val="24"/>
              </w:rPr>
              <w:t xml:space="preserve"> repricing maturity </w:t>
            </w:r>
            <w:r w:rsidR="1FD35519" w:rsidRPr="23B77829">
              <w:rPr>
                <w:rStyle w:val="FormatvorlageInstructionsTabelleText"/>
                <w:rFonts w:ascii="Times New Roman" w:hAnsi="Times New Roman"/>
                <w:sz w:val="24"/>
              </w:rPr>
              <w:t>(</w:t>
            </w:r>
            <w:r w:rsidR="00DE01E1">
              <w:rPr>
                <w:rStyle w:val="FormatvorlageInstructionsTabelleText"/>
                <w:rFonts w:ascii="Times New Roman" w:hAnsi="Times New Roman"/>
                <w:sz w:val="24"/>
              </w:rPr>
              <w:t>such as</w:t>
            </w:r>
            <w:r w:rsidR="1FD35519" w:rsidRPr="23B77829">
              <w:rPr>
                <w:rStyle w:val="FormatvorlageInstructionsTabelleText"/>
                <w:rFonts w:ascii="Times New Roman" w:hAnsi="Times New Roman"/>
                <w:sz w:val="24"/>
              </w:rPr>
              <w:t xml:space="preserve"> </w:t>
            </w:r>
            <w:r w:rsidR="0015448C">
              <w:rPr>
                <w:rStyle w:val="FormatvorlageInstructionsTabelleText"/>
                <w:rFonts w:ascii="Times New Roman" w:hAnsi="Times New Roman"/>
                <w:sz w:val="24"/>
              </w:rPr>
              <w:t xml:space="preserve">the </w:t>
            </w:r>
            <w:r w:rsidR="1FD35519" w:rsidRPr="23B77829">
              <w:rPr>
                <w:rStyle w:val="FormatvorlageInstructionsTabelleText"/>
                <w:rFonts w:ascii="Times New Roman" w:hAnsi="Times New Roman"/>
                <w:sz w:val="24"/>
              </w:rPr>
              <w:t>5Y cap)</w:t>
            </w:r>
            <w:r w:rsidR="1C0A15D8" w:rsidRPr="23B77829">
              <w:rPr>
                <w:rStyle w:val="FormatvorlageInstructionsTabelleText"/>
                <w:rFonts w:ascii="Times New Roman" w:hAnsi="Times New Roman"/>
                <w:sz w:val="24"/>
              </w:rPr>
              <w:t>,</w:t>
            </w:r>
            <w:r w:rsidR="04181055" w:rsidRPr="23B77829">
              <w:rPr>
                <w:rStyle w:val="FormatvorlageInstructionsTabelleText"/>
                <w:rFonts w:ascii="Times New Roman" w:hAnsi="Times New Roman"/>
                <w:sz w:val="24"/>
              </w:rPr>
              <w:t xml:space="preserve"> </w:t>
            </w:r>
            <w:r w:rsidR="161029E6" w:rsidRPr="23B77829">
              <w:rPr>
                <w:rStyle w:val="FormatvorlageInstructionsTabelleText"/>
                <w:rFonts w:ascii="Times New Roman" w:hAnsi="Times New Roman"/>
                <w:sz w:val="24"/>
              </w:rPr>
              <w:t>i</w:t>
            </w:r>
            <w:r w:rsidR="04181055" w:rsidRPr="23B77829">
              <w:rPr>
                <w:rStyle w:val="FormatvorlageInstructionsTabelleText"/>
                <w:rFonts w:ascii="Times New Roman" w:hAnsi="Times New Roman"/>
                <w:sz w:val="24"/>
              </w:rPr>
              <w:t xml:space="preserve">n its </w:t>
            </w:r>
            <w:r w:rsidR="5F7E374B" w:rsidRPr="23B77829">
              <w:rPr>
                <w:rStyle w:val="FormatvorlageInstructionsTabelleText"/>
                <w:rFonts w:ascii="Times New Roman" w:hAnsi="Times New Roman"/>
                <w:sz w:val="24"/>
              </w:rPr>
              <w:t xml:space="preserve">IRRBB </w:t>
            </w:r>
            <w:r w:rsidR="04181055" w:rsidRPr="23B77829">
              <w:rPr>
                <w:rStyle w:val="FormatvorlageInstructionsTabelleText"/>
                <w:rFonts w:ascii="Times New Roman" w:hAnsi="Times New Roman"/>
                <w:sz w:val="24"/>
              </w:rPr>
              <w:t>internal risk management</w:t>
            </w:r>
            <w:r w:rsidR="517C6241" w:rsidRPr="23B77829">
              <w:rPr>
                <w:rStyle w:val="FormatvorlageInstructionsTabelleText"/>
                <w:rFonts w:ascii="Times New Roman" w:hAnsi="Times New Roman"/>
                <w:sz w:val="24"/>
              </w:rPr>
              <w:t xml:space="preserve"> </w:t>
            </w:r>
            <w:r w:rsidRPr="23B77829">
              <w:rPr>
                <w:rStyle w:val="FormatvorlageInstructionsTabelleText"/>
                <w:rFonts w:ascii="Times New Roman" w:hAnsi="Times New Roman"/>
                <w:sz w:val="24"/>
              </w:rPr>
              <w:t>ii)</w:t>
            </w:r>
            <w:r w:rsidR="11B8A56B" w:rsidRPr="23B77829">
              <w:rPr>
                <w:rStyle w:val="FormatvorlageInstructionsTabelleText"/>
                <w:rFonts w:ascii="Times New Roman" w:hAnsi="Times New Roman"/>
                <w:sz w:val="24"/>
              </w:rPr>
              <w:t xml:space="preserve"> and</w:t>
            </w:r>
            <w:r w:rsidRPr="23B77829">
              <w:rPr>
                <w:rStyle w:val="FormatvorlageInstructionsTabelleText"/>
                <w:rFonts w:ascii="Times New Roman" w:hAnsi="Times New Roman"/>
                <w:sz w:val="24"/>
              </w:rPr>
              <w:t xml:space="preserve"> the perimeter of </w:t>
            </w:r>
            <w:r w:rsidR="00AC1E28" w:rsidRPr="23B77829">
              <w:rPr>
                <w:rStyle w:val="FormatvorlageInstructionsTabelleText"/>
                <w:rFonts w:ascii="Times New Roman" w:hAnsi="Times New Roman"/>
                <w:sz w:val="24"/>
              </w:rPr>
              <w:t>operational deposits as defined in Article 27(1)(a) LCR Delegated Regulation</w:t>
            </w:r>
            <w:r w:rsidRPr="23B77829">
              <w:rPr>
                <w:rStyle w:val="FormatvorlageInstructionsTabelleText"/>
                <w:rFonts w:ascii="Times New Roman" w:hAnsi="Times New Roman"/>
                <w:sz w:val="24"/>
              </w:rPr>
              <w:t>.</w:t>
            </w:r>
          </w:p>
          <w:p w14:paraId="0E697F4F" w14:textId="3304D194" w:rsidR="00B87342" w:rsidRPr="00FD77DC" w:rsidRDefault="00B87342" w:rsidP="0001573B">
            <w:pPr>
              <w:pStyle w:val="InstructionsText"/>
              <w:rPr>
                <w:rStyle w:val="InstructionsTabelleberschrift"/>
                <w:rFonts w:ascii="Times New Roman" w:hAnsi="Times New Roman"/>
                <w:b w:val="0"/>
                <w:bCs w:val="0"/>
                <w:sz w:val="24"/>
                <w:u w:val="none"/>
              </w:rPr>
            </w:pPr>
            <w:r w:rsidRPr="23B77829">
              <w:rPr>
                <w:rStyle w:val="FormatvorlageInstructionsTabelleText"/>
                <w:rFonts w:ascii="Times New Roman" w:hAnsi="Times New Roman"/>
                <w:sz w:val="24"/>
              </w:rPr>
              <w:t xml:space="preserve">The average repricing dates shall be calculated as a weighted average of the ‘repricing dates’ and the ‘notional repricing cash flows’ of the positions in each relevant NMD category/breakdown (definition of ‘repricing date’ and ‘notional repricing cash flows’ according to Article 1.1(1) and 1.1(2) of the </w:t>
            </w:r>
            <w:r w:rsidR="00D77974" w:rsidRPr="23B77829">
              <w:rPr>
                <w:rStyle w:val="FormatvorlageInstructionsTabelleText"/>
                <w:rFonts w:ascii="Times New Roman" w:hAnsi="Times New Roman"/>
                <w:sz w:val="24"/>
                <w:highlight w:val="lightGray"/>
              </w:rPr>
              <w:t>EBA RTS on SA</w:t>
            </w:r>
            <w:r w:rsidRPr="23B77829">
              <w:rPr>
                <w:rStyle w:val="FormatvorlageInstructionsTabelleText"/>
                <w:rFonts w:ascii="Times New Roman" w:hAnsi="Times New Roman"/>
                <w:sz w:val="24"/>
              </w:rPr>
              <w:t>).</w:t>
            </w:r>
          </w:p>
        </w:tc>
      </w:tr>
      <w:tr w:rsidR="00B87342" w:rsidRPr="00506251" w14:paraId="1314EB2E" w14:textId="77777777" w:rsidTr="63452C95">
        <w:tc>
          <w:tcPr>
            <w:tcW w:w="1129" w:type="dxa"/>
          </w:tcPr>
          <w:p w14:paraId="0E560EE6" w14:textId="1917CD8F" w:rsidR="00B87342" w:rsidRPr="00FD77DC" w:rsidRDefault="00B87342" w:rsidP="0001573B">
            <w:pPr>
              <w:pStyle w:val="InstructionsText"/>
              <w:rPr>
                <w:rStyle w:val="FormatvorlageInstructionsTabelleText"/>
                <w:rFonts w:ascii="Times New Roman" w:hAnsi="Times New Roman"/>
                <w:sz w:val="24"/>
                <w:lang w:eastAsia="en-US"/>
              </w:rPr>
            </w:pPr>
            <w:r w:rsidRPr="00FD77DC">
              <w:rPr>
                <w:rStyle w:val="FormatvorlageInstructionsTabelleText"/>
                <w:rFonts w:ascii="Times New Roman" w:hAnsi="Times New Roman"/>
                <w:sz w:val="24"/>
              </w:rPr>
              <w:t>0</w:t>
            </w:r>
            <w:r w:rsidR="005B408D" w:rsidRPr="00FD77DC">
              <w:rPr>
                <w:rStyle w:val="FormatvorlageInstructionsTabelleText"/>
                <w:rFonts w:ascii="Times New Roman" w:hAnsi="Times New Roman"/>
                <w:sz w:val="24"/>
              </w:rPr>
              <w:t>1</w:t>
            </w:r>
            <w:r w:rsidRPr="00FD77DC">
              <w:rPr>
                <w:rStyle w:val="FormatvorlageInstructionsTabelleText"/>
                <w:rFonts w:ascii="Times New Roman" w:hAnsi="Times New Roman"/>
                <w:sz w:val="24"/>
              </w:rPr>
              <w:t>20-0</w:t>
            </w:r>
            <w:r w:rsidR="005B408D" w:rsidRPr="00FD77DC">
              <w:rPr>
                <w:rStyle w:val="FormatvorlageInstructionsTabelleText"/>
                <w:rFonts w:ascii="Times New Roman" w:hAnsi="Times New Roman"/>
                <w:sz w:val="24"/>
              </w:rPr>
              <w:t>150</w:t>
            </w:r>
          </w:p>
        </w:tc>
        <w:tc>
          <w:tcPr>
            <w:tcW w:w="7620" w:type="dxa"/>
          </w:tcPr>
          <w:p w14:paraId="16864C20" w14:textId="4D758673" w:rsidR="00B87342" w:rsidRPr="00FD77DC" w:rsidRDefault="00B87342" w:rsidP="0001573B">
            <w:pPr>
              <w:pStyle w:val="InstructionsText"/>
              <w:rPr>
                <w:rStyle w:val="InstructionsTabelleberschrift"/>
                <w:rFonts w:ascii="Times New Roman" w:hAnsi="Times New Roman"/>
                <w:sz w:val="24"/>
              </w:rPr>
            </w:pPr>
            <w:r w:rsidRPr="00FD77DC">
              <w:rPr>
                <w:rStyle w:val="InstructionsTabelleberschrift"/>
                <w:rFonts w:ascii="Times New Roman" w:hAnsi="Times New Roman"/>
                <w:sz w:val="24"/>
              </w:rPr>
              <w:t>NMDs - Behavioural modelling – PTR Over 1</w:t>
            </w:r>
            <w:r w:rsidR="00644400">
              <w:rPr>
                <w:rStyle w:val="InstructionsTabelleberschrift"/>
                <w:rFonts w:ascii="Times New Roman" w:hAnsi="Times New Roman"/>
                <w:sz w:val="24"/>
              </w:rPr>
              <w:t xml:space="preserve"> year horizon</w:t>
            </w:r>
          </w:p>
          <w:p w14:paraId="7BE8129E" w14:textId="3D7CB5C8" w:rsidR="00B87342" w:rsidRPr="00FD77DC" w:rsidRDefault="3DB3CFB4" w:rsidP="0001573B">
            <w:pPr>
              <w:pStyle w:val="InstructionsText"/>
              <w:rPr>
                <w:rStyle w:val="InstructionsTabelleberschrift"/>
                <w:rFonts w:ascii="Times New Roman" w:hAnsi="Times New Roman"/>
                <w:b w:val="0"/>
                <w:bCs w:val="0"/>
                <w:sz w:val="24"/>
                <w:u w:val="none"/>
              </w:rPr>
            </w:pPr>
            <w:r w:rsidRPr="63452C95">
              <w:rPr>
                <w:rStyle w:val="FormatvorlageInstructionsTabelleText"/>
                <w:rFonts w:ascii="Times New Roman" w:hAnsi="Times New Roman"/>
                <w:sz w:val="24"/>
              </w:rPr>
              <w:t xml:space="preserve">The Pass-through rate (PTR)  </w:t>
            </w:r>
            <w:r w:rsidR="000978F0">
              <w:rPr>
                <w:rStyle w:val="FormatvorlageInstructionsTabelleText"/>
                <w:rFonts w:ascii="Times New Roman" w:hAnsi="Times New Roman"/>
                <w:sz w:val="24"/>
              </w:rPr>
              <w:t>as defined</w:t>
            </w:r>
            <w:r w:rsidRPr="63452C95">
              <w:rPr>
                <w:rStyle w:val="FormatvorlageInstructionsTabelleText"/>
                <w:rFonts w:ascii="Times New Roman" w:hAnsi="Times New Roman"/>
                <w:sz w:val="24"/>
              </w:rPr>
              <w:t xml:space="preserve"> in Article 1</w:t>
            </w:r>
            <w:r w:rsidR="000978F0">
              <w:rPr>
                <w:rStyle w:val="FormatvorlageInstructionsTabelleText"/>
                <w:rFonts w:ascii="Times New Roman" w:hAnsi="Times New Roman"/>
                <w:sz w:val="24"/>
              </w:rPr>
              <w:t xml:space="preserve"> point </w:t>
            </w:r>
            <w:r w:rsidRPr="63452C95">
              <w:rPr>
                <w:rStyle w:val="FormatvorlageInstructionsTabelleText"/>
                <w:rFonts w:ascii="Times New Roman" w:hAnsi="Times New Roman"/>
                <w:sz w:val="24"/>
              </w:rPr>
              <w:t>1</w:t>
            </w:r>
            <w:r w:rsidR="000978F0">
              <w:rPr>
                <w:rStyle w:val="FormatvorlageInstructionsTabelleText"/>
                <w:rFonts w:ascii="Times New Roman" w:hAnsi="Times New Roman"/>
                <w:sz w:val="24"/>
              </w:rPr>
              <w:t xml:space="preserve"> </w:t>
            </w:r>
            <w:r w:rsidRPr="63452C95">
              <w:rPr>
                <w:rStyle w:val="FormatvorlageInstructionsTabelleText"/>
                <w:rFonts w:ascii="Times New Roman" w:hAnsi="Times New Roman"/>
                <w:sz w:val="24"/>
              </w:rPr>
              <w:t>(</w:t>
            </w:r>
            <w:r w:rsidR="00315102" w:rsidRPr="63452C95">
              <w:rPr>
                <w:rStyle w:val="FormatvorlageInstructionsTabelleText"/>
                <w:rFonts w:ascii="Times New Roman" w:hAnsi="Times New Roman"/>
                <w:sz w:val="24"/>
              </w:rPr>
              <w:t>1</w:t>
            </w:r>
            <w:r w:rsidR="00315102">
              <w:rPr>
                <w:rStyle w:val="FormatvorlageInstructionsTabelleText"/>
                <w:rFonts w:ascii="Times New Roman" w:hAnsi="Times New Roman"/>
                <w:sz w:val="24"/>
              </w:rPr>
              <w:t>5</w:t>
            </w:r>
            <w:r w:rsidRPr="63452C95">
              <w:rPr>
                <w:rStyle w:val="FormatvorlageInstructionsTabelleText"/>
                <w:rFonts w:ascii="Times New Roman" w:hAnsi="Times New Roman"/>
                <w:sz w:val="24"/>
              </w:rPr>
              <w:t xml:space="preserve">) of the </w:t>
            </w:r>
            <w:r w:rsidR="77E91924" w:rsidRPr="63452C95">
              <w:rPr>
                <w:rStyle w:val="FormatvorlageInstructionsTabelleText"/>
                <w:rFonts w:ascii="Times New Roman" w:hAnsi="Times New Roman"/>
                <w:sz w:val="24"/>
                <w:highlight w:val="lightGray"/>
              </w:rPr>
              <w:t>EBA RTS on SA</w:t>
            </w:r>
            <w:r w:rsidRPr="63452C95">
              <w:rPr>
                <w:rStyle w:val="FormatvorlageInstructionsTabelleText"/>
                <w:rFonts w:ascii="Times New Roman" w:hAnsi="Times New Roman"/>
                <w:sz w:val="24"/>
              </w:rPr>
              <w:t xml:space="preserve"> shall be reported per </w:t>
            </w:r>
            <w:r w:rsidR="00F61C06">
              <w:rPr>
                <w:rStyle w:val="FormatvorlageInstructionsTabelleText"/>
                <w:rFonts w:ascii="Times New Roman" w:hAnsi="Times New Roman"/>
                <w:sz w:val="24"/>
              </w:rPr>
              <w:t>NMD</w:t>
            </w:r>
            <w:r w:rsidRPr="63452C95">
              <w:rPr>
                <w:rStyle w:val="FormatvorlageInstructionsTabelleText"/>
                <w:rFonts w:ascii="Times New Roman" w:hAnsi="Times New Roman"/>
                <w:sz w:val="24"/>
              </w:rPr>
              <w:t xml:space="preserve"> category according to the breakdown specified in </w:t>
            </w:r>
            <w:r w:rsidR="00D27ECE">
              <w:t xml:space="preserve">Part I, </w:t>
            </w:r>
            <w:r w:rsidR="6238EF15">
              <w:t xml:space="preserve">section </w:t>
            </w:r>
            <w:r w:rsidR="00B87342">
              <w:fldChar w:fldCharType="begin"/>
            </w:r>
            <w:r w:rsidR="00B87342">
              <w:instrText xml:space="preserve"> REF _Ref119418268 \r \h  \* MERGEFORMAT </w:instrText>
            </w:r>
            <w:r w:rsidR="00B87342">
              <w:fldChar w:fldCharType="separate"/>
            </w:r>
            <w:r w:rsidR="004049B3">
              <w:t>11</w:t>
            </w:r>
            <w:r w:rsidR="00B87342">
              <w:fldChar w:fldCharType="end"/>
            </w:r>
            <w:r w:rsidR="6238EF15">
              <w:t xml:space="preserve"> of this Annex</w:t>
            </w:r>
            <w:r w:rsidRPr="63452C95">
              <w:rPr>
                <w:rStyle w:val="FormatvorlageInstructionsTabelleText"/>
                <w:rFonts w:ascii="Times New Roman" w:hAnsi="Times New Roman"/>
                <w:sz w:val="24"/>
              </w:rPr>
              <w:t>, and for a 1 year time horizon.</w:t>
            </w:r>
            <w:r w:rsidR="7785C294" w:rsidRPr="63452C95">
              <w:rPr>
                <w:rStyle w:val="FormatvorlageInstructionsTabelleText"/>
                <w:rFonts w:ascii="Times New Roman" w:hAnsi="Times New Roman"/>
                <w:sz w:val="24"/>
              </w:rPr>
              <w:t xml:space="preserve"> </w:t>
            </w:r>
          </w:p>
          <w:p w14:paraId="39231CCE" w14:textId="7D6FB66F" w:rsidR="00B87342" w:rsidRPr="00FD77DC" w:rsidRDefault="7EB25965" w:rsidP="0001573B">
            <w:pPr>
              <w:pStyle w:val="InstructionsText"/>
              <w:rPr>
                <w:rFonts w:eastAsia="Calibri"/>
              </w:rPr>
            </w:pPr>
            <w:r w:rsidRPr="23B77829">
              <w:rPr>
                <w:rFonts w:eastAsia="Calibri"/>
              </w:rPr>
              <w:t xml:space="preserve">Institutions </w:t>
            </w:r>
            <w:r w:rsidR="00F43D2B" w:rsidRPr="00F1188C">
              <w:rPr>
                <w:rFonts w:eastAsia="Calibri"/>
              </w:rPr>
              <w:t>shall</w:t>
            </w:r>
            <w:r w:rsidRPr="00F1188C">
              <w:rPr>
                <w:rFonts w:eastAsia="Calibri"/>
              </w:rPr>
              <w:t xml:space="preserve"> report</w:t>
            </w:r>
            <w:r w:rsidRPr="23B77829">
              <w:rPr>
                <w:rFonts w:eastAsia="Calibri"/>
              </w:rPr>
              <w:t xml:space="preserve"> as the </w:t>
            </w:r>
            <w:r w:rsidR="00756982">
              <w:rPr>
                <w:rFonts w:eastAsia="Calibri"/>
              </w:rPr>
              <w:t>PTR</w:t>
            </w:r>
            <w:r w:rsidRPr="23B77829">
              <w:rPr>
                <w:rFonts w:eastAsia="Calibri"/>
              </w:rPr>
              <w:t xml:space="preserve">, the weighted average percentage of the interest rate shock that is assumed to be transferred to their </w:t>
            </w:r>
            <w:r w:rsidR="00756982">
              <w:rPr>
                <w:rFonts w:eastAsia="Calibri"/>
              </w:rPr>
              <w:t>NMDs</w:t>
            </w:r>
            <w:r w:rsidRPr="23B77829">
              <w:rPr>
                <w:rFonts w:eastAsia="Calibri"/>
              </w:rPr>
              <w:t xml:space="preserve">, </w:t>
            </w:r>
            <w:r w:rsidR="176540B6" w:rsidRPr="23B77829">
              <w:rPr>
                <w:rFonts w:eastAsia="Calibri"/>
              </w:rPr>
              <w:t>under the interest rate regulatory</w:t>
            </w:r>
            <w:r w:rsidRPr="23B77829">
              <w:rPr>
                <w:rFonts w:eastAsia="Calibri"/>
              </w:rPr>
              <w:t xml:space="preserve"> scenarios</w:t>
            </w:r>
            <w:r w:rsidR="5E25BE02" w:rsidRPr="23B77829">
              <w:rPr>
                <w:rFonts w:eastAsia="Calibri"/>
              </w:rPr>
              <w:t xml:space="preserve"> </w:t>
            </w:r>
            <w:r w:rsidR="29997D73" w:rsidRPr="23B77829">
              <w:rPr>
                <w:rFonts w:eastAsia="Calibri"/>
              </w:rPr>
              <w:t xml:space="preserve">and NII metric </w:t>
            </w:r>
            <w:r w:rsidR="5E25BE02" w:rsidRPr="23B77829">
              <w:rPr>
                <w:rFonts w:eastAsia="Calibri"/>
              </w:rPr>
              <w:t xml:space="preserve">specified in </w:t>
            </w:r>
            <w:r w:rsidR="0054248F" w:rsidRPr="00EE5ABE">
              <w:rPr>
                <w:rStyle w:val="FormatvorlageInstructionsTabelleText"/>
                <w:rFonts w:ascii="Times New Roman" w:hAnsi="Times New Roman"/>
                <w:bCs w:val="0"/>
                <w:sz w:val="24"/>
                <w:highlight w:val="lightGray"/>
              </w:rPr>
              <w:t>EBA RTS on S</w:t>
            </w:r>
            <w:r w:rsidR="0054248F">
              <w:rPr>
                <w:rStyle w:val="FormatvorlageInstructionsTabelleText"/>
                <w:rFonts w:ascii="Times New Roman" w:hAnsi="Times New Roman"/>
                <w:bCs w:val="0"/>
                <w:sz w:val="24"/>
                <w:highlight w:val="lightGray"/>
              </w:rPr>
              <w:t>OT</w:t>
            </w:r>
            <w:r w:rsidR="6E24FC5E" w:rsidRPr="23B77829">
              <w:rPr>
                <w:rFonts w:eastAsia="Calibri"/>
              </w:rPr>
              <w:t>.</w:t>
            </w:r>
          </w:p>
        </w:tc>
      </w:tr>
      <w:tr w:rsidR="00B87342" w:rsidRPr="00506251" w14:paraId="44881724" w14:textId="77777777" w:rsidTr="63452C95">
        <w:tc>
          <w:tcPr>
            <w:tcW w:w="1129" w:type="dxa"/>
          </w:tcPr>
          <w:p w14:paraId="248EEF52" w14:textId="6ED74CE6" w:rsidR="00B87342" w:rsidRPr="00FD77DC" w:rsidRDefault="00B87342" w:rsidP="0001573B">
            <w:pPr>
              <w:pStyle w:val="InstructionsText"/>
              <w:rPr>
                <w:rStyle w:val="FormatvorlageInstructionsTabelleText"/>
                <w:rFonts w:ascii="Times New Roman" w:hAnsi="Times New Roman"/>
                <w:sz w:val="24"/>
                <w:lang w:eastAsia="en-US"/>
              </w:rPr>
            </w:pPr>
            <w:r w:rsidRPr="00FD77DC">
              <w:rPr>
                <w:rStyle w:val="FormatvorlageInstructionsTabelleText"/>
                <w:rFonts w:ascii="Times New Roman" w:hAnsi="Times New Roman"/>
                <w:sz w:val="24"/>
              </w:rPr>
              <w:t>0</w:t>
            </w:r>
            <w:r w:rsidR="006857B5" w:rsidRPr="00FD77DC">
              <w:rPr>
                <w:rStyle w:val="FormatvorlageInstructionsTabelleText"/>
                <w:rFonts w:ascii="Times New Roman" w:hAnsi="Times New Roman"/>
                <w:sz w:val="24"/>
              </w:rPr>
              <w:t>160</w:t>
            </w:r>
            <w:r w:rsidRPr="00FD77DC">
              <w:rPr>
                <w:rStyle w:val="FormatvorlageInstructionsTabelleText"/>
                <w:rFonts w:ascii="Times New Roman" w:hAnsi="Times New Roman"/>
                <w:sz w:val="24"/>
              </w:rPr>
              <w:t>-0</w:t>
            </w:r>
            <w:r w:rsidR="006857B5" w:rsidRPr="00FD77DC">
              <w:rPr>
                <w:rStyle w:val="FormatvorlageInstructionsTabelleText"/>
                <w:rFonts w:ascii="Times New Roman" w:hAnsi="Times New Roman"/>
                <w:sz w:val="24"/>
              </w:rPr>
              <w:t>2</w:t>
            </w:r>
            <w:r w:rsidR="00EC022A">
              <w:rPr>
                <w:rStyle w:val="FormatvorlageInstructionsTabelleText"/>
                <w:rFonts w:ascii="Times New Roman" w:hAnsi="Times New Roman"/>
                <w:sz w:val="24"/>
              </w:rPr>
              <w:t>2</w:t>
            </w:r>
            <w:r w:rsidR="006857B5" w:rsidRPr="00FD77DC">
              <w:rPr>
                <w:rStyle w:val="FormatvorlageInstructionsTabelleText"/>
                <w:rFonts w:ascii="Times New Roman" w:hAnsi="Times New Roman"/>
                <w:sz w:val="24"/>
              </w:rPr>
              <w:t>0</w:t>
            </w:r>
          </w:p>
        </w:tc>
        <w:tc>
          <w:tcPr>
            <w:tcW w:w="7620" w:type="dxa"/>
          </w:tcPr>
          <w:p w14:paraId="1A7FEBB1" w14:textId="77777777" w:rsidR="00B87342" w:rsidRPr="00FD77DC" w:rsidRDefault="00B87342" w:rsidP="0001573B">
            <w:pPr>
              <w:pStyle w:val="InstructionsText"/>
              <w:rPr>
                <w:rStyle w:val="InstructionsTabelleberschrift"/>
                <w:rFonts w:ascii="Times New Roman" w:hAnsi="Times New Roman"/>
                <w:sz w:val="24"/>
              </w:rPr>
            </w:pPr>
            <w:r w:rsidRPr="00FD77DC">
              <w:rPr>
                <w:rStyle w:val="InstructionsTabelleberschrift"/>
                <w:rFonts w:ascii="Times New Roman" w:hAnsi="Times New Roman"/>
                <w:sz w:val="24"/>
              </w:rPr>
              <w:t>Fixed Rate - Prepayment risk - Average repricing dates before and after modelling</w:t>
            </w:r>
          </w:p>
          <w:p w14:paraId="3E76D491" w14:textId="37234F4B" w:rsidR="0011705A" w:rsidRDefault="0011705A" w:rsidP="0001573B">
            <w:pPr>
              <w:pStyle w:val="InstructionsText"/>
              <w:rPr>
                <w:rStyle w:val="FormatvorlageInstructionsTabelleText"/>
                <w:rFonts w:ascii="Times New Roman" w:hAnsi="Times New Roman"/>
                <w:bCs w:val="0"/>
                <w:sz w:val="24"/>
              </w:rPr>
            </w:pPr>
            <w:r w:rsidRPr="00FD77DC">
              <w:rPr>
                <w:rStyle w:val="FormatvorlageInstructionsTabelleText"/>
                <w:rFonts w:ascii="Times New Roman" w:hAnsi="Times New Roman"/>
                <w:bCs w:val="0"/>
                <w:sz w:val="24"/>
              </w:rPr>
              <w:t xml:space="preserve">Average repricing dates shall be calculated per relevant category as specified </w:t>
            </w:r>
            <w:r w:rsidRPr="00D42678">
              <w:rPr>
                <w:rStyle w:val="FormatvorlageInstructionsTabelleText"/>
                <w:rFonts w:ascii="Times New Roman" w:hAnsi="Times New Roman"/>
                <w:bCs w:val="0"/>
                <w:sz w:val="24"/>
              </w:rPr>
              <w:t xml:space="preserve">in </w:t>
            </w:r>
            <w:r w:rsidR="00D27ECE">
              <w:rPr>
                <w:rStyle w:val="FormatvorlageInstructionsTabelleText"/>
                <w:rFonts w:ascii="Times New Roman" w:hAnsi="Times New Roman"/>
                <w:bCs w:val="0"/>
                <w:sz w:val="24"/>
              </w:rPr>
              <w:t xml:space="preserve">Part I, </w:t>
            </w:r>
            <w:r w:rsidRPr="00644400">
              <w:t xml:space="preserve">section </w:t>
            </w:r>
            <w:r w:rsidRPr="00644400">
              <w:fldChar w:fldCharType="begin"/>
            </w:r>
            <w:r w:rsidRPr="00644400">
              <w:instrText xml:space="preserve"> REF _Ref119418268 \r \h  \* MERGEFORMAT </w:instrText>
            </w:r>
            <w:r w:rsidRPr="00644400">
              <w:fldChar w:fldCharType="separate"/>
            </w:r>
            <w:r w:rsidR="004049B3">
              <w:t>11</w:t>
            </w:r>
            <w:r w:rsidRPr="00644400">
              <w:fldChar w:fldCharType="end"/>
            </w:r>
            <w:r w:rsidRPr="00D42678">
              <w:t xml:space="preserve"> of this Annex</w:t>
            </w:r>
            <w:r>
              <w:rPr>
                <w:rStyle w:val="FormatvorlageInstructionsTabelleText"/>
                <w:rFonts w:ascii="Times New Roman" w:hAnsi="Times New Roman"/>
                <w:bCs w:val="0"/>
                <w:sz w:val="24"/>
              </w:rPr>
              <w:t xml:space="preserve"> </w:t>
            </w:r>
            <w:r w:rsidRPr="00FD77DC">
              <w:rPr>
                <w:rStyle w:val="FormatvorlageInstructionsTabelleText"/>
                <w:rFonts w:ascii="Times New Roman" w:hAnsi="Times New Roman"/>
                <w:bCs w:val="0"/>
                <w:sz w:val="24"/>
              </w:rPr>
              <w:t>for fixed rate ‘</w:t>
            </w:r>
            <w:r w:rsidR="00315102">
              <w:rPr>
                <w:rStyle w:val="FormatvorlageInstructionsTabelleText"/>
                <w:rFonts w:ascii="Times New Roman" w:hAnsi="Times New Roman"/>
                <w:bCs w:val="0"/>
                <w:sz w:val="24"/>
              </w:rPr>
              <w:t>l</w:t>
            </w:r>
            <w:r w:rsidR="00315102" w:rsidRPr="00FD77DC">
              <w:rPr>
                <w:rStyle w:val="FormatvorlageInstructionsTabelleText"/>
                <w:rFonts w:ascii="Times New Roman" w:hAnsi="Times New Roman"/>
                <w:bCs w:val="0"/>
                <w:sz w:val="24"/>
              </w:rPr>
              <w:t xml:space="preserve">oans </w:t>
            </w:r>
            <w:r w:rsidRPr="00FD77DC">
              <w:rPr>
                <w:rStyle w:val="FormatvorlageInstructionsTabelleText"/>
                <w:rFonts w:ascii="Times New Roman" w:hAnsi="Times New Roman"/>
                <w:bCs w:val="0"/>
                <w:sz w:val="24"/>
              </w:rPr>
              <w:t xml:space="preserve">and </w:t>
            </w:r>
            <w:r w:rsidR="00315102">
              <w:rPr>
                <w:rStyle w:val="FormatvorlageInstructionsTabelleText"/>
                <w:rFonts w:ascii="Times New Roman" w:hAnsi="Times New Roman"/>
                <w:bCs w:val="0"/>
                <w:sz w:val="24"/>
              </w:rPr>
              <w:t>a</w:t>
            </w:r>
            <w:r w:rsidR="00315102" w:rsidRPr="00FD77DC">
              <w:rPr>
                <w:rStyle w:val="FormatvorlageInstructionsTabelleText"/>
                <w:rFonts w:ascii="Times New Roman" w:hAnsi="Times New Roman"/>
                <w:bCs w:val="0"/>
                <w:sz w:val="24"/>
              </w:rPr>
              <w:t xml:space="preserve">dvances’ </w:t>
            </w:r>
            <w:r w:rsidRPr="00FD77DC">
              <w:rPr>
                <w:rStyle w:val="FormatvorlageInstructionsTabelleText"/>
                <w:rFonts w:ascii="Times New Roman" w:hAnsi="Times New Roman"/>
                <w:bCs w:val="0"/>
                <w:sz w:val="24"/>
              </w:rPr>
              <w:t>and fixed rate ‘</w:t>
            </w:r>
            <w:r w:rsidR="00315102">
              <w:rPr>
                <w:rStyle w:val="FormatvorlageInstructionsTabelleText"/>
                <w:rFonts w:ascii="Times New Roman" w:hAnsi="Times New Roman"/>
                <w:bCs w:val="0"/>
                <w:sz w:val="24"/>
              </w:rPr>
              <w:t>d</w:t>
            </w:r>
            <w:r w:rsidR="00315102" w:rsidRPr="00FD77DC">
              <w:rPr>
                <w:rStyle w:val="FormatvorlageInstructionsTabelleText"/>
                <w:rFonts w:ascii="Times New Roman" w:hAnsi="Times New Roman"/>
                <w:bCs w:val="0"/>
                <w:sz w:val="24"/>
              </w:rPr>
              <w:t xml:space="preserve">ebt </w:t>
            </w:r>
            <w:r w:rsidRPr="00FD77DC">
              <w:rPr>
                <w:rStyle w:val="FormatvorlageInstructionsTabelleText"/>
                <w:rFonts w:ascii="Times New Roman" w:hAnsi="Times New Roman"/>
                <w:bCs w:val="0"/>
                <w:sz w:val="24"/>
              </w:rPr>
              <w:t>securities’ subject to prepayment risk.</w:t>
            </w:r>
          </w:p>
          <w:p w14:paraId="6058AA3F" w14:textId="2949A8DB" w:rsidR="00B87342" w:rsidRPr="00FD77DC" w:rsidRDefault="0011705A" w:rsidP="0001573B">
            <w:pPr>
              <w:pStyle w:val="InstructionsText"/>
              <w:rPr>
                <w:rStyle w:val="InstructionsTabelleberschrift"/>
                <w:rFonts w:ascii="Times New Roman" w:hAnsi="Times New Roman"/>
                <w:b w:val="0"/>
                <w:bCs w:val="0"/>
                <w:sz w:val="24"/>
                <w:u w:val="none"/>
              </w:rPr>
            </w:pPr>
            <w:r w:rsidRPr="00FD77DC">
              <w:rPr>
                <w:rStyle w:val="FormatvorlageInstructionsTabelleText"/>
                <w:rFonts w:ascii="Times New Roman" w:hAnsi="Times New Roman"/>
                <w:bCs w:val="0"/>
                <w:sz w:val="24"/>
              </w:rPr>
              <w:t xml:space="preserve">Institutions shall consider as positions subject to </w:t>
            </w:r>
            <w:r>
              <w:rPr>
                <w:rStyle w:val="FormatvorlageInstructionsTabelleText"/>
                <w:rFonts w:ascii="Times New Roman" w:hAnsi="Times New Roman"/>
                <w:bCs w:val="0"/>
                <w:sz w:val="24"/>
              </w:rPr>
              <w:t>prepayment</w:t>
            </w:r>
            <w:r w:rsidRPr="00FD77DC">
              <w:rPr>
                <w:rStyle w:val="FormatvorlageInstructionsTabelleText"/>
                <w:rFonts w:ascii="Times New Roman" w:hAnsi="Times New Roman"/>
                <w:bCs w:val="0"/>
                <w:sz w:val="24"/>
              </w:rPr>
              <w:t xml:space="preserve"> risk only those positions for which the customer does not bear the full economic cost</w:t>
            </w:r>
            <w:r w:rsidR="00315102">
              <w:rPr>
                <w:rStyle w:val="FormatvorlageInstructionsTabelleText"/>
                <w:rFonts w:ascii="Times New Roman" w:hAnsi="Times New Roman"/>
                <w:bCs w:val="0"/>
                <w:sz w:val="24"/>
              </w:rPr>
              <w:t>s</w:t>
            </w:r>
            <w:r w:rsidRPr="00FD77DC">
              <w:rPr>
                <w:rStyle w:val="FormatvorlageInstructionsTabelleText"/>
                <w:rFonts w:ascii="Times New Roman" w:hAnsi="Times New Roman"/>
                <w:bCs w:val="0"/>
                <w:sz w:val="24"/>
              </w:rPr>
              <w:t xml:space="preserve"> of the early </w:t>
            </w:r>
            <w:r>
              <w:rPr>
                <w:rStyle w:val="FormatvorlageInstructionsTabelleText"/>
                <w:rFonts w:ascii="Times New Roman" w:hAnsi="Times New Roman"/>
                <w:bCs w:val="0"/>
                <w:sz w:val="24"/>
              </w:rPr>
              <w:t>prepayment</w:t>
            </w:r>
            <w:r w:rsidRPr="00FD77DC">
              <w:rPr>
                <w:rStyle w:val="FormatvorlageInstructionsTabelleText"/>
                <w:rFonts w:ascii="Times New Roman" w:hAnsi="Times New Roman"/>
                <w:bCs w:val="0"/>
                <w:sz w:val="24"/>
              </w:rPr>
              <w:t>. Positions for which the customer bears the full economic cost of</w:t>
            </w:r>
            <w:r>
              <w:rPr>
                <w:rStyle w:val="FormatvorlageInstructionsTabelleText"/>
                <w:rFonts w:ascii="Times New Roman" w:hAnsi="Times New Roman"/>
                <w:bCs w:val="0"/>
                <w:sz w:val="24"/>
              </w:rPr>
              <w:t xml:space="preserve"> the</w:t>
            </w:r>
            <w:r w:rsidRPr="00FD77DC">
              <w:rPr>
                <w:rStyle w:val="FormatvorlageInstructionsTabelleText"/>
                <w:rFonts w:ascii="Times New Roman" w:hAnsi="Times New Roman"/>
                <w:bCs w:val="0"/>
                <w:sz w:val="24"/>
              </w:rPr>
              <w:t xml:space="preserve"> early </w:t>
            </w:r>
            <w:r>
              <w:rPr>
                <w:rStyle w:val="FormatvorlageInstructionsTabelleText"/>
                <w:rFonts w:ascii="Times New Roman" w:hAnsi="Times New Roman"/>
                <w:bCs w:val="0"/>
                <w:sz w:val="24"/>
              </w:rPr>
              <w:t>prepayment</w:t>
            </w:r>
            <w:r w:rsidRPr="00FD77DC">
              <w:rPr>
                <w:rStyle w:val="FormatvorlageInstructionsTabelleText"/>
                <w:rFonts w:ascii="Times New Roman" w:hAnsi="Times New Roman"/>
                <w:bCs w:val="0"/>
                <w:sz w:val="24"/>
              </w:rPr>
              <w:t xml:space="preserve">, </w:t>
            </w:r>
            <w:r w:rsidR="00946E7A">
              <w:rPr>
                <w:rStyle w:val="FormatvorlageInstructionsTabelleText"/>
                <w:rFonts w:ascii="Times New Roman" w:hAnsi="Times New Roman"/>
                <w:bCs w:val="0"/>
                <w:sz w:val="24"/>
              </w:rPr>
              <w:t>shall</w:t>
            </w:r>
            <w:r w:rsidRPr="00FD77DC">
              <w:rPr>
                <w:rStyle w:val="FormatvorlageInstructionsTabelleText"/>
                <w:rFonts w:ascii="Times New Roman" w:hAnsi="Times New Roman"/>
                <w:bCs w:val="0"/>
                <w:sz w:val="24"/>
              </w:rPr>
              <w:t xml:space="preserve"> not </w:t>
            </w:r>
            <w:r w:rsidR="00946E7A">
              <w:rPr>
                <w:rStyle w:val="FormatvorlageInstructionsTabelleText"/>
                <w:rFonts w:ascii="Times New Roman" w:hAnsi="Times New Roman"/>
                <w:bCs w:val="0"/>
                <w:sz w:val="24"/>
              </w:rPr>
              <w:t xml:space="preserve">be </w:t>
            </w:r>
            <w:r w:rsidRPr="00FD77DC">
              <w:rPr>
                <w:rStyle w:val="FormatvorlageInstructionsTabelleText"/>
                <w:rFonts w:ascii="Times New Roman" w:hAnsi="Times New Roman"/>
                <w:bCs w:val="0"/>
                <w:sz w:val="24"/>
              </w:rPr>
              <w:t xml:space="preserve">considered to be subject to </w:t>
            </w:r>
            <w:r>
              <w:rPr>
                <w:rStyle w:val="FormatvorlageInstructionsTabelleText"/>
                <w:rFonts w:ascii="Times New Roman" w:hAnsi="Times New Roman"/>
                <w:bCs w:val="0"/>
                <w:sz w:val="24"/>
              </w:rPr>
              <w:t>prepayment</w:t>
            </w:r>
            <w:r w:rsidRPr="00FD77DC">
              <w:rPr>
                <w:rStyle w:val="FormatvorlageInstructionsTabelleText"/>
                <w:rFonts w:ascii="Times New Roman" w:hAnsi="Times New Roman"/>
                <w:bCs w:val="0"/>
                <w:sz w:val="24"/>
              </w:rPr>
              <w:t xml:space="preserve"> risk for the purposes of the calculation.</w:t>
            </w:r>
            <w:r w:rsidR="00756982">
              <w:rPr>
                <w:rStyle w:val="FormatvorlageInstructionsTabelleText"/>
                <w:rFonts w:ascii="Times New Roman" w:hAnsi="Times New Roman"/>
                <w:bCs w:val="0"/>
                <w:sz w:val="24"/>
              </w:rPr>
              <w:t xml:space="preserve"> </w:t>
            </w:r>
            <w:r w:rsidR="00B87342" w:rsidRPr="00FD77DC">
              <w:rPr>
                <w:rStyle w:val="FormatvorlageInstructionsTabelleText"/>
                <w:rFonts w:ascii="Times New Roman" w:hAnsi="Times New Roman"/>
                <w:bCs w:val="0"/>
                <w:sz w:val="24"/>
              </w:rPr>
              <w:t>The average repricing dates shall be calculated as a weighted average of the ‘repricing dates’ and the ‘notional repricing cash flows’ of positions in each relevant fixed rate ‘</w:t>
            </w:r>
            <w:r w:rsidR="00315102">
              <w:rPr>
                <w:rStyle w:val="FormatvorlageInstructionsTabelleText"/>
                <w:rFonts w:ascii="Times New Roman" w:hAnsi="Times New Roman"/>
                <w:bCs w:val="0"/>
                <w:sz w:val="24"/>
              </w:rPr>
              <w:t>l</w:t>
            </w:r>
            <w:r w:rsidR="00315102" w:rsidRPr="00FD77DC">
              <w:rPr>
                <w:rStyle w:val="FormatvorlageInstructionsTabelleText"/>
                <w:rFonts w:ascii="Times New Roman" w:hAnsi="Times New Roman"/>
                <w:bCs w:val="0"/>
                <w:sz w:val="24"/>
              </w:rPr>
              <w:t xml:space="preserve">oans </w:t>
            </w:r>
            <w:r w:rsidR="00B87342" w:rsidRPr="00FD77DC">
              <w:rPr>
                <w:rStyle w:val="FormatvorlageInstructionsTabelleText"/>
                <w:rFonts w:ascii="Times New Roman" w:hAnsi="Times New Roman"/>
                <w:bCs w:val="0"/>
                <w:sz w:val="24"/>
              </w:rPr>
              <w:t xml:space="preserve">and </w:t>
            </w:r>
            <w:r w:rsidR="00315102">
              <w:rPr>
                <w:rStyle w:val="FormatvorlageInstructionsTabelleText"/>
                <w:rFonts w:ascii="Times New Roman" w:hAnsi="Times New Roman"/>
                <w:bCs w:val="0"/>
                <w:sz w:val="24"/>
              </w:rPr>
              <w:t>a</w:t>
            </w:r>
            <w:r w:rsidR="00315102" w:rsidRPr="00FD77DC">
              <w:rPr>
                <w:rStyle w:val="FormatvorlageInstructionsTabelleText"/>
                <w:rFonts w:ascii="Times New Roman" w:hAnsi="Times New Roman"/>
                <w:bCs w:val="0"/>
                <w:sz w:val="24"/>
              </w:rPr>
              <w:t xml:space="preserve">dvances’ </w:t>
            </w:r>
            <w:r w:rsidR="00B87342" w:rsidRPr="00FD77DC">
              <w:rPr>
                <w:rStyle w:val="FormatvorlageInstructionsTabelleText"/>
                <w:rFonts w:ascii="Times New Roman" w:hAnsi="Times New Roman"/>
                <w:bCs w:val="0"/>
                <w:sz w:val="24"/>
              </w:rPr>
              <w:t>and fixed rate ‘</w:t>
            </w:r>
            <w:r w:rsidR="00315102">
              <w:rPr>
                <w:rStyle w:val="FormatvorlageInstructionsTabelleText"/>
                <w:rFonts w:ascii="Times New Roman" w:hAnsi="Times New Roman"/>
                <w:bCs w:val="0"/>
                <w:sz w:val="24"/>
              </w:rPr>
              <w:t>d</w:t>
            </w:r>
            <w:r w:rsidR="00315102" w:rsidRPr="00FD77DC">
              <w:rPr>
                <w:rStyle w:val="FormatvorlageInstructionsTabelleText"/>
                <w:rFonts w:ascii="Times New Roman" w:hAnsi="Times New Roman"/>
                <w:bCs w:val="0"/>
                <w:sz w:val="24"/>
              </w:rPr>
              <w:t xml:space="preserve">ebt </w:t>
            </w:r>
            <w:r w:rsidR="00B87342" w:rsidRPr="00FD77DC">
              <w:rPr>
                <w:rStyle w:val="FormatvorlageInstructionsTabelleText"/>
                <w:rFonts w:ascii="Times New Roman" w:hAnsi="Times New Roman"/>
                <w:bCs w:val="0"/>
                <w:sz w:val="24"/>
              </w:rPr>
              <w:t xml:space="preserve">securities’ category/breakdown (definition of ‘repricing date’ and ‘notional repricing cash flows’ according to Article 1.1(1) and 1.1(2) of the </w:t>
            </w:r>
            <w:r w:rsidR="00D77974" w:rsidRPr="00FD77DC">
              <w:rPr>
                <w:rStyle w:val="FormatvorlageInstructionsTabelleText"/>
                <w:rFonts w:ascii="Times New Roman" w:hAnsi="Times New Roman"/>
                <w:bCs w:val="0"/>
                <w:sz w:val="24"/>
                <w:highlight w:val="lightGray"/>
              </w:rPr>
              <w:t>EBA RTS on SA</w:t>
            </w:r>
            <w:r w:rsidR="00B87342" w:rsidRPr="00FD77DC">
              <w:rPr>
                <w:rStyle w:val="FormatvorlageInstructionsTabelleText"/>
                <w:rFonts w:ascii="Times New Roman" w:hAnsi="Times New Roman"/>
                <w:bCs w:val="0"/>
                <w:sz w:val="24"/>
              </w:rPr>
              <w:t>).</w:t>
            </w:r>
          </w:p>
        </w:tc>
      </w:tr>
      <w:tr w:rsidR="00B87342" w:rsidRPr="00506251" w14:paraId="105F7BA0" w14:textId="77777777" w:rsidTr="63452C95">
        <w:tc>
          <w:tcPr>
            <w:tcW w:w="1129" w:type="dxa"/>
          </w:tcPr>
          <w:p w14:paraId="33EC9B44" w14:textId="29F9C451" w:rsidR="00B87342" w:rsidRPr="00FD77DC" w:rsidRDefault="00B87342" w:rsidP="0001573B">
            <w:pPr>
              <w:pStyle w:val="InstructionsText"/>
              <w:rPr>
                <w:rStyle w:val="FormatvorlageInstructionsTabelleText"/>
                <w:rFonts w:ascii="Times New Roman" w:hAnsi="Times New Roman"/>
                <w:sz w:val="24"/>
                <w:lang w:eastAsia="en-US"/>
              </w:rPr>
            </w:pPr>
            <w:r w:rsidRPr="00FD77DC">
              <w:rPr>
                <w:rStyle w:val="FormatvorlageInstructionsTabelleText"/>
                <w:rFonts w:ascii="Times New Roman" w:hAnsi="Times New Roman"/>
                <w:sz w:val="24"/>
              </w:rPr>
              <w:t>0</w:t>
            </w:r>
            <w:r w:rsidR="006857B5" w:rsidRPr="00FD77DC">
              <w:rPr>
                <w:rStyle w:val="FormatvorlageInstructionsTabelleText"/>
                <w:rFonts w:ascii="Times New Roman" w:hAnsi="Times New Roman"/>
                <w:sz w:val="24"/>
              </w:rPr>
              <w:t>2</w:t>
            </w:r>
            <w:r w:rsidR="00C22AF4">
              <w:rPr>
                <w:rStyle w:val="FormatvorlageInstructionsTabelleText"/>
                <w:rFonts w:ascii="Times New Roman" w:hAnsi="Times New Roman"/>
                <w:sz w:val="24"/>
              </w:rPr>
              <w:t>3</w:t>
            </w:r>
            <w:r w:rsidR="006857B5" w:rsidRPr="00FD77DC">
              <w:rPr>
                <w:rStyle w:val="FormatvorlageInstructionsTabelleText"/>
                <w:rFonts w:ascii="Times New Roman" w:hAnsi="Times New Roman"/>
                <w:sz w:val="24"/>
              </w:rPr>
              <w:t>0</w:t>
            </w:r>
            <w:r w:rsidRPr="00FD77DC">
              <w:rPr>
                <w:rStyle w:val="FormatvorlageInstructionsTabelleText"/>
                <w:rFonts w:ascii="Times New Roman" w:hAnsi="Times New Roman"/>
                <w:sz w:val="24"/>
              </w:rPr>
              <w:t>-0</w:t>
            </w:r>
            <w:r w:rsidR="00453156">
              <w:rPr>
                <w:rStyle w:val="FormatvorlageInstructionsTabelleText"/>
                <w:rFonts w:ascii="Times New Roman" w:hAnsi="Times New Roman"/>
                <w:sz w:val="24"/>
              </w:rPr>
              <w:t>29</w:t>
            </w:r>
            <w:r w:rsidR="006857B5" w:rsidRPr="00FD77DC">
              <w:rPr>
                <w:rStyle w:val="FormatvorlageInstructionsTabelleText"/>
                <w:rFonts w:ascii="Times New Roman" w:hAnsi="Times New Roman"/>
                <w:sz w:val="24"/>
              </w:rPr>
              <w:t>0</w:t>
            </w:r>
          </w:p>
        </w:tc>
        <w:tc>
          <w:tcPr>
            <w:tcW w:w="7620" w:type="dxa"/>
          </w:tcPr>
          <w:p w14:paraId="170D5BB8" w14:textId="74C86AF3" w:rsidR="00B87342" w:rsidRPr="008B3266" w:rsidRDefault="00B87342" w:rsidP="0001573B">
            <w:pPr>
              <w:pStyle w:val="InstructionsText"/>
              <w:rPr>
                <w:rStyle w:val="FormatvorlageInstructionsTabelleText"/>
                <w:rFonts w:ascii="Times New Roman" w:hAnsi="Times New Roman"/>
                <w:b/>
                <w:sz w:val="24"/>
                <w:u w:val="single"/>
              </w:rPr>
            </w:pPr>
            <w:r w:rsidRPr="008B3266">
              <w:rPr>
                <w:rStyle w:val="FormatvorlageInstructionsTabelleText"/>
                <w:rFonts w:ascii="Times New Roman" w:hAnsi="Times New Roman"/>
                <w:b/>
                <w:sz w:val="24"/>
                <w:u w:val="single"/>
              </w:rPr>
              <w:t>Fixed Rate - Prepayment risk – Conditional prepayment rates (</w:t>
            </w:r>
            <w:r w:rsidR="00F07F09" w:rsidRPr="008B3266">
              <w:rPr>
                <w:rStyle w:val="FormatvorlageInstructionsTabelleText"/>
                <w:rFonts w:ascii="Times New Roman" w:hAnsi="Times New Roman"/>
                <w:b/>
                <w:sz w:val="24"/>
                <w:u w:val="single"/>
              </w:rPr>
              <w:t xml:space="preserve">annualised </w:t>
            </w:r>
            <w:r w:rsidRPr="008B3266">
              <w:rPr>
                <w:rStyle w:val="FormatvorlageInstructionsTabelleText"/>
                <w:rFonts w:ascii="Times New Roman" w:hAnsi="Times New Roman"/>
                <w:b/>
                <w:sz w:val="24"/>
                <w:u w:val="single"/>
              </w:rPr>
              <w:t>average)</w:t>
            </w:r>
          </w:p>
          <w:p w14:paraId="689AA958" w14:textId="5368FE1C" w:rsidR="00B87342" w:rsidRPr="00731232" w:rsidRDefault="006A74E7" w:rsidP="0001573B">
            <w:pPr>
              <w:pStyle w:val="InstructionsText"/>
              <w:rPr>
                <w:rStyle w:val="FormatvorlageInstructionsTabelleText"/>
                <w:rFonts w:ascii="Times New Roman" w:hAnsi="Times New Roman"/>
                <w:bCs w:val="0"/>
                <w:sz w:val="24"/>
              </w:rPr>
            </w:pPr>
            <w:r w:rsidRPr="00FD77DC">
              <w:rPr>
                <w:rStyle w:val="FormatvorlageInstructionsTabelleText"/>
                <w:rFonts w:ascii="Times New Roman" w:hAnsi="Times New Roman"/>
                <w:bCs w:val="0"/>
                <w:sz w:val="24"/>
              </w:rPr>
              <w:t>The</w:t>
            </w:r>
            <w:r w:rsidRPr="00FD77DC">
              <w:rPr>
                <w:rStyle w:val="FormatvorlageInstructionsTabelleText"/>
                <w:rFonts w:ascii="Times New Roman" w:hAnsi="Times New Roman"/>
                <w:b/>
                <w:sz w:val="24"/>
              </w:rPr>
              <w:t xml:space="preserve"> </w:t>
            </w:r>
            <w:r w:rsidR="00EB075D" w:rsidRPr="00FD77DC">
              <w:rPr>
                <w:rStyle w:val="FormatvorlageInstructionsTabelleText"/>
                <w:rFonts w:ascii="Times New Roman" w:hAnsi="Times New Roman"/>
                <w:sz w:val="24"/>
              </w:rPr>
              <w:t>annuali</w:t>
            </w:r>
            <w:r w:rsidR="00EB075D">
              <w:rPr>
                <w:rStyle w:val="FormatvorlageInstructionsTabelleText"/>
                <w:rFonts w:ascii="Times New Roman" w:hAnsi="Times New Roman"/>
                <w:sz w:val="24"/>
              </w:rPr>
              <w:t>s</w:t>
            </w:r>
            <w:r w:rsidR="00EB075D" w:rsidRPr="00FD77DC">
              <w:rPr>
                <w:rStyle w:val="FormatvorlageInstructionsTabelleText"/>
                <w:rFonts w:ascii="Times New Roman" w:hAnsi="Times New Roman"/>
                <w:sz w:val="24"/>
              </w:rPr>
              <w:t>ed</w:t>
            </w:r>
            <w:r w:rsidR="00EB075D" w:rsidRPr="00FD77DC">
              <w:rPr>
                <w:rStyle w:val="FormatvorlageInstructionsTabelleText"/>
                <w:rFonts w:ascii="Times New Roman" w:hAnsi="Times New Roman"/>
                <w:b/>
                <w:sz w:val="24"/>
              </w:rPr>
              <w:t xml:space="preserve"> </w:t>
            </w:r>
            <w:r w:rsidRPr="00FD77DC">
              <w:rPr>
                <w:rStyle w:val="FormatvorlageInstructionsTabelleText"/>
                <w:rFonts w:ascii="Times New Roman" w:hAnsi="Times New Roman"/>
                <w:bCs w:val="0"/>
                <w:sz w:val="24"/>
              </w:rPr>
              <w:t xml:space="preserve">average conditional prepayment rate shall be reported in annualized terms, per relevant category as specified </w:t>
            </w:r>
            <w:r w:rsidRPr="00D42678">
              <w:rPr>
                <w:rStyle w:val="FormatvorlageInstructionsTabelleText"/>
                <w:rFonts w:ascii="Times New Roman" w:hAnsi="Times New Roman"/>
                <w:bCs w:val="0"/>
                <w:sz w:val="24"/>
              </w:rPr>
              <w:t xml:space="preserve">in </w:t>
            </w:r>
            <w:r w:rsidR="00D27ECE">
              <w:rPr>
                <w:rStyle w:val="FormatvorlageInstructionsTabelleText"/>
                <w:rFonts w:ascii="Times New Roman" w:hAnsi="Times New Roman"/>
                <w:bCs w:val="0"/>
                <w:sz w:val="24"/>
              </w:rPr>
              <w:t xml:space="preserve">Part I, </w:t>
            </w:r>
            <w:r w:rsidRPr="00D42678">
              <w:t xml:space="preserve">section </w:t>
            </w:r>
            <w:r w:rsidRPr="00D42678">
              <w:fldChar w:fldCharType="begin"/>
            </w:r>
            <w:r w:rsidRPr="00D42678">
              <w:instrText xml:space="preserve"> REF _Ref119418268 \r \h </w:instrText>
            </w:r>
            <w:r>
              <w:instrText xml:space="preserve"> \* MERGEFORMAT </w:instrText>
            </w:r>
            <w:r w:rsidRPr="00D42678">
              <w:fldChar w:fldCharType="separate"/>
            </w:r>
            <w:r w:rsidR="004049B3">
              <w:t>11</w:t>
            </w:r>
            <w:r w:rsidRPr="00D42678">
              <w:fldChar w:fldCharType="end"/>
            </w:r>
            <w:r w:rsidRPr="00D42678">
              <w:t xml:space="preserve"> of this Annex</w:t>
            </w:r>
            <w:r w:rsidRPr="00FD77DC">
              <w:rPr>
                <w:rStyle w:val="FormatvorlageInstructionsTabelleText"/>
                <w:rFonts w:ascii="Times New Roman" w:hAnsi="Times New Roman"/>
                <w:sz w:val="24"/>
              </w:rPr>
              <w:t xml:space="preserve">, </w:t>
            </w:r>
            <w:r w:rsidRPr="00FD77DC">
              <w:rPr>
                <w:rStyle w:val="FormatvorlageInstructionsTabelleText"/>
                <w:rFonts w:ascii="Times New Roman" w:hAnsi="Times New Roman"/>
                <w:bCs w:val="0"/>
                <w:sz w:val="24"/>
              </w:rPr>
              <w:t>as the weighted annual average prepayment rate, by the outstanding amount in each yearly period, until the portfolio run-off, of the fixed rate ‘</w:t>
            </w:r>
            <w:r w:rsidR="00EB075D">
              <w:rPr>
                <w:rStyle w:val="FormatvorlageInstructionsTabelleText"/>
                <w:rFonts w:ascii="Times New Roman" w:hAnsi="Times New Roman"/>
                <w:bCs w:val="0"/>
                <w:sz w:val="24"/>
              </w:rPr>
              <w:t>l</w:t>
            </w:r>
            <w:r w:rsidR="00EB075D" w:rsidRPr="00FD77DC">
              <w:rPr>
                <w:rStyle w:val="FormatvorlageInstructionsTabelleText"/>
                <w:rFonts w:ascii="Times New Roman" w:hAnsi="Times New Roman"/>
                <w:bCs w:val="0"/>
                <w:sz w:val="24"/>
              </w:rPr>
              <w:t xml:space="preserve">oans </w:t>
            </w:r>
            <w:r w:rsidRPr="00FD77DC">
              <w:rPr>
                <w:rStyle w:val="FormatvorlageInstructionsTabelleText"/>
                <w:rFonts w:ascii="Times New Roman" w:hAnsi="Times New Roman"/>
                <w:bCs w:val="0"/>
                <w:sz w:val="24"/>
              </w:rPr>
              <w:t xml:space="preserve">and </w:t>
            </w:r>
            <w:r w:rsidR="00EB075D">
              <w:rPr>
                <w:rStyle w:val="FormatvorlageInstructionsTabelleText"/>
                <w:rFonts w:ascii="Times New Roman" w:hAnsi="Times New Roman"/>
                <w:bCs w:val="0"/>
                <w:sz w:val="24"/>
              </w:rPr>
              <w:t>a</w:t>
            </w:r>
            <w:r w:rsidR="00EB075D" w:rsidRPr="00FD77DC">
              <w:rPr>
                <w:rStyle w:val="FormatvorlageInstructionsTabelleText"/>
                <w:rFonts w:ascii="Times New Roman" w:hAnsi="Times New Roman"/>
                <w:bCs w:val="0"/>
                <w:sz w:val="24"/>
              </w:rPr>
              <w:t xml:space="preserve">dvances’ </w:t>
            </w:r>
            <w:r w:rsidRPr="00FD77DC">
              <w:rPr>
                <w:rStyle w:val="FormatvorlageInstructionsTabelleText"/>
                <w:rFonts w:ascii="Times New Roman" w:hAnsi="Times New Roman"/>
                <w:bCs w:val="0"/>
                <w:sz w:val="24"/>
              </w:rPr>
              <w:t>and fixed rate ‘</w:t>
            </w:r>
            <w:r w:rsidR="00EB075D">
              <w:rPr>
                <w:rStyle w:val="FormatvorlageInstructionsTabelleText"/>
                <w:rFonts w:ascii="Times New Roman" w:hAnsi="Times New Roman"/>
                <w:bCs w:val="0"/>
                <w:sz w:val="24"/>
              </w:rPr>
              <w:t>d</w:t>
            </w:r>
            <w:r w:rsidR="00EB075D" w:rsidRPr="00FD77DC">
              <w:rPr>
                <w:rStyle w:val="FormatvorlageInstructionsTabelleText"/>
                <w:rFonts w:ascii="Times New Roman" w:hAnsi="Times New Roman"/>
                <w:bCs w:val="0"/>
                <w:sz w:val="24"/>
              </w:rPr>
              <w:t xml:space="preserve">ebt </w:t>
            </w:r>
            <w:r w:rsidRPr="00FD77DC">
              <w:rPr>
                <w:rStyle w:val="FormatvorlageInstructionsTabelleText"/>
                <w:rFonts w:ascii="Times New Roman" w:hAnsi="Times New Roman"/>
                <w:bCs w:val="0"/>
                <w:sz w:val="24"/>
              </w:rPr>
              <w:t>securities’ portfolios subject to prepayment risk.</w:t>
            </w:r>
          </w:p>
        </w:tc>
      </w:tr>
      <w:tr w:rsidR="00B87342" w:rsidRPr="00506251" w14:paraId="57163FCB" w14:textId="77777777" w:rsidTr="63452C95">
        <w:tc>
          <w:tcPr>
            <w:tcW w:w="1129" w:type="dxa"/>
          </w:tcPr>
          <w:p w14:paraId="3A1656C2" w14:textId="3B773E31" w:rsidR="00B87342" w:rsidRPr="00FD77DC" w:rsidRDefault="00B87342" w:rsidP="0001573B">
            <w:pPr>
              <w:pStyle w:val="InstructionsText"/>
              <w:rPr>
                <w:rStyle w:val="FormatvorlageInstructionsTabelleText"/>
                <w:rFonts w:ascii="Times New Roman" w:hAnsi="Times New Roman"/>
                <w:sz w:val="24"/>
                <w:lang w:eastAsia="en-US"/>
              </w:rPr>
            </w:pPr>
            <w:r w:rsidRPr="00FD77DC">
              <w:rPr>
                <w:rStyle w:val="FormatvorlageInstructionsTabelleText"/>
                <w:rFonts w:ascii="Times New Roman" w:hAnsi="Times New Roman"/>
                <w:sz w:val="24"/>
              </w:rPr>
              <w:t>0</w:t>
            </w:r>
            <w:r w:rsidR="006857B5" w:rsidRPr="00FD77DC">
              <w:rPr>
                <w:rStyle w:val="FormatvorlageInstructionsTabelleText"/>
                <w:rFonts w:ascii="Times New Roman" w:hAnsi="Times New Roman"/>
                <w:sz w:val="24"/>
              </w:rPr>
              <w:t>3</w:t>
            </w:r>
            <w:r w:rsidR="00FD5B25">
              <w:rPr>
                <w:rStyle w:val="FormatvorlageInstructionsTabelleText"/>
                <w:rFonts w:ascii="Times New Roman" w:hAnsi="Times New Roman"/>
                <w:sz w:val="24"/>
              </w:rPr>
              <w:t>0</w:t>
            </w:r>
            <w:r w:rsidR="006857B5" w:rsidRPr="00FD77DC">
              <w:rPr>
                <w:rStyle w:val="FormatvorlageInstructionsTabelleText"/>
                <w:rFonts w:ascii="Times New Roman" w:hAnsi="Times New Roman"/>
                <w:sz w:val="24"/>
              </w:rPr>
              <w:t>0</w:t>
            </w:r>
            <w:r w:rsidRPr="00FD77DC">
              <w:rPr>
                <w:rStyle w:val="FormatvorlageInstructionsTabelleText"/>
                <w:rFonts w:ascii="Times New Roman" w:hAnsi="Times New Roman"/>
                <w:sz w:val="24"/>
              </w:rPr>
              <w:t>-0</w:t>
            </w:r>
            <w:r w:rsidR="006857B5" w:rsidRPr="00FD77DC">
              <w:rPr>
                <w:rStyle w:val="FormatvorlageInstructionsTabelleText"/>
                <w:rFonts w:ascii="Times New Roman" w:hAnsi="Times New Roman"/>
                <w:sz w:val="24"/>
              </w:rPr>
              <w:t>3</w:t>
            </w:r>
            <w:r w:rsidR="00FD5B25">
              <w:rPr>
                <w:rStyle w:val="FormatvorlageInstructionsTabelleText"/>
                <w:rFonts w:ascii="Times New Roman" w:hAnsi="Times New Roman"/>
                <w:sz w:val="24"/>
              </w:rPr>
              <w:t>3</w:t>
            </w:r>
            <w:r w:rsidR="006857B5" w:rsidRPr="00FD77DC">
              <w:rPr>
                <w:rStyle w:val="FormatvorlageInstructionsTabelleText"/>
                <w:rFonts w:ascii="Times New Roman" w:hAnsi="Times New Roman"/>
                <w:sz w:val="24"/>
              </w:rPr>
              <w:t>0</w:t>
            </w:r>
          </w:p>
        </w:tc>
        <w:tc>
          <w:tcPr>
            <w:tcW w:w="7620" w:type="dxa"/>
          </w:tcPr>
          <w:p w14:paraId="060B1BB5" w14:textId="56BF7C42" w:rsidR="00B87342" w:rsidRPr="00FD77DC" w:rsidRDefault="00B87342" w:rsidP="0001573B">
            <w:pPr>
              <w:pStyle w:val="InstructionsText"/>
              <w:rPr>
                <w:rStyle w:val="InstructionsTabelleberschrift"/>
                <w:rFonts w:ascii="Times New Roman" w:hAnsi="Times New Roman"/>
                <w:sz w:val="24"/>
              </w:rPr>
            </w:pPr>
            <w:r w:rsidRPr="00FD77DC">
              <w:rPr>
                <w:rStyle w:val="InstructionsTabelleberschrift"/>
                <w:rFonts w:ascii="Times New Roman" w:hAnsi="Times New Roman"/>
                <w:sz w:val="24"/>
              </w:rPr>
              <w:t xml:space="preserve">Fixed Rate – Early </w:t>
            </w:r>
            <w:r w:rsidR="00F03710">
              <w:rPr>
                <w:rStyle w:val="InstructionsTabelleberschrift"/>
                <w:rFonts w:ascii="Times New Roman" w:hAnsi="Times New Roman"/>
                <w:sz w:val="24"/>
              </w:rPr>
              <w:t>r</w:t>
            </w:r>
            <w:r w:rsidRPr="00FD77DC">
              <w:rPr>
                <w:rStyle w:val="InstructionsTabelleberschrift"/>
                <w:rFonts w:ascii="Times New Roman" w:hAnsi="Times New Roman"/>
                <w:sz w:val="24"/>
              </w:rPr>
              <w:t>edemption risk - Average repricing dates before and after modelling</w:t>
            </w:r>
          </w:p>
          <w:p w14:paraId="1E1D4FB4" w14:textId="7F012076" w:rsidR="002901F9" w:rsidRPr="00FD77DC" w:rsidRDefault="002901F9" w:rsidP="0001573B">
            <w:pPr>
              <w:pStyle w:val="InstructionsText"/>
              <w:rPr>
                <w:rStyle w:val="FormatvorlageInstructionsTabelleText"/>
                <w:rFonts w:ascii="Times New Roman" w:hAnsi="Times New Roman"/>
                <w:bCs w:val="0"/>
                <w:sz w:val="24"/>
              </w:rPr>
            </w:pPr>
            <w:r w:rsidRPr="00FD77DC">
              <w:rPr>
                <w:rStyle w:val="FormatvorlageInstructionsTabelleText"/>
                <w:rFonts w:ascii="Times New Roman" w:hAnsi="Times New Roman"/>
                <w:bCs w:val="0"/>
                <w:sz w:val="24"/>
              </w:rPr>
              <w:t xml:space="preserve">Average repricing dates shall be calculated per relevant category, as specified </w:t>
            </w:r>
            <w:r w:rsidRPr="00D42678">
              <w:rPr>
                <w:rStyle w:val="FormatvorlageInstructionsTabelleText"/>
                <w:rFonts w:ascii="Times New Roman" w:hAnsi="Times New Roman"/>
                <w:bCs w:val="0"/>
                <w:sz w:val="24"/>
              </w:rPr>
              <w:t xml:space="preserve">in </w:t>
            </w:r>
            <w:r w:rsidR="00D27ECE">
              <w:rPr>
                <w:rStyle w:val="FormatvorlageInstructionsTabelleText"/>
                <w:rFonts w:ascii="Times New Roman" w:hAnsi="Times New Roman"/>
                <w:bCs w:val="0"/>
                <w:sz w:val="24"/>
              </w:rPr>
              <w:t xml:space="preserve">Part I, </w:t>
            </w:r>
            <w:r w:rsidRPr="00D42678">
              <w:t xml:space="preserve">section </w:t>
            </w:r>
            <w:r w:rsidRPr="00D42678">
              <w:fldChar w:fldCharType="begin"/>
            </w:r>
            <w:r w:rsidRPr="00D42678">
              <w:instrText xml:space="preserve"> REF _Ref119418268 \r \h </w:instrText>
            </w:r>
            <w:r>
              <w:instrText xml:space="preserve"> \* MERGEFORMAT </w:instrText>
            </w:r>
            <w:r w:rsidRPr="00D42678">
              <w:fldChar w:fldCharType="separate"/>
            </w:r>
            <w:r w:rsidR="004049B3">
              <w:t>11</w:t>
            </w:r>
            <w:r w:rsidRPr="00D42678">
              <w:fldChar w:fldCharType="end"/>
            </w:r>
            <w:r w:rsidRPr="00D42678">
              <w:t xml:space="preserve"> of this Annex</w:t>
            </w:r>
            <w:r w:rsidRPr="00FD77DC">
              <w:rPr>
                <w:rStyle w:val="FormatvorlageInstructionsTabelleText"/>
                <w:rFonts w:ascii="Times New Roman" w:hAnsi="Times New Roman"/>
                <w:bCs w:val="0"/>
                <w:sz w:val="24"/>
              </w:rPr>
              <w:t xml:space="preserve"> for fixed rate ‘</w:t>
            </w:r>
            <w:r w:rsidR="00EB075D">
              <w:rPr>
                <w:rStyle w:val="FormatvorlageInstructionsTabelleText"/>
                <w:rFonts w:ascii="Times New Roman" w:hAnsi="Times New Roman"/>
                <w:bCs w:val="0"/>
                <w:sz w:val="24"/>
              </w:rPr>
              <w:t>t</w:t>
            </w:r>
            <w:r w:rsidR="00EB075D" w:rsidRPr="00FD77DC">
              <w:rPr>
                <w:rStyle w:val="FormatvorlageInstructionsTabelleText"/>
                <w:rFonts w:ascii="Times New Roman" w:hAnsi="Times New Roman"/>
                <w:bCs w:val="0"/>
                <w:sz w:val="24"/>
              </w:rPr>
              <w:t xml:space="preserve">erm </w:t>
            </w:r>
            <w:r w:rsidRPr="00FD77DC">
              <w:rPr>
                <w:rStyle w:val="FormatvorlageInstructionsTabelleText"/>
                <w:rFonts w:ascii="Times New Roman" w:hAnsi="Times New Roman"/>
                <w:bCs w:val="0"/>
                <w:sz w:val="24"/>
              </w:rPr>
              <w:t xml:space="preserve">deposits’ subject to early redemption </w:t>
            </w:r>
            <w:r w:rsidRPr="00FD77DC">
              <w:rPr>
                <w:rStyle w:val="FormatvorlageInstructionsTabelleText"/>
                <w:rFonts w:ascii="Times New Roman" w:hAnsi="Times New Roman"/>
                <w:sz w:val="24"/>
              </w:rPr>
              <w:t>risk</w:t>
            </w:r>
            <w:r w:rsidRPr="00FD77DC">
              <w:rPr>
                <w:rStyle w:val="FormatvorlageInstructionsTabelleText"/>
                <w:rFonts w:ascii="Times New Roman" w:hAnsi="Times New Roman"/>
                <w:bCs w:val="0"/>
                <w:sz w:val="24"/>
              </w:rPr>
              <w:t>.</w:t>
            </w:r>
          </w:p>
          <w:p w14:paraId="6587669C" w14:textId="3E6C0281" w:rsidR="002901F9" w:rsidRDefault="002901F9" w:rsidP="0001573B">
            <w:pPr>
              <w:pStyle w:val="InstructionsText"/>
              <w:rPr>
                <w:rStyle w:val="FormatvorlageInstructionsTabelleText"/>
                <w:rFonts w:ascii="Times New Roman" w:hAnsi="Times New Roman"/>
                <w:bCs w:val="0"/>
                <w:sz w:val="24"/>
              </w:rPr>
            </w:pPr>
            <w:r w:rsidRPr="00FD77DC">
              <w:rPr>
                <w:rStyle w:val="FormatvorlageInstructionsTabelleText"/>
                <w:rFonts w:ascii="Times New Roman" w:hAnsi="Times New Roman"/>
                <w:bCs w:val="0"/>
                <w:sz w:val="24"/>
              </w:rPr>
              <w:t xml:space="preserve">The average repricing dates shall be calculated as a weighted average of the ‘repricing dates’ and the ‘notional repricing cash flows’ of aggregated positions in each relevant category/breakdown (definition of ‘repricing date’ and ‘notional repricing cash flows’ according to Article 1.1(1) and 1.1(2) of the </w:t>
            </w:r>
            <w:r w:rsidRPr="00FD77DC">
              <w:rPr>
                <w:rStyle w:val="FormatvorlageInstructionsTabelleText"/>
                <w:rFonts w:ascii="Times New Roman" w:hAnsi="Times New Roman"/>
                <w:bCs w:val="0"/>
                <w:sz w:val="24"/>
                <w:highlight w:val="lightGray"/>
              </w:rPr>
              <w:t>EBA RTS on SA</w:t>
            </w:r>
            <w:r w:rsidRPr="00FD77DC">
              <w:rPr>
                <w:rStyle w:val="FormatvorlageInstructionsTabelleText"/>
                <w:rFonts w:ascii="Times New Roman" w:hAnsi="Times New Roman"/>
                <w:bCs w:val="0"/>
                <w:sz w:val="24"/>
              </w:rPr>
              <w:t>).</w:t>
            </w:r>
          </w:p>
          <w:p w14:paraId="7AA2EACA" w14:textId="3AD4D952" w:rsidR="00B87342" w:rsidRPr="002901F9" w:rsidRDefault="002901F9" w:rsidP="0001573B">
            <w:pPr>
              <w:pStyle w:val="InstructionsText"/>
              <w:rPr>
                <w:rStyle w:val="InstructionsTabelleberschrift"/>
                <w:rFonts w:ascii="Times New Roman" w:hAnsi="Times New Roman"/>
                <w:b w:val="0"/>
                <w:bCs w:val="0"/>
                <w:sz w:val="24"/>
                <w:u w:val="none"/>
              </w:rPr>
            </w:pPr>
            <w:r w:rsidRPr="00FD77DC">
              <w:rPr>
                <w:rStyle w:val="FormatvorlageInstructionsTabelleText"/>
                <w:rFonts w:ascii="Times New Roman" w:hAnsi="Times New Roman"/>
                <w:bCs w:val="0"/>
                <w:sz w:val="24"/>
              </w:rPr>
              <w:t>Institutions shall consider as positions subject to early redemption risk only those positions for which the customer does not bear with the full economic cost</w:t>
            </w:r>
            <w:r w:rsidR="00EB075D">
              <w:rPr>
                <w:rStyle w:val="FormatvorlageInstructionsTabelleText"/>
                <w:rFonts w:ascii="Times New Roman" w:hAnsi="Times New Roman"/>
                <w:bCs w:val="0"/>
                <w:sz w:val="24"/>
              </w:rPr>
              <w:t>s</w:t>
            </w:r>
            <w:r w:rsidRPr="00FD77DC">
              <w:rPr>
                <w:rStyle w:val="FormatvorlageInstructionsTabelleText"/>
                <w:rFonts w:ascii="Times New Roman" w:hAnsi="Times New Roman"/>
                <w:bCs w:val="0"/>
                <w:sz w:val="24"/>
              </w:rPr>
              <w:t xml:space="preserve"> of the early redemption. Positions for which the customer bears the full economic cost of early redemption, </w:t>
            </w:r>
            <w:r>
              <w:rPr>
                <w:rStyle w:val="FormatvorlageInstructionsTabelleText"/>
                <w:rFonts w:ascii="Times New Roman" w:hAnsi="Times New Roman"/>
                <w:bCs w:val="0"/>
                <w:sz w:val="24"/>
              </w:rPr>
              <w:t>shall not be</w:t>
            </w:r>
            <w:r w:rsidRPr="00FD77DC">
              <w:rPr>
                <w:rStyle w:val="FormatvorlageInstructionsTabelleText"/>
                <w:rFonts w:ascii="Times New Roman" w:hAnsi="Times New Roman"/>
                <w:bCs w:val="0"/>
                <w:sz w:val="24"/>
              </w:rPr>
              <w:t xml:space="preserve"> considered to be subject to early redemption risk for the purposes of the calculation.</w:t>
            </w:r>
          </w:p>
        </w:tc>
      </w:tr>
      <w:tr w:rsidR="00B87342" w:rsidRPr="00506251" w14:paraId="481018BD" w14:textId="77777777" w:rsidTr="63452C95">
        <w:tc>
          <w:tcPr>
            <w:tcW w:w="1129" w:type="dxa"/>
          </w:tcPr>
          <w:p w14:paraId="0B9A24B1" w14:textId="6B6EE886" w:rsidR="00B87342" w:rsidRPr="00FD77DC" w:rsidRDefault="00B87342" w:rsidP="0001573B">
            <w:pPr>
              <w:pStyle w:val="InstructionsText"/>
              <w:rPr>
                <w:rStyle w:val="FormatvorlageInstructionsTabelleText"/>
                <w:rFonts w:ascii="Times New Roman" w:hAnsi="Times New Roman"/>
                <w:sz w:val="24"/>
                <w:lang w:eastAsia="en-US"/>
              </w:rPr>
            </w:pPr>
            <w:r w:rsidRPr="00FD77DC">
              <w:rPr>
                <w:rStyle w:val="FormatvorlageInstructionsTabelleText"/>
                <w:rFonts w:ascii="Times New Roman" w:hAnsi="Times New Roman"/>
                <w:sz w:val="24"/>
              </w:rPr>
              <w:t>0</w:t>
            </w:r>
            <w:r w:rsidR="006857B5" w:rsidRPr="00FD77DC">
              <w:rPr>
                <w:rStyle w:val="FormatvorlageInstructionsTabelleText"/>
                <w:rFonts w:ascii="Times New Roman" w:hAnsi="Times New Roman"/>
                <w:sz w:val="24"/>
              </w:rPr>
              <w:t>3</w:t>
            </w:r>
            <w:r w:rsidR="00FD5B25">
              <w:rPr>
                <w:rStyle w:val="FormatvorlageInstructionsTabelleText"/>
                <w:rFonts w:ascii="Times New Roman" w:hAnsi="Times New Roman"/>
                <w:sz w:val="24"/>
              </w:rPr>
              <w:t>4</w:t>
            </w:r>
            <w:r w:rsidR="006857B5" w:rsidRPr="00FD77DC">
              <w:rPr>
                <w:rStyle w:val="FormatvorlageInstructionsTabelleText"/>
                <w:rFonts w:ascii="Times New Roman" w:hAnsi="Times New Roman"/>
                <w:sz w:val="24"/>
              </w:rPr>
              <w:t>0</w:t>
            </w:r>
            <w:r w:rsidRPr="00FD77DC">
              <w:rPr>
                <w:rStyle w:val="FormatvorlageInstructionsTabelleText"/>
                <w:rFonts w:ascii="Times New Roman" w:hAnsi="Times New Roman"/>
                <w:sz w:val="24"/>
              </w:rPr>
              <w:t>-0</w:t>
            </w:r>
            <w:r w:rsidR="006857B5" w:rsidRPr="00FD77DC">
              <w:rPr>
                <w:rStyle w:val="FormatvorlageInstructionsTabelleText"/>
                <w:rFonts w:ascii="Times New Roman" w:hAnsi="Times New Roman"/>
                <w:sz w:val="24"/>
              </w:rPr>
              <w:t>3</w:t>
            </w:r>
            <w:r w:rsidR="00FD5B25">
              <w:rPr>
                <w:rStyle w:val="FormatvorlageInstructionsTabelleText"/>
                <w:rFonts w:ascii="Times New Roman" w:hAnsi="Times New Roman"/>
                <w:sz w:val="24"/>
              </w:rPr>
              <w:t>7</w:t>
            </w:r>
            <w:r w:rsidR="006857B5" w:rsidRPr="00FD77DC">
              <w:rPr>
                <w:rStyle w:val="FormatvorlageInstructionsTabelleText"/>
                <w:rFonts w:ascii="Times New Roman" w:hAnsi="Times New Roman"/>
                <w:sz w:val="24"/>
              </w:rPr>
              <w:t>0</w:t>
            </w:r>
          </w:p>
        </w:tc>
        <w:tc>
          <w:tcPr>
            <w:tcW w:w="7620" w:type="dxa"/>
          </w:tcPr>
          <w:p w14:paraId="337E5AE4" w14:textId="084B5BDD" w:rsidR="00B87342" w:rsidRPr="00FD77DC" w:rsidRDefault="00B87342" w:rsidP="0001573B">
            <w:pPr>
              <w:pStyle w:val="InstructionsText"/>
              <w:rPr>
                <w:rStyle w:val="InstructionsTabelleberschrift"/>
                <w:rFonts w:ascii="Times New Roman" w:hAnsi="Times New Roman"/>
                <w:sz w:val="24"/>
              </w:rPr>
            </w:pPr>
            <w:r w:rsidRPr="00FD77DC">
              <w:rPr>
                <w:rStyle w:val="InstructionsTabelleberschrift"/>
                <w:rFonts w:ascii="Times New Roman" w:hAnsi="Times New Roman"/>
                <w:sz w:val="24"/>
              </w:rPr>
              <w:t xml:space="preserve">Fixed Rate – Early </w:t>
            </w:r>
            <w:r w:rsidR="00806501">
              <w:rPr>
                <w:rStyle w:val="InstructionsTabelleberschrift"/>
                <w:rFonts w:ascii="Times New Roman" w:hAnsi="Times New Roman"/>
                <w:sz w:val="24"/>
              </w:rPr>
              <w:t>r</w:t>
            </w:r>
            <w:r w:rsidRPr="00FD77DC">
              <w:rPr>
                <w:rStyle w:val="InstructionsTabelleberschrift"/>
                <w:rFonts w:ascii="Times New Roman" w:hAnsi="Times New Roman"/>
                <w:sz w:val="24"/>
              </w:rPr>
              <w:t>edemption risk - Early redemp</w:t>
            </w:r>
            <w:r w:rsidR="000A2943">
              <w:rPr>
                <w:rStyle w:val="InstructionsTabelleberschrift"/>
                <w:rFonts w:ascii="Times New Roman" w:hAnsi="Times New Roman"/>
                <w:sz w:val="24"/>
              </w:rPr>
              <w:t>t</w:t>
            </w:r>
            <w:r w:rsidRPr="00FD77DC">
              <w:rPr>
                <w:rStyle w:val="InstructionsTabelleberschrift"/>
                <w:rFonts w:ascii="Times New Roman" w:hAnsi="Times New Roman"/>
                <w:sz w:val="24"/>
              </w:rPr>
              <w:t>ion rates (cumulative average)</w:t>
            </w:r>
          </w:p>
          <w:p w14:paraId="34980BF9" w14:textId="6CFF5652" w:rsidR="00B87342" w:rsidRPr="00FD77DC" w:rsidRDefault="00950563" w:rsidP="0001573B">
            <w:pPr>
              <w:pStyle w:val="InstructionsText"/>
              <w:rPr>
                <w:rStyle w:val="InstructionsTabelleberschrift"/>
                <w:rFonts w:ascii="Times New Roman" w:hAnsi="Times New Roman"/>
                <w:b w:val="0"/>
                <w:bCs w:val="0"/>
                <w:sz w:val="24"/>
                <w:u w:val="none"/>
              </w:rPr>
            </w:pPr>
            <w:r w:rsidRPr="00FD77DC">
              <w:rPr>
                <w:rStyle w:val="FormatvorlageInstructionsTabelleText"/>
                <w:rFonts w:ascii="Times New Roman" w:hAnsi="Times New Roman"/>
                <w:bCs w:val="0"/>
                <w:sz w:val="24"/>
              </w:rPr>
              <w:t>The</w:t>
            </w:r>
            <w:r w:rsidRPr="00FD77DC">
              <w:rPr>
                <w:rStyle w:val="FormatvorlageInstructionsTabelleText"/>
                <w:rFonts w:ascii="Times New Roman" w:hAnsi="Times New Roman"/>
                <w:b/>
                <w:sz w:val="24"/>
              </w:rPr>
              <w:t xml:space="preserve"> </w:t>
            </w:r>
            <w:r w:rsidRPr="00FD77DC">
              <w:rPr>
                <w:rStyle w:val="FormatvorlageInstructionsTabelleText"/>
                <w:rFonts w:ascii="Times New Roman" w:hAnsi="Times New Roman"/>
                <w:sz w:val="24"/>
              </w:rPr>
              <w:t>cumulative</w:t>
            </w:r>
            <w:r w:rsidRPr="00FD77DC">
              <w:rPr>
                <w:rStyle w:val="FormatvorlageInstructionsTabelleText"/>
                <w:rFonts w:ascii="Times New Roman" w:hAnsi="Times New Roman"/>
                <w:b/>
                <w:sz w:val="24"/>
              </w:rPr>
              <w:t xml:space="preserve"> </w:t>
            </w:r>
            <w:r w:rsidRPr="00FD77DC">
              <w:rPr>
                <w:rStyle w:val="FormatvorlageInstructionsTabelleText"/>
                <w:rFonts w:ascii="Times New Roman" w:hAnsi="Times New Roman"/>
                <w:bCs w:val="0"/>
                <w:sz w:val="24"/>
              </w:rPr>
              <w:t xml:space="preserve">average conditional early redemption rate shall be reported per relevant category, as specified </w:t>
            </w:r>
            <w:r w:rsidRPr="00D42678">
              <w:rPr>
                <w:rStyle w:val="FormatvorlageInstructionsTabelleText"/>
                <w:rFonts w:ascii="Times New Roman" w:hAnsi="Times New Roman"/>
                <w:bCs w:val="0"/>
                <w:sz w:val="24"/>
              </w:rPr>
              <w:t xml:space="preserve">in </w:t>
            </w:r>
            <w:r w:rsidR="00D27ECE">
              <w:rPr>
                <w:rStyle w:val="FormatvorlageInstructionsTabelleText"/>
                <w:rFonts w:ascii="Times New Roman" w:hAnsi="Times New Roman"/>
                <w:bCs w:val="0"/>
                <w:sz w:val="24"/>
              </w:rPr>
              <w:t xml:space="preserve">Part I, </w:t>
            </w:r>
            <w:r w:rsidRPr="00F61C06">
              <w:t xml:space="preserve">section </w:t>
            </w:r>
            <w:r w:rsidRPr="00F61C06">
              <w:fldChar w:fldCharType="begin"/>
            </w:r>
            <w:r w:rsidRPr="00F61C06">
              <w:instrText xml:space="preserve"> REF _Ref119418268 \r \h  \* MERGEFORMAT </w:instrText>
            </w:r>
            <w:r w:rsidRPr="00F61C06">
              <w:fldChar w:fldCharType="separate"/>
            </w:r>
            <w:r w:rsidR="004049B3">
              <w:t>11</w:t>
            </w:r>
            <w:r w:rsidRPr="00F61C06">
              <w:fldChar w:fldCharType="end"/>
            </w:r>
            <w:r w:rsidRPr="00D42678">
              <w:t xml:space="preserve"> of this Annex</w:t>
            </w:r>
            <w:r w:rsidRPr="00FD77DC">
              <w:rPr>
                <w:rStyle w:val="FormatvorlageInstructionsTabelleText"/>
                <w:rFonts w:ascii="Times New Roman" w:hAnsi="Times New Roman"/>
                <w:bCs w:val="0"/>
                <w:sz w:val="24"/>
              </w:rPr>
              <w:t xml:space="preserve">, as the ratio between the </w:t>
            </w:r>
            <w:r>
              <w:rPr>
                <w:rStyle w:val="FormatvorlageInstructionsTabelleText"/>
                <w:rFonts w:ascii="Times New Roman" w:hAnsi="Times New Roman"/>
                <w:bCs w:val="0"/>
                <w:sz w:val="24"/>
              </w:rPr>
              <w:t>early redeemed</w:t>
            </w:r>
            <w:r w:rsidRPr="00FD77DC">
              <w:rPr>
                <w:rStyle w:val="FormatvorlageInstructionsTabelleText"/>
                <w:rFonts w:ascii="Times New Roman" w:hAnsi="Times New Roman"/>
                <w:bCs w:val="0"/>
                <w:sz w:val="24"/>
              </w:rPr>
              <w:t xml:space="preserve"> amount of fixed rate ‘</w:t>
            </w:r>
            <w:r w:rsidR="00170E37">
              <w:rPr>
                <w:rStyle w:val="FormatvorlageInstructionsTabelleText"/>
                <w:rFonts w:ascii="Times New Roman" w:hAnsi="Times New Roman"/>
                <w:bCs w:val="0"/>
                <w:sz w:val="24"/>
              </w:rPr>
              <w:t>t</w:t>
            </w:r>
            <w:r w:rsidR="00170E37" w:rsidRPr="00FD77DC">
              <w:rPr>
                <w:rStyle w:val="FormatvorlageInstructionsTabelleText"/>
                <w:rFonts w:ascii="Times New Roman" w:hAnsi="Times New Roman"/>
                <w:bCs w:val="0"/>
                <w:sz w:val="24"/>
              </w:rPr>
              <w:t xml:space="preserve">erm </w:t>
            </w:r>
            <w:r w:rsidRPr="00FD77DC">
              <w:rPr>
                <w:rStyle w:val="FormatvorlageInstructionsTabelleText"/>
                <w:rFonts w:ascii="Times New Roman" w:hAnsi="Times New Roman"/>
                <w:bCs w:val="0"/>
                <w:sz w:val="24"/>
              </w:rPr>
              <w:t>deposit’ positions subject to early redemption risk (per relevant category), divided by the overall outstanding amount of fixed rate ‘Term deposits’ subject to early redemption risk (per relevant category).</w:t>
            </w:r>
          </w:p>
        </w:tc>
      </w:tr>
    </w:tbl>
    <w:p w14:paraId="477588BE" w14:textId="77777777" w:rsidR="0074085C" w:rsidRDefault="0074085C" w:rsidP="0074085C">
      <w:pPr>
        <w:spacing w:after="0"/>
        <w:rPr>
          <w:rStyle w:val="InstructionsTabelleText"/>
          <w:rFonts w:ascii="Times New Roman" w:hAnsi="Times New Roman"/>
          <w:sz w:val="24"/>
        </w:rPr>
      </w:pPr>
    </w:p>
    <w:p w14:paraId="3D10AEE0" w14:textId="77777777" w:rsidR="0074085C" w:rsidRPr="00EC067D" w:rsidRDefault="0074085C" w:rsidP="0074085C">
      <w:pPr>
        <w:spacing w:after="0"/>
        <w:rPr>
          <w:rStyle w:val="InstructionsTabelleText"/>
          <w:rFonts w:ascii="Times New Roman" w:hAnsi="Times New Roman"/>
          <w:sz w:val="24"/>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5B10B8" w:rsidRPr="00EC067D" w14:paraId="0DA0B8E7" w14:textId="77777777" w:rsidTr="63452C95">
        <w:tc>
          <w:tcPr>
            <w:tcW w:w="1129" w:type="dxa"/>
            <w:shd w:val="clear" w:color="auto" w:fill="D9D9D9" w:themeFill="background1" w:themeFillShade="D9"/>
          </w:tcPr>
          <w:p w14:paraId="12788917" w14:textId="77777777" w:rsidR="005B10B8" w:rsidRPr="00EC067D" w:rsidRDefault="005B10B8" w:rsidP="0001573B">
            <w:pPr>
              <w:pStyle w:val="InstructionsText"/>
              <w:rPr>
                <w:rStyle w:val="InstructionsTabelleText"/>
                <w:rFonts w:ascii="Times New Roman" w:hAnsi="Times New Roman"/>
                <w:bCs/>
                <w:sz w:val="24"/>
                <w:lang w:eastAsia="en-US"/>
              </w:rPr>
            </w:pPr>
            <w:r>
              <w:rPr>
                <w:rStyle w:val="InstructionsTabelleText"/>
                <w:rFonts w:ascii="Times New Roman" w:hAnsi="Times New Roman"/>
                <w:sz w:val="24"/>
              </w:rPr>
              <w:t>Columns</w:t>
            </w:r>
          </w:p>
        </w:tc>
        <w:tc>
          <w:tcPr>
            <w:tcW w:w="7620" w:type="dxa"/>
            <w:shd w:val="clear" w:color="auto" w:fill="D9D9D9" w:themeFill="background1" w:themeFillShade="D9"/>
          </w:tcPr>
          <w:p w14:paraId="353000F0" w14:textId="77777777" w:rsidR="005B10B8" w:rsidRPr="00EC067D" w:rsidRDefault="005B10B8" w:rsidP="0001573B">
            <w:pPr>
              <w:pStyle w:val="InstructionsText"/>
              <w:rPr>
                <w:rStyle w:val="InstructionsTabelleText"/>
                <w:rFonts w:ascii="Times New Roman" w:hAnsi="Times New Roman"/>
                <w:bCs/>
                <w:sz w:val="24"/>
                <w:lang w:eastAsia="en-US"/>
              </w:rPr>
            </w:pPr>
            <w:r w:rsidRPr="00EC067D">
              <w:rPr>
                <w:rStyle w:val="InstructionsTabelleText"/>
                <w:rFonts w:ascii="Times New Roman" w:hAnsi="Times New Roman"/>
                <w:sz w:val="24"/>
              </w:rPr>
              <w:t>Legal references and instructions</w:t>
            </w:r>
          </w:p>
        </w:tc>
      </w:tr>
      <w:tr w:rsidR="00F47983" w:rsidRPr="00EC067D" w:rsidDel="00F47983" w14:paraId="4C4CB1B5" w14:textId="77777777" w:rsidTr="63452C95">
        <w:tc>
          <w:tcPr>
            <w:tcW w:w="1129" w:type="dxa"/>
          </w:tcPr>
          <w:p w14:paraId="62C284D6" w14:textId="7940C70E" w:rsidR="00F47983" w:rsidDel="00F47983" w:rsidRDefault="00F47983"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0010</w:t>
            </w:r>
          </w:p>
        </w:tc>
        <w:tc>
          <w:tcPr>
            <w:tcW w:w="7620" w:type="dxa"/>
          </w:tcPr>
          <w:p w14:paraId="2118B900" w14:textId="77777777" w:rsidR="00F47983" w:rsidRDefault="00F47983" w:rsidP="0001573B">
            <w:pPr>
              <w:pStyle w:val="InstructionsText"/>
              <w:rPr>
                <w:rStyle w:val="InstructionsTabelleberschrift"/>
                <w:rFonts w:ascii="Times New Roman" w:hAnsi="Times New Roman"/>
                <w:sz w:val="24"/>
              </w:rPr>
            </w:pPr>
            <w:r>
              <w:rPr>
                <w:rStyle w:val="InstructionsTabelleberschrift"/>
                <w:rFonts w:ascii="Times New Roman" w:hAnsi="Times New Roman"/>
                <w:sz w:val="24"/>
              </w:rPr>
              <w:t>Notional</w:t>
            </w:r>
            <w:r w:rsidR="00DA1EC5">
              <w:rPr>
                <w:rStyle w:val="InstructionsTabelleberschrift"/>
                <w:rFonts w:ascii="Times New Roman" w:hAnsi="Times New Roman"/>
                <w:sz w:val="24"/>
              </w:rPr>
              <w:t xml:space="preserve"> amount</w:t>
            </w:r>
          </w:p>
          <w:p w14:paraId="5B6EFF80" w14:textId="5E9934E5" w:rsidR="00F47983" w:rsidRPr="63452C95" w:rsidDel="00F47983" w:rsidRDefault="004F47D0"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 xml:space="preserve">J </w:t>
            </w:r>
            <w:r w:rsidR="007B576C">
              <w:t>05</w:t>
            </w:r>
            <w:r>
              <w:t>.00</w:t>
            </w:r>
            <w:r w:rsidRPr="000B6B22">
              <w:t xml:space="preserve">; </w:t>
            </w:r>
            <w:r w:rsidR="00054466">
              <w:t>c</w:t>
            </w:r>
            <w:r>
              <w:t>00</w:t>
            </w:r>
            <w:r w:rsidR="00054466">
              <w:t>1</w:t>
            </w:r>
            <w:r>
              <w:t>0}.</w:t>
            </w:r>
          </w:p>
        </w:tc>
      </w:tr>
      <w:tr w:rsidR="005B10B8" w14:paraId="102216EE" w14:textId="77777777" w:rsidTr="63452C95">
        <w:tc>
          <w:tcPr>
            <w:tcW w:w="1129" w:type="dxa"/>
          </w:tcPr>
          <w:p w14:paraId="5DE0749C" w14:textId="01F50747" w:rsidR="005B10B8" w:rsidRDefault="005B10B8"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w:t>
            </w:r>
            <w:r w:rsidR="003D5E1F">
              <w:rPr>
                <w:rStyle w:val="FormatvorlageInstructionsTabelleText"/>
                <w:rFonts w:ascii="Times New Roman" w:hAnsi="Times New Roman"/>
                <w:sz w:val="24"/>
              </w:rPr>
              <w:t>20</w:t>
            </w:r>
          </w:p>
        </w:tc>
        <w:tc>
          <w:tcPr>
            <w:tcW w:w="7620" w:type="dxa"/>
          </w:tcPr>
          <w:p w14:paraId="46BCBBB4" w14:textId="77777777" w:rsidR="00E62089" w:rsidRDefault="005B10B8" w:rsidP="0001573B">
            <w:pPr>
              <w:pStyle w:val="InstructionsText"/>
              <w:rPr>
                <w:rStyle w:val="InstructionsTabelleberschrift"/>
                <w:rFonts w:ascii="Times New Roman" w:hAnsi="Times New Roman"/>
                <w:b w:val="0"/>
                <w:bCs w:val="0"/>
                <w:sz w:val="24"/>
                <w:u w:val="none"/>
              </w:rPr>
            </w:pPr>
            <w:r w:rsidRPr="0074085C">
              <w:rPr>
                <w:rStyle w:val="InstructionsTabelleberschrift"/>
                <w:rFonts w:ascii="Times New Roman" w:hAnsi="Times New Roman"/>
                <w:sz w:val="24"/>
              </w:rPr>
              <w:t xml:space="preserve">Subject to </w:t>
            </w:r>
            <w:r w:rsidR="00D151E0">
              <w:rPr>
                <w:rStyle w:val="InstructionsTabelleberschrift"/>
                <w:rFonts w:ascii="Times New Roman" w:hAnsi="Times New Roman"/>
                <w:sz w:val="24"/>
              </w:rPr>
              <w:t>b</w:t>
            </w:r>
            <w:r w:rsidRPr="0074085C">
              <w:rPr>
                <w:rStyle w:val="InstructionsTabelleberschrift"/>
                <w:rFonts w:ascii="Times New Roman" w:hAnsi="Times New Roman"/>
                <w:sz w:val="24"/>
              </w:rPr>
              <w:t>ehavioural modelling (%)</w:t>
            </w:r>
            <w:r w:rsidR="00257473" w:rsidRPr="00257473">
              <w:rPr>
                <w:rStyle w:val="InstructionsTabelleberschrift"/>
                <w:rFonts w:ascii="Times New Roman" w:hAnsi="Times New Roman"/>
                <w:b w:val="0"/>
                <w:bCs w:val="0"/>
                <w:sz w:val="24"/>
                <w:u w:val="none"/>
              </w:rPr>
              <w:t xml:space="preserve"> </w:t>
            </w:r>
          </w:p>
          <w:p w14:paraId="516AFABD" w14:textId="368F2955" w:rsidR="005B10B8" w:rsidRPr="000F5488" w:rsidRDefault="0083437E" w:rsidP="0001573B">
            <w:pPr>
              <w:pStyle w:val="InstructionsText"/>
              <w:rPr>
                <w:rStyle w:val="InstructionsTabelleberschrift"/>
                <w:rFonts w:ascii="Times New Roman" w:hAnsi="Times New Roman"/>
                <w:b w:val="0"/>
                <w:sz w:val="24"/>
                <w:u w:val="none"/>
              </w:rPr>
            </w:pPr>
            <w:r>
              <w:t>Institutions shall follow the same instructions as described in</w:t>
            </w:r>
            <w:r w:rsidRPr="000B6B22">
              <w:t xml:space="preserve"> {</w:t>
            </w:r>
            <w:r>
              <w:t xml:space="preserve">J </w:t>
            </w:r>
            <w:r w:rsidR="007B576C">
              <w:t>05</w:t>
            </w:r>
            <w:r>
              <w:t>.00</w:t>
            </w:r>
            <w:r w:rsidRPr="000B6B22">
              <w:t xml:space="preserve">; </w:t>
            </w:r>
            <w:r>
              <w:t>c0040}.</w:t>
            </w:r>
          </w:p>
        </w:tc>
      </w:tr>
      <w:tr w:rsidR="005B10B8" w:rsidRPr="000C3B64" w14:paraId="42F754E3" w14:textId="77777777" w:rsidTr="63452C95">
        <w:tc>
          <w:tcPr>
            <w:tcW w:w="1129" w:type="dxa"/>
          </w:tcPr>
          <w:p w14:paraId="70F3C500" w14:textId="1658EE49" w:rsidR="005B10B8" w:rsidRPr="00EC067D" w:rsidRDefault="005B10B8"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w:t>
            </w:r>
            <w:r w:rsidR="00BF5106">
              <w:rPr>
                <w:rStyle w:val="FormatvorlageInstructionsTabelleText"/>
                <w:rFonts w:ascii="Times New Roman" w:hAnsi="Times New Roman"/>
                <w:sz w:val="24"/>
              </w:rPr>
              <w:t>3</w:t>
            </w:r>
            <w:r w:rsidR="00C7768F">
              <w:rPr>
                <w:rStyle w:val="FormatvorlageInstructionsTabelleText"/>
                <w:rFonts w:ascii="Times New Roman" w:hAnsi="Times New Roman"/>
                <w:sz w:val="24"/>
              </w:rPr>
              <w:t>0</w:t>
            </w:r>
          </w:p>
        </w:tc>
        <w:tc>
          <w:tcPr>
            <w:tcW w:w="7620" w:type="dxa"/>
          </w:tcPr>
          <w:p w14:paraId="52D99519" w14:textId="6F2418B4" w:rsidR="005B10B8" w:rsidRDefault="005B10B8" w:rsidP="0001573B">
            <w:pPr>
              <w:pStyle w:val="InstructionsText"/>
              <w:rPr>
                <w:rStyle w:val="InstructionsTabelleberschrift"/>
                <w:rFonts w:ascii="Times New Roman" w:hAnsi="Times New Roman"/>
                <w:sz w:val="24"/>
              </w:rPr>
            </w:pPr>
            <w:r w:rsidRPr="00561EB7">
              <w:rPr>
                <w:rStyle w:val="InstructionsTabelleberschrift"/>
                <w:rFonts w:ascii="Times New Roman" w:hAnsi="Times New Roman"/>
                <w:sz w:val="24"/>
              </w:rPr>
              <w:t xml:space="preserve">Baseline </w:t>
            </w:r>
            <w:r w:rsidR="00D151E0">
              <w:rPr>
                <w:rStyle w:val="InstructionsTabelleberschrift"/>
                <w:rFonts w:ascii="Times New Roman" w:hAnsi="Times New Roman"/>
                <w:sz w:val="24"/>
              </w:rPr>
              <w:t>s</w:t>
            </w:r>
            <w:r w:rsidRPr="00561EB7">
              <w:rPr>
                <w:rStyle w:val="InstructionsTabelleberschrift"/>
                <w:rFonts w:ascii="Times New Roman" w:hAnsi="Times New Roman"/>
                <w:sz w:val="24"/>
              </w:rPr>
              <w:t>cenario (contractual)</w:t>
            </w:r>
          </w:p>
          <w:p w14:paraId="3844FF21" w14:textId="29835F5D" w:rsidR="003D25AF" w:rsidRPr="00385352" w:rsidRDefault="003D25AF" w:rsidP="0001573B">
            <w:pPr>
              <w:pStyle w:val="InstructionsText"/>
              <w:rPr>
                <w:rStyle w:val="FormatvorlageInstructionsTabelleText"/>
                <w:rFonts w:ascii="Times New Roman" w:hAnsi="Times New Roman"/>
                <w:sz w:val="24"/>
              </w:rPr>
            </w:pPr>
            <w:r w:rsidRPr="0024610F">
              <w:rPr>
                <w:rStyle w:val="FormatvorlageInstructionsTabelleText"/>
                <w:rFonts w:ascii="Times New Roman" w:hAnsi="Times New Roman"/>
                <w:bCs w:val="0"/>
                <w:sz w:val="24"/>
              </w:rPr>
              <w:t xml:space="preserve">Institutions shall provide the </w:t>
            </w:r>
            <w:r>
              <w:rPr>
                <w:rStyle w:val="FormatvorlageInstructionsTabelleText"/>
                <w:rFonts w:ascii="Times New Roman" w:hAnsi="Times New Roman"/>
                <w:bCs w:val="0"/>
                <w:sz w:val="24"/>
              </w:rPr>
              <w:t>relevant parameters (i.e</w:t>
            </w:r>
            <w:r w:rsidR="00935C83">
              <w:rPr>
                <w:rStyle w:val="FormatvorlageInstructionsTabelleText"/>
                <w:rFonts w:ascii="Times New Roman" w:hAnsi="Times New Roman"/>
                <w:bCs w:val="0"/>
                <w:sz w:val="24"/>
              </w:rPr>
              <w:t>.</w:t>
            </w:r>
            <w:r>
              <w:rPr>
                <w:rStyle w:val="FormatvorlageInstructionsTabelleText"/>
                <w:rFonts w:ascii="Times New Roman" w:hAnsi="Times New Roman"/>
                <w:bCs w:val="0"/>
                <w:sz w:val="24"/>
              </w:rPr>
              <w:t xml:space="preserve"> average repricing dates</w:t>
            </w:r>
            <w:r w:rsidRPr="0024610F">
              <w:rPr>
                <w:rStyle w:val="FormatvorlageInstructionsTabelleText"/>
                <w:rFonts w:ascii="Times New Roman" w:hAnsi="Times New Roman"/>
                <w:bCs w:val="0"/>
                <w:sz w:val="24"/>
              </w:rPr>
              <w:t xml:space="preserve">) </w:t>
            </w:r>
            <w:r>
              <w:rPr>
                <w:rStyle w:val="FormatvorlageInstructionsTabelleText"/>
                <w:rFonts w:ascii="Times New Roman" w:hAnsi="Times New Roman"/>
                <w:bCs w:val="0"/>
                <w:sz w:val="24"/>
              </w:rPr>
              <w:t>according to the contractual conditions of the underlying instruments</w:t>
            </w:r>
            <w:r>
              <w:rPr>
                <w:rStyle w:val="InstructionsTabelleberschrift"/>
                <w:rFonts w:ascii="Times New Roman" w:hAnsi="Times New Roman"/>
                <w:b w:val="0"/>
                <w:sz w:val="24"/>
                <w:u w:val="none"/>
              </w:rPr>
              <w:t xml:space="preserve"> for exposures subject to contractual</w:t>
            </w:r>
            <w:r w:rsidRPr="00385CE1">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 xml:space="preserve">terms and features, </w:t>
            </w:r>
            <w:r w:rsidRPr="00385CE1">
              <w:rPr>
                <w:rStyle w:val="InstructionsTabelleberschrift"/>
                <w:rFonts w:ascii="Times New Roman" w:hAnsi="Times New Roman"/>
                <w:b w:val="0"/>
                <w:sz w:val="24"/>
                <w:u w:val="none"/>
              </w:rPr>
              <w:t xml:space="preserve">under the baseline </w:t>
            </w:r>
            <w:r>
              <w:rPr>
                <w:rStyle w:val="InstructionsTabelleberschrift"/>
                <w:rFonts w:ascii="Times New Roman" w:hAnsi="Times New Roman"/>
                <w:b w:val="0"/>
                <w:sz w:val="24"/>
                <w:u w:val="none"/>
              </w:rPr>
              <w:t xml:space="preserve">interest rate </w:t>
            </w:r>
            <w:r w:rsidRPr="00385CE1">
              <w:rPr>
                <w:rStyle w:val="InstructionsTabelleberschrift"/>
                <w:rFonts w:ascii="Times New Roman" w:hAnsi="Times New Roman"/>
                <w:b w:val="0"/>
                <w:sz w:val="24"/>
                <w:u w:val="none"/>
              </w:rPr>
              <w:t>scenario</w:t>
            </w:r>
            <w:r>
              <w:rPr>
                <w:rStyle w:val="FormatvorlageInstructionsTabelleText"/>
                <w:rFonts w:ascii="Times New Roman" w:hAnsi="Times New Roman"/>
                <w:bCs w:val="0"/>
                <w:sz w:val="24"/>
              </w:rPr>
              <w:t xml:space="preserve">. </w:t>
            </w:r>
          </w:p>
          <w:p w14:paraId="49FC7605" w14:textId="49FDDC12" w:rsidR="003D25AF" w:rsidRDefault="003D25AF" w:rsidP="0001573B">
            <w:pPr>
              <w:pStyle w:val="InstructionsText"/>
              <w:rPr>
                <w:rStyle w:val="FormatvorlageInstructionsTabelleText"/>
                <w:rFonts w:ascii="Times New Roman" w:hAnsi="Times New Roman"/>
                <w:bCs w:val="0"/>
                <w:sz w:val="24"/>
              </w:rPr>
            </w:pPr>
            <w:r>
              <w:rPr>
                <w:rStyle w:val="InstructionsTabelleberschrift"/>
                <w:rFonts w:ascii="Times New Roman" w:hAnsi="Times New Roman"/>
                <w:b w:val="0"/>
                <w:sz w:val="24"/>
                <w:u w:val="none"/>
              </w:rPr>
              <w:t>Institutions sh</w:t>
            </w:r>
            <w:r w:rsidR="00F92A4E">
              <w:rPr>
                <w:rStyle w:val="InstructionsTabelleberschrift"/>
                <w:rFonts w:ascii="Times New Roman" w:hAnsi="Times New Roman"/>
                <w:b w:val="0"/>
                <w:sz w:val="24"/>
                <w:u w:val="none"/>
              </w:rPr>
              <w:t>all</w:t>
            </w:r>
            <w:r>
              <w:rPr>
                <w:rStyle w:val="InstructionsTabelleberschrift"/>
                <w:rFonts w:ascii="Times New Roman" w:hAnsi="Times New Roman"/>
                <w:b w:val="0"/>
                <w:sz w:val="24"/>
                <w:u w:val="none"/>
              </w:rPr>
              <w:t xml:space="preserve"> report data considering the specifications </w:t>
            </w:r>
            <w:r w:rsidRPr="0086684B">
              <w:rPr>
                <w:rStyle w:val="InstructionsTabelleberschrift"/>
                <w:rFonts w:ascii="Times New Roman" w:hAnsi="Times New Roman"/>
                <w:b w:val="0"/>
                <w:sz w:val="24"/>
                <w:u w:val="none"/>
              </w:rPr>
              <w:t>defined in Article 98(5)(</w:t>
            </w:r>
            <w:r>
              <w:rPr>
                <w:rStyle w:val="InstructionsTabelleberschrift"/>
                <w:rFonts w:ascii="Times New Roman" w:hAnsi="Times New Roman"/>
                <w:b w:val="0"/>
                <w:sz w:val="24"/>
                <w:u w:val="none"/>
              </w:rPr>
              <w:t>a</w:t>
            </w:r>
            <w:r w:rsidRPr="0086684B">
              <w:rPr>
                <w:rStyle w:val="InstructionsTabelleberschrift"/>
                <w:rFonts w:ascii="Times New Roman" w:hAnsi="Times New Roman"/>
                <w:b w:val="0"/>
                <w:sz w:val="24"/>
                <w:u w:val="none"/>
              </w:rPr>
              <w:t xml:space="preserve">) of </w:t>
            </w:r>
            <w:r>
              <w:rPr>
                <w:rStyle w:val="InstructionsTabelleberschrift"/>
                <w:rFonts w:ascii="Times New Roman" w:hAnsi="Times New Roman"/>
                <w:b w:val="0"/>
                <w:sz w:val="24"/>
                <w:u w:val="none"/>
              </w:rPr>
              <w:t>CRD</w:t>
            </w:r>
            <w:r w:rsidRPr="0086684B">
              <w:rPr>
                <w:rStyle w:val="InstructionsTabelleberschrift"/>
                <w:rFonts w:ascii="Times New Roman" w:hAnsi="Times New Roman"/>
                <w:b w:val="0"/>
                <w:sz w:val="24"/>
                <w:u w:val="none"/>
              </w:rPr>
              <w:t xml:space="preserve"> and specified under Article </w:t>
            </w:r>
            <w:r>
              <w:rPr>
                <w:rStyle w:val="InstructionsTabelleberschrift"/>
                <w:rFonts w:ascii="Times New Roman" w:hAnsi="Times New Roman"/>
                <w:b w:val="0"/>
                <w:sz w:val="24"/>
                <w:u w:val="none"/>
              </w:rPr>
              <w:t>4</w:t>
            </w:r>
            <w:r w:rsidRPr="0086684B">
              <w:rPr>
                <w:rStyle w:val="InstructionsTabelleberschrift"/>
                <w:rFonts w:ascii="Times New Roman" w:hAnsi="Times New Roman"/>
                <w:b w:val="0"/>
                <w:sz w:val="24"/>
                <w:u w:val="none"/>
              </w:rPr>
              <w:t xml:space="preserve"> of the </w:t>
            </w:r>
            <w:r w:rsidRPr="00EE5ABE">
              <w:rPr>
                <w:rStyle w:val="FormatvorlageInstructionsTabelleText"/>
                <w:rFonts w:ascii="Times New Roman" w:hAnsi="Times New Roman"/>
                <w:bCs w:val="0"/>
                <w:sz w:val="24"/>
                <w:highlight w:val="lightGray"/>
              </w:rPr>
              <w:t>EBA RTS on S</w:t>
            </w:r>
            <w:r>
              <w:rPr>
                <w:rStyle w:val="FormatvorlageInstructionsTabelleText"/>
                <w:rFonts w:ascii="Times New Roman" w:hAnsi="Times New Roman"/>
                <w:bCs w:val="0"/>
                <w:sz w:val="24"/>
                <w:highlight w:val="lightGray"/>
              </w:rPr>
              <w:t>OT</w:t>
            </w:r>
            <w:r>
              <w:rPr>
                <w:rStyle w:val="FormatvorlageInstructionsTabelleText"/>
                <w:rFonts w:ascii="Times New Roman" w:hAnsi="Times New Roman"/>
                <w:bCs w:val="0"/>
                <w:sz w:val="24"/>
              </w:rPr>
              <w:t>.</w:t>
            </w:r>
          </w:p>
          <w:p w14:paraId="0039C2EB" w14:textId="62C540C6" w:rsidR="00A36E5F" w:rsidRPr="000C3B64" w:rsidRDefault="003D25AF" w:rsidP="0001573B">
            <w:pPr>
              <w:pStyle w:val="InstructionsText"/>
              <w:rPr>
                <w:rStyle w:val="InstructionsTabelleberschrift"/>
                <w:rFonts w:ascii="Times New Roman" w:hAnsi="Times New Roman"/>
                <w:b w:val="0"/>
                <w:sz w:val="24"/>
                <w:u w:val="none"/>
              </w:rPr>
            </w:pPr>
            <w:r>
              <w:rPr>
                <w:rStyle w:val="FormatvorlageInstructionsTabelleText"/>
                <w:rFonts w:ascii="Times New Roman" w:hAnsi="Times New Roman"/>
                <w:bCs w:val="0"/>
                <w:sz w:val="24"/>
              </w:rPr>
              <w:t>B</w:t>
            </w:r>
            <w:r w:rsidRPr="00FC1D5B">
              <w:rPr>
                <w:rStyle w:val="FormatvorlageInstructionsTabelleText"/>
                <w:rFonts w:ascii="Times New Roman" w:hAnsi="Times New Roman"/>
                <w:bCs w:val="0"/>
                <w:sz w:val="24"/>
              </w:rPr>
              <w:t>ehavio</w:t>
            </w:r>
            <w:r w:rsidR="00756982">
              <w:rPr>
                <w:rStyle w:val="FormatvorlageInstructionsTabelleText"/>
                <w:rFonts w:ascii="Times New Roman" w:hAnsi="Times New Roman"/>
                <w:bCs w:val="0"/>
                <w:sz w:val="24"/>
              </w:rPr>
              <w:t>u</w:t>
            </w:r>
            <w:r w:rsidRPr="00FC1D5B">
              <w:rPr>
                <w:rStyle w:val="FormatvorlageInstructionsTabelleText"/>
                <w:rFonts w:ascii="Times New Roman" w:hAnsi="Times New Roman"/>
                <w:bCs w:val="0"/>
                <w:sz w:val="24"/>
              </w:rPr>
              <w:t>ral models and</w:t>
            </w:r>
            <w:r>
              <w:rPr>
                <w:rStyle w:val="FormatvorlageInstructionsTabelleText"/>
                <w:rFonts w:ascii="Times New Roman" w:hAnsi="Times New Roman"/>
                <w:bCs w:val="0"/>
                <w:sz w:val="24"/>
              </w:rPr>
              <w:t>/or</w:t>
            </w:r>
            <w:r w:rsidRPr="00FC1D5B">
              <w:rPr>
                <w:rStyle w:val="FormatvorlageInstructionsTabelleText"/>
                <w:rFonts w:ascii="Times New Roman" w:hAnsi="Times New Roman"/>
                <w:bCs w:val="0"/>
                <w:sz w:val="24"/>
              </w:rPr>
              <w:t xml:space="preserve"> conditional models (as specified in Article 4(d) of the </w:t>
            </w:r>
            <w:r w:rsidRPr="00EE5ABE">
              <w:rPr>
                <w:rStyle w:val="FormatvorlageInstructionsTabelleText"/>
                <w:rFonts w:ascii="Times New Roman" w:hAnsi="Times New Roman"/>
                <w:bCs w:val="0"/>
                <w:sz w:val="24"/>
                <w:highlight w:val="lightGray"/>
              </w:rPr>
              <w:t>EBA RTS on S</w:t>
            </w:r>
            <w:r>
              <w:rPr>
                <w:rStyle w:val="FormatvorlageInstructionsTabelleText"/>
                <w:rFonts w:ascii="Times New Roman" w:hAnsi="Times New Roman"/>
                <w:bCs w:val="0"/>
                <w:sz w:val="24"/>
                <w:highlight w:val="lightGray"/>
              </w:rPr>
              <w:t>OT</w:t>
            </w:r>
            <w:r w:rsidRPr="00FC1D5B">
              <w:rPr>
                <w:rStyle w:val="FormatvorlageInstructionsTabelleText"/>
                <w:rFonts w:ascii="Times New Roman" w:hAnsi="Times New Roman"/>
                <w:bCs w:val="0"/>
                <w:sz w:val="24"/>
              </w:rPr>
              <w:t>)</w:t>
            </w:r>
            <w:r>
              <w:rPr>
                <w:rStyle w:val="FormatvorlageInstructionsTabelleText"/>
                <w:rFonts w:ascii="Times New Roman" w:hAnsi="Times New Roman"/>
                <w:bCs w:val="0"/>
                <w:sz w:val="24"/>
              </w:rPr>
              <w:t>, shall</w:t>
            </w:r>
            <w:r w:rsidRPr="00FC1D5B">
              <w:rPr>
                <w:rStyle w:val="FormatvorlageInstructionsTabelleText"/>
                <w:rFonts w:ascii="Times New Roman" w:hAnsi="Times New Roman"/>
                <w:bCs w:val="0"/>
                <w:sz w:val="24"/>
              </w:rPr>
              <w:t xml:space="preserve"> not be consi</w:t>
            </w:r>
            <w:r>
              <w:rPr>
                <w:rStyle w:val="FormatvorlageInstructionsTabelleText"/>
                <w:rFonts w:ascii="Times New Roman" w:hAnsi="Times New Roman"/>
                <w:bCs w:val="0"/>
                <w:sz w:val="24"/>
              </w:rPr>
              <w:t>dered for the purposes of deriving the parameters.</w:t>
            </w:r>
          </w:p>
        </w:tc>
      </w:tr>
      <w:tr w:rsidR="00B2164F" w:rsidRPr="005E6F71" w14:paraId="667D2C44" w14:textId="77777777" w:rsidTr="63452C95">
        <w:tc>
          <w:tcPr>
            <w:tcW w:w="1129" w:type="dxa"/>
          </w:tcPr>
          <w:p w14:paraId="2580660E" w14:textId="5AD3781B" w:rsidR="00B2164F" w:rsidRPr="00EC067D" w:rsidRDefault="00B2164F"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0040</w:t>
            </w:r>
          </w:p>
        </w:tc>
        <w:tc>
          <w:tcPr>
            <w:tcW w:w="7620" w:type="dxa"/>
          </w:tcPr>
          <w:p w14:paraId="000FABC9" w14:textId="2AF06EDD" w:rsidR="00B2164F" w:rsidRDefault="00B2164F" w:rsidP="0001573B">
            <w:pPr>
              <w:pStyle w:val="InstructionsText"/>
              <w:rPr>
                <w:rStyle w:val="InstructionsTabelleberschrift"/>
                <w:rFonts w:ascii="Times New Roman" w:hAnsi="Times New Roman"/>
                <w:sz w:val="24"/>
              </w:rPr>
            </w:pPr>
            <w:r w:rsidRPr="00561EB7">
              <w:rPr>
                <w:rStyle w:val="InstructionsTabelleberschrift"/>
                <w:rFonts w:ascii="Times New Roman" w:hAnsi="Times New Roman"/>
                <w:sz w:val="24"/>
              </w:rPr>
              <w:t xml:space="preserve">Baseline </w:t>
            </w:r>
            <w:r w:rsidR="00D151E0">
              <w:rPr>
                <w:rStyle w:val="InstructionsTabelleberschrift"/>
                <w:rFonts w:ascii="Times New Roman" w:hAnsi="Times New Roman"/>
                <w:sz w:val="24"/>
              </w:rPr>
              <w:t>s</w:t>
            </w:r>
            <w:r w:rsidRPr="00561EB7">
              <w:rPr>
                <w:rStyle w:val="InstructionsTabelleberschrift"/>
                <w:rFonts w:ascii="Times New Roman" w:hAnsi="Times New Roman"/>
                <w:sz w:val="24"/>
              </w:rPr>
              <w:t>cenario (behavioural)</w:t>
            </w:r>
          </w:p>
          <w:p w14:paraId="0577FD0F" w14:textId="5353BCF4" w:rsidR="00B2164F" w:rsidRDefault="00B2164F" w:rsidP="0001573B">
            <w:pPr>
              <w:pStyle w:val="InstructionsText"/>
              <w:rPr>
                <w:rStyle w:val="FormatvorlageInstructionsTabelleText"/>
                <w:rFonts w:ascii="Times New Roman" w:hAnsi="Times New Roman"/>
                <w:bCs w:val="0"/>
                <w:sz w:val="24"/>
              </w:rPr>
            </w:pPr>
            <w:r w:rsidRPr="0024610F">
              <w:rPr>
                <w:rStyle w:val="FormatvorlageInstructionsTabelleText"/>
                <w:rFonts w:ascii="Times New Roman" w:hAnsi="Times New Roman"/>
                <w:bCs w:val="0"/>
                <w:sz w:val="24"/>
              </w:rPr>
              <w:t xml:space="preserve">Institutions shall provide the relevant parameters </w:t>
            </w:r>
            <w:r w:rsidR="00FE31AA">
              <w:rPr>
                <w:rStyle w:val="FormatvorlageInstructionsTabelleText"/>
                <w:rFonts w:ascii="Times New Roman" w:hAnsi="Times New Roman"/>
                <w:bCs w:val="0"/>
                <w:sz w:val="24"/>
              </w:rPr>
              <w:t>(i.e</w:t>
            </w:r>
            <w:r w:rsidR="00935C83">
              <w:rPr>
                <w:rStyle w:val="FormatvorlageInstructionsTabelleText"/>
                <w:rFonts w:ascii="Times New Roman" w:hAnsi="Times New Roman"/>
                <w:bCs w:val="0"/>
                <w:sz w:val="24"/>
              </w:rPr>
              <w:t>.</w:t>
            </w:r>
            <w:r w:rsidR="00DF6AC5">
              <w:rPr>
                <w:rStyle w:val="FormatvorlageInstructionsTabelleText"/>
                <w:rFonts w:ascii="Times New Roman" w:hAnsi="Times New Roman"/>
                <w:bCs w:val="0"/>
                <w:sz w:val="24"/>
              </w:rPr>
              <w:t>,</w:t>
            </w:r>
            <w:r w:rsidR="00FE31AA">
              <w:rPr>
                <w:rStyle w:val="FormatvorlageInstructionsTabelleText"/>
                <w:rFonts w:ascii="Times New Roman" w:hAnsi="Times New Roman"/>
                <w:bCs w:val="0"/>
                <w:sz w:val="24"/>
              </w:rPr>
              <w:t xml:space="preserve"> average repricing dates</w:t>
            </w:r>
            <w:r w:rsidR="00FE31AA" w:rsidRPr="0024610F">
              <w:rPr>
                <w:rStyle w:val="FormatvorlageInstructionsTabelleText"/>
                <w:rFonts w:ascii="Times New Roman" w:hAnsi="Times New Roman"/>
                <w:bCs w:val="0"/>
                <w:sz w:val="24"/>
              </w:rPr>
              <w:t xml:space="preserve">) </w:t>
            </w:r>
            <w:r w:rsidRPr="0024610F">
              <w:rPr>
                <w:rStyle w:val="FormatvorlageInstructionsTabelleText"/>
                <w:rFonts w:ascii="Times New Roman" w:hAnsi="Times New Roman"/>
                <w:bCs w:val="0"/>
                <w:sz w:val="24"/>
              </w:rPr>
              <w:t xml:space="preserve">used </w:t>
            </w:r>
            <w:r>
              <w:rPr>
                <w:rStyle w:val="InstructionsTabelleberschrift"/>
                <w:rFonts w:ascii="Times New Roman" w:hAnsi="Times New Roman"/>
                <w:b w:val="0"/>
                <w:sz w:val="24"/>
                <w:u w:val="none"/>
              </w:rPr>
              <w:t xml:space="preserve">for exposures subject to </w:t>
            </w:r>
            <w:r w:rsidRPr="00FE4FFA">
              <w:rPr>
                <w:rStyle w:val="InstructionsTabelleberschrift"/>
                <w:rFonts w:ascii="Times New Roman" w:hAnsi="Times New Roman"/>
                <w:b w:val="0"/>
                <w:sz w:val="24"/>
                <w:u w:val="none"/>
              </w:rPr>
              <w:t>behavioural modelling</w:t>
            </w:r>
            <w:r>
              <w:rPr>
                <w:rStyle w:val="InstructionsTabelleberschrift"/>
                <w:rFonts w:ascii="Times New Roman" w:hAnsi="Times New Roman"/>
                <w:b w:val="0"/>
                <w:sz w:val="24"/>
                <w:u w:val="none"/>
              </w:rPr>
              <w:t xml:space="preserve">, for which </w:t>
            </w:r>
            <w:r w:rsidRPr="001A1A03">
              <w:rPr>
                <w:rStyle w:val="InstructionsTabelleberschrift"/>
                <w:rFonts w:ascii="Times New Roman" w:hAnsi="Times New Roman"/>
                <w:b w:val="0"/>
                <w:sz w:val="24"/>
                <w:u w:val="none"/>
              </w:rPr>
              <w:t>the timing and amount of the cash flows depend on the behaviour of customers</w:t>
            </w:r>
            <w:r>
              <w:rPr>
                <w:rStyle w:val="InstructionsTabelleberschrift"/>
                <w:rFonts w:ascii="Times New Roman" w:hAnsi="Times New Roman"/>
                <w:b w:val="0"/>
                <w:sz w:val="24"/>
                <w:u w:val="none"/>
              </w:rPr>
              <w:t xml:space="preserve">, </w:t>
            </w:r>
            <w:r w:rsidRPr="00385CE1">
              <w:rPr>
                <w:rStyle w:val="InstructionsTabelleberschrift"/>
                <w:rFonts w:ascii="Times New Roman" w:hAnsi="Times New Roman"/>
                <w:b w:val="0"/>
                <w:sz w:val="24"/>
                <w:u w:val="none"/>
              </w:rPr>
              <w:t xml:space="preserve">under the baseline </w:t>
            </w:r>
            <w:r>
              <w:rPr>
                <w:rStyle w:val="InstructionsTabelleberschrift"/>
                <w:rFonts w:ascii="Times New Roman" w:hAnsi="Times New Roman"/>
                <w:b w:val="0"/>
                <w:sz w:val="24"/>
                <w:u w:val="none"/>
              </w:rPr>
              <w:t>interest rate scenario</w:t>
            </w:r>
            <w:r>
              <w:rPr>
                <w:rStyle w:val="FormatvorlageInstructionsTabelleText"/>
                <w:rFonts w:ascii="Times New Roman" w:hAnsi="Times New Roman"/>
                <w:bCs w:val="0"/>
                <w:sz w:val="24"/>
              </w:rPr>
              <w:t xml:space="preserve">. </w:t>
            </w:r>
          </w:p>
          <w:p w14:paraId="7A4FE7D1" w14:textId="58E451CE" w:rsidR="00B2164F" w:rsidRPr="005E6F71" w:rsidRDefault="00B2164F"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sz w:val="24"/>
                <w:u w:val="none"/>
              </w:rPr>
              <w:t xml:space="preserve">Institutions </w:t>
            </w:r>
            <w:r w:rsidR="00EC2356">
              <w:rPr>
                <w:rStyle w:val="InstructionsTabelleberschrift"/>
                <w:rFonts w:ascii="Times New Roman" w:hAnsi="Times New Roman"/>
                <w:b w:val="0"/>
                <w:sz w:val="24"/>
                <w:u w:val="none"/>
              </w:rPr>
              <w:t>shall</w:t>
            </w:r>
            <w:r>
              <w:rPr>
                <w:rStyle w:val="InstructionsTabelleberschrift"/>
                <w:rFonts w:ascii="Times New Roman" w:hAnsi="Times New Roman"/>
                <w:b w:val="0"/>
                <w:sz w:val="24"/>
                <w:u w:val="none"/>
              </w:rPr>
              <w:t xml:space="preserve"> report data considering the specifications </w:t>
            </w:r>
            <w:r w:rsidRPr="0086684B">
              <w:rPr>
                <w:rStyle w:val="InstructionsTabelleberschrift"/>
                <w:rFonts w:ascii="Times New Roman" w:hAnsi="Times New Roman"/>
                <w:b w:val="0"/>
                <w:sz w:val="24"/>
                <w:u w:val="none"/>
              </w:rPr>
              <w:t>defined in Article 98(5)(</w:t>
            </w:r>
            <w:r>
              <w:rPr>
                <w:rStyle w:val="InstructionsTabelleberschrift"/>
                <w:rFonts w:ascii="Times New Roman" w:hAnsi="Times New Roman"/>
                <w:b w:val="0"/>
                <w:sz w:val="24"/>
                <w:u w:val="none"/>
              </w:rPr>
              <w:t>a</w:t>
            </w:r>
            <w:r w:rsidRPr="0086684B">
              <w:rPr>
                <w:rStyle w:val="InstructionsTabelleberschrift"/>
                <w:rFonts w:ascii="Times New Roman" w:hAnsi="Times New Roman"/>
                <w:b w:val="0"/>
                <w:sz w:val="24"/>
                <w:u w:val="none"/>
              </w:rPr>
              <w:t xml:space="preserve">) of </w:t>
            </w:r>
            <w:r w:rsidR="00A56B4D">
              <w:rPr>
                <w:rStyle w:val="InstructionsTabelleberschrift"/>
                <w:rFonts w:ascii="Times New Roman" w:hAnsi="Times New Roman"/>
                <w:b w:val="0"/>
                <w:sz w:val="24"/>
                <w:u w:val="none"/>
              </w:rPr>
              <w:t>CRD</w:t>
            </w:r>
            <w:r w:rsidRPr="0086684B">
              <w:rPr>
                <w:rStyle w:val="InstructionsTabelleberschrift"/>
                <w:rFonts w:ascii="Times New Roman" w:hAnsi="Times New Roman"/>
                <w:b w:val="0"/>
                <w:sz w:val="24"/>
                <w:u w:val="none"/>
              </w:rPr>
              <w:t xml:space="preserve"> and specified under Article </w:t>
            </w:r>
            <w:r>
              <w:rPr>
                <w:rStyle w:val="InstructionsTabelleberschrift"/>
                <w:rFonts w:ascii="Times New Roman" w:hAnsi="Times New Roman"/>
                <w:b w:val="0"/>
                <w:sz w:val="24"/>
                <w:u w:val="none"/>
              </w:rPr>
              <w:t>4</w:t>
            </w:r>
            <w:r w:rsidRPr="0086684B">
              <w:rPr>
                <w:rStyle w:val="InstructionsTabelleberschrift"/>
                <w:rFonts w:ascii="Times New Roman" w:hAnsi="Times New Roman"/>
                <w:b w:val="0"/>
                <w:sz w:val="24"/>
                <w:u w:val="none"/>
              </w:rPr>
              <w:t xml:space="preserve"> of</w:t>
            </w:r>
            <w:r>
              <w:rPr>
                <w:rStyle w:val="InstructionsTabelleberschrift"/>
                <w:rFonts w:ascii="Times New Roman" w:hAnsi="Times New Roman"/>
                <w:b w:val="0"/>
                <w:sz w:val="24"/>
                <w:u w:val="none"/>
              </w:rPr>
              <w:t xml:space="preserve"> the </w:t>
            </w:r>
            <w:r w:rsidRPr="00EE5ABE">
              <w:rPr>
                <w:rStyle w:val="FormatvorlageInstructionsTabelleText"/>
                <w:rFonts w:ascii="Times New Roman" w:hAnsi="Times New Roman"/>
                <w:bCs w:val="0"/>
                <w:sz w:val="24"/>
                <w:highlight w:val="lightGray"/>
              </w:rPr>
              <w:t>EBA RTS on S</w:t>
            </w:r>
            <w:r>
              <w:rPr>
                <w:rStyle w:val="FormatvorlageInstructionsTabelleText"/>
                <w:rFonts w:ascii="Times New Roman" w:hAnsi="Times New Roman"/>
                <w:bCs w:val="0"/>
                <w:sz w:val="24"/>
                <w:highlight w:val="lightGray"/>
              </w:rPr>
              <w:t>OT</w:t>
            </w:r>
            <w:r w:rsidRPr="0024610F">
              <w:rPr>
                <w:rStyle w:val="FormatvorlageInstructionsTabelleText"/>
                <w:rFonts w:ascii="Times New Roman" w:hAnsi="Times New Roman"/>
                <w:bCs w:val="0"/>
                <w:sz w:val="24"/>
              </w:rPr>
              <w:t>.</w:t>
            </w:r>
          </w:p>
        </w:tc>
      </w:tr>
      <w:tr w:rsidR="00B2164F" w:rsidRPr="00EC067D" w14:paraId="6D8D7D20" w14:textId="77777777" w:rsidTr="63452C95">
        <w:tc>
          <w:tcPr>
            <w:tcW w:w="1129" w:type="dxa"/>
          </w:tcPr>
          <w:p w14:paraId="6B1829E8" w14:textId="30EECC5E" w:rsidR="00B2164F" w:rsidRPr="00EC067D" w:rsidRDefault="00B2164F"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0050</w:t>
            </w:r>
          </w:p>
        </w:tc>
        <w:tc>
          <w:tcPr>
            <w:tcW w:w="7620" w:type="dxa"/>
          </w:tcPr>
          <w:p w14:paraId="6DB8ED08" w14:textId="7099B5A1" w:rsidR="00B2164F" w:rsidRDefault="00B2164F" w:rsidP="0001573B">
            <w:pPr>
              <w:pStyle w:val="InstructionsText"/>
              <w:rPr>
                <w:rStyle w:val="InstructionsTabelleberschrift"/>
                <w:rFonts w:ascii="Times New Roman" w:hAnsi="Times New Roman"/>
                <w:sz w:val="24"/>
              </w:rPr>
            </w:pPr>
            <w:r w:rsidRPr="00561EB7">
              <w:rPr>
                <w:rStyle w:val="InstructionsTabelleberschrift"/>
                <w:rFonts w:ascii="Times New Roman" w:hAnsi="Times New Roman"/>
                <w:sz w:val="24"/>
              </w:rPr>
              <w:t xml:space="preserve">Parallel </w:t>
            </w:r>
            <w:r w:rsidR="007A5E30">
              <w:rPr>
                <w:rStyle w:val="InstructionsTabelleberschrift"/>
                <w:rFonts w:ascii="Times New Roman" w:hAnsi="Times New Roman"/>
                <w:sz w:val="24"/>
              </w:rPr>
              <w:t>s</w:t>
            </w:r>
            <w:r w:rsidRPr="00561EB7">
              <w:rPr>
                <w:rStyle w:val="InstructionsTabelleberschrift"/>
                <w:rFonts w:ascii="Times New Roman" w:hAnsi="Times New Roman"/>
                <w:sz w:val="24"/>
              </w:rPr>
              <w:t xml:space="preserve">hock </w:t>
            </w:r>
            <w:r w:rsidR="007A5E30">
              <w:rPr>
                <w:rStyle w:val="InstructionsTabelleberschrift"/>
                <w:rFonts w:ascii="Times New Roman" w:hAnsi="Times New Roman"/>
                <w:sz w:val="24"/>
              </w:rPr>
              <w:t>u</w:t>
            </w:r>
            <w:r w:rsidRPr="00561EB7">
              <w:rPr>
                <w:rStyle w:val="InstructionsTabelleberschrift"/>
                <w:rFonts w:ascii="Times New Roman" w:hAnsi="Times New Roman"/>
                <w:sz w:val="24"/>
              </w:rPr>
              <w:t>p</w:t>
            </w:r>
            <w:r w:rsidR="00921AA6">
              <w:rPr>
                <w:rStyle w:val="InstructionsTabelleberschrift"/>
                <w:rFonts w:ascii="Times New Roman" w:hAnsi="Times New Roman"/>
                <w:sz w:val="24"/>
              </w:rPr>
              <w:t xml:space="preserve"> </w:t>
            </w:r>
          </w:p>
          <w:p w14:paraId="300C93C3" w14:textId="0E724783" w:rsidR="00B2164F" w:rsidRPr="00960E3B" w:rsidRDefault="00E32A97" w:rsidP="0001573B">
            <w:pPr>
              <w:pStyle w:val="InstructionsText"/>
              <w:rPr>
                <w:rStyle w:val="InstructionsTabelleberschrift"/>
                <w:rFonts w:ascii="Times New Roman" w:hAnsi="Times New Roman"/>
                <w:b w:val="0"/>
                <w:bCs w:val="0"/>
                <w:sz w:val="24"/>
                <w:u w:val="none"/>
              </w:rPr>
            </w:pPr>
            <w:r>
              <w:t>Institutions shall follow the same instructions as described in</w:t>
            </w:r>
            <w:r w:rsidRPr="000B6B22">
              <w:t xml:space="preserve"> {</w:t>
            </w:r>
            <w:r>
              <w:t>J 01.00</w:t>
            </w:r>
            <w:r w:rsidRPr="000B6B22">
              <w:t xml:space="preserve">; </w:t>
            </w:r>
            <w:r>
              <w:t>r0040}.</w:t>
            </w:r>
          </w:p>
        </w:tc>
      </w:tr>
      <w:tr w:rsidR="00B2164F" w:rsidRPr="005E6F71" w14:paraId="544E890D" w14:textId="77777777" w:rsidTr="63452C95">
        <w:tc>
          <w:tcPr>
            <w:tcW w:w="1129" w:type="dxa"/>
          </w:tcPr>
          <w:p w14:paraId="53DE47F8" w14:textId="418E41D9" w:rsidR="00B2164F" w:rsidRDefault="00B2164F"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0060</w:t>
            </w:r>
          </w:p>
        </w:tc>
        <w:tc>
          <w:tcPr>
            <w:tcW w:w="7620" w:type="dxa"/>
          </w:tcPr>
          <w:p w14:paraId="79AB7DEB" w14:textId="53D9DB8C" w:rsidR="00B2164F" w:rsidRDefault="00B2164F" w:rsidP="0001573B">
            <w:pPr>
              <w:pStyle w:val="InstructionsText"/>
              <w:rPr>
                <w:rStyle w:val="InstructionsTabelleberschrift"/>
                <w:rFonts w:ascii="Times New Roman" w:hAnsi="Times New Roman"/>
                <w:sz w:val="24"/>
              </w:rPr>
            </w:pPr>
            <w:r w:rsidRPr="00561EB7">
              <w:rPr>
                <w:rStyle w:val="InstructionsTabelleberschrift"/>
                <w:rFonts w:ascii="Times New Roman" w:hAnsi="Times New Roman"/>
                <w:sz w:val="24"/>
              </w:rPr>
              <w:t xml:space="preserve">Parallel </w:t>
            </w:r>
            <w:r w:rsidR="00C4097B">
              <w:rPr>
                <w:rStyle w:val="InstructionsTabelleberschrift"/>
                <w:rFonts w:ascii="Times New Roman" w:hAnsi="Times New Roman"/>
                <w:sz w:val="24"/>
              </w:rPr>
              <w:t>s</w:t>
            </w:r>
            <w:r w:rsidRPr="00561EB7">
              <w:rPr>
                <w:rStyle w:val="InstructionsTabelleberschrift"/>
                <w:rFonts w:ascii="Times New Roman" w:hAnsi="Times New Roman"/>
                <w:sz w:val="24"/>
              </w:rPr>
              <w:t xml:space="preserve">hock </w:t>
            </w:r>
            <w:r w:rsidR="00C4097B">
              <w:rPr>
                <w:rStyle w:val="InstructionsTabelleberschrift"/>
                <w:rFonts w:ascii="Times New Roman" w:hAnsi="Times New Roman"/>
                <w:sz w:val="24"/>
              </w:rPr>
              <w:t>d</w:t>
            </w:r>
            <w:r w:rsidRPr="00561EB7">
              <w:rPr>
                <w:rStyle w:val="InstructionsTabelleberschrift"/>
                <w:rFonts w:ascii="Times New Roman" w:hAnsi="Times New Roman"/>
                <w:sz w:val="24"/>
              </w:rPr>
              <w:t>own</w:t>
            </w:r>
            <w:r>
              <w:rPr>
                <w:rStyle w:val="InstructionsTabelleberschrift"/>
                <w:rFonts w:ascii="Times New Roman" w:hAnsi="Times New Roman"/>
                <w:sz w:val="24"/>
              </w:rPr>
              <w:t xml:space="preserve"> </w:t>
            </w:r>
          </w:p>
          <w:p w14:paraId="117BC558" w14:textId="751EDFD3" w:rsidR="00B2164F" w:rsidRPr="00561EB7" w:rsidRDefault="00E32A97"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r0050}.</w:t>
            </w:r>
          </w:p>
        </w:tc>
      </w:tr>
      <w:tr w:rsidR="00B2164F" w:rsidRPr="005E6F71" w14:paraId="787D1540" w14:textId="77777777" w:rsidTr="63452C95">
        <w:tc>
          <w:tcPr>
            <w:tcW w:w="1129" w:type="dxa"/>
          </w:tcPr>
          <w:p w14:paraId="79200A12" w14:textId="78456E09" w:rsidR="00B2164F" w:rsidRDefault="00B2164F"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0070</w:t>
            </w:r>
          </w:p>
        </w:tc>
        <w:tc>
          <w:tcPr>
            <w:tcW w:w="7620" w:type="dxa"/>
          </w:tcPr>
          <w:p w14:paraId="660534BE" w14:textId="67C85FA6" w:rsidR="00B2164F" w:rsidRDefault="00B2164F" w:rsidP="0001573B">
            <w:pPr>
              <w:pStyle w:val="InstructionsText"/>
              <w:rPr>
                <w:rStyle w:val="InstructionsTabelleberschrift"/>
                <w:rFonts w:ascii="Times New Roman" w:hAnsi="Times New Roman"/>
                <w:sz w:val="24"/>
              </w:rPr>
            </w:pPr>
            <w:r w:rsidRPr="006A481E">
              <w:rPr>
                <w:rStyle w:val="InstructionsTabelleberschrift"/>
                <w:rFonts w:ascii="Times New Roman" w:hAnsi="Times New Roman"/>
                <w:sz w:val="24"/>
              </w:rPr>
              <w:t>Steepener</w:t>
            </w:r>
            <w:r>
              <w:rPr>
                <w:rStyle w:val="InstructionsTabelleberschrift"/>
                <w:rFonts w:ascii="Times New Roman" w:hAnsi="Times New Roman"/>
                <w:sz w:val="24"/>
              </w:rPr>
              <w:t xml:space="preserve"> </w:t>
            </w:r>
            <w:r w:rsidR="00C4097B">
              <w:rPr>
                <w:rStyle w:val="InstructionsTabelleberschrift"/>
                <w:rFonts w:ascii="Times New Roman" w:hAnsi="Times New Roman"/>
                <w:sz w:val="24"/>
              </w:rPr>
              <w:t>s</w:t>
            </w:r>
            <w:r>
              <w:rPr>
                <w:rStyle w:val="InstructionsTabelleberschrift"/>
                <w:rFonts w:ascii="Times New Roman" w:hAnsi="Times New Roman"/>
                <w:sz w:val="24"/>
              </w:rPr>
              <w:t xml:space="preserve">hock </w:t>
            </w:r>
          </w:p>
          <w:p w14:paraId="5D2F3E7C" w14:textId="43E6083D" w:rsidR="00B2164F" w:rsidRPr="00561EB7" w:rsidRDefault="00E32A97"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r0060}.</w:t>
            </w:r>
          </w:p>
        </w:tc>
      </w:tr>
      <w:tr w:rsidR="00B2164F" w:rsidRPr="005E6F71" w14:paraId="26632335" w14:textId="77777777" w:rsidTr="63452C95">
        <w:tc>
          <w:tcPr>
            <w:tcW w:w="1129" w:type="dxa"/>
          </w:tcPr>
          <w:p w14:paraId="0601D2A0" w14:textId="683FDEA6" w:rsidR="00B2164F" w:rsidRDefault="00B2164F"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0080</w:t>
            </w:r>
          </w:p>
        </w:tc>
        <w:tc>
          <w:tcPr>
            <w:tcW w:w="7620" w:type="dxa"/>
          </w:tcPr>
          <w:p w14:paraId="1A9F3B03" w14:textId="0D0A62B0" w:rsidR="00B2164F" w:rsidRDefault="00B2164F" w:rsidP="0001573B">
            <w:pPr>
              <w:pStyle w:val="InstructionsText"/>
              <w:rPr>
                <w:rStyle w:val="InstructionsTabelleberschrift"/>
                <w:rFonts w:ascii="Times New Roman" w:hAnsi="Times New Roman"/>
                <w:sz w:val="24"/>
              </w:rPr>
            </w:pPr>
            <w:r w:rsidRPr="006A481E">
              <w:rPr>
                <w:rStyle w:val="InstructionsTabelleberschrift"/>
                <w:rFonts w:ascii="Times New Roman" w:hAnsi="Times New Roman"/>
                <w:sz w:val="24"/>
              </w:rPr>
              <w:t xml:space="preserve">Flattener </w:t>
            </w:r>
            <w:r w:rsidR="00C4097B">
              <w:rPr>
                <w:rStyle w:val="InstructionsTabelleberschrift"/>
                <w:rFonts w:ascii="Times New Roman" w:hAnsi="Times New Roman"/>
                <w:sz w:val="24"/>
              </w:rPr>
              <w:t>s</w:t>
            </w:r>
            <w:r>
              <w:rPr>
                <w:rStyle w:val="InstructionsTabelleberschrift"/>
                <w:rFonts w:ascii="Times New Roman" w:hAnsi="Times New Roman"/>
                <w:sz w:val="24"/>
              </w:rPr>
              <w:t xml:space="preserve">hock </w:t>
            </w:r>
          </w:p>
          <w:p w14:paraId="0EF9F61B" w14:textId="340D5599" w:rsidR="00B2164F" w:rsidRPr="006A481E" w:rsidRDefault="00E32A97"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w:t>
            </w:r>
            <w:r w:rsidR="002100F4">
              <w:t>7</w:t>
            </w:r>
            <w:r>
              <w:t>0}.</w:t>
            </w:r>
          </w:p>
        </w:tc>
      </w:tr>
      <w:tr w:rsidR="00B2164F" w:rsidRPr="00561EB7" w14:paraId="58F3D8B0" w14:textId="77777777" w:rsidTr="63452C95">
        <w:tc>
          <w:tcPr>
            <w:tcW w:w="1129" w:type="dxa"/>
          </w:tcPr>
          <w:p w14:paraId="1C269019" w14:textId="66D93D88" w:rsidR="00B2164F" w:rsidRPr="00EC067D" w:rsidRDefault="00B2164F"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0090</w:t>
            </w:r>
          </w:p>
        </w:tc>
        <w:tc>
          <w:tcPr>
            <w:tcW w:w="7620" w:type="dxa"/>
          </w:tcPr>
          <w:p w14:paraId="0E72BFB7" w14:textId="6278A552" w:rsidR="00B2164F" w:rsidRDefault="00B2164F" w:rsidP="0001573B">
            <w:pPr>
              <w:pStyle w:val="InstructionsText"/>
              <w:rPr>
                <w:rStyle w:val="InstructionsTabelleberschrift"/>
                <w:rFonts w:ascii="Times New Roman" w:hAnsi="Times New Roman"/>
                <w:sz w:val="24"/>
              </w:rPr>
            </w:pPr>
            <w:r w:rsidRPr="006A481E">
              <w:rPr>
                <w:rStyle w:val="InstructionsTabelleberschrift"/>
                <w:rFonts w:ascii="Times New Roman" w:hAnsi="Times New Roman"/>
                <w:sz w:val="24"/>
              </w:rPr>
              <w:t xml:space="preserve">Short </w:t>
            </w:r>
            <w:r w:rsidR="00CE0C2B">
              <w:rPr>
                <w:rStyle w:val="InstructionsTabelleberschrift"/>
                <w:rFonts w:ascii="Times New Roman" w:hAnsi="Times New Roman"/>
                <w:sz w:val="24"/>
              </w:rPr>
              <w:t>r</w:t>
            </w:r>
            <w:r w:rsidRPr="006A481E">
              <w:rPr>
                <w:rStyle w:val="InstructionsTabelleberschrift"/>
                <w:rFonts w:ascii="Times New Roman" w:hAnsi="Times New Roman"/>
                <w:sz w:val="24"/>
              </w:rPr>
              <w:t xml:space="preserve">ates </w:t>
            </w:r>
            <w:r w:rsidR="00C4097B">
              <w:rPr>
                <w:rStyle w:val="InstructionsTabelleberschrift"/>
                <w:rFonts w:ascii="Times New Roman" w:hAnsi="Times New Roman"/>
                <w:sz w:val="24"/>
              </w:rPr>
              <w:t>s</w:t>
            </w:r>
            <w:r w:rsidRPr="006A481E">
              <w:rPr>
                <w:rStyle w:val="InstructionsTabelleberschrift"/>
                <w:rFonts w:ascii="Times New Roman" w:hAnsi="Times New Roman"/>
                <w:sz w:val="24"/>
              </w:rPr>
              <w:t xml:space="preserve">hock </w:t>
            </w:r>
            <w:r w:rsidR="00C4097B">
              <w:rPr>
                <w:rStyle w:val="InstructionsTabelleberschrift"/>
                <w:rFonts w:ascii="Times New Roman" w:hAnsi="Times New Roman"/>
                <w:sz w:val="24"/>
              </w:rPr>
              <w:t>u</w:t>
            </w:r>
            <w:r w:rsidRPr="006A481E">
              <w:rPr>
                <w:rStyle w:val="InstructionsTabelleberschrift"/>
                <w:rFonts w:ascii="Times New Roman" w:hAnsi="Times New Roman"/>
                <w:sz w:val="24"/>
              </w:rPr>
              <w:t>p</w:t>
            </w:r>
            <w:r>
              <w:rPr>
                <w:rStyle w:val="InstructionsTabelleberschrift"/>
                <w:rFonts w:ascii="Times New Roman" w:hAnsi="Times New Roman"/>
                <w:sz w:val="24"/>
              </w:rPr>
              <w:t xml:space="preserve"> </w:t>
            </w:r>
          </w:p>
          <w:p w14:paraId="7CD02A4D" w14:textId="077159AA" w:rsidR="00B2164F" w:rsidRPr="00561EB7" w:rsidRDefault="002100F4"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r0080}.</w:t>
            </w:r>
          </w:p>
        </w:tc>
      </w:tr>
      <w:tr w:rsidR="00B2164F" w:rsidRPr="00561EB7" w14:paraId="3C8E5AC7" w14:textId="77777777" w:rsidTr="63452C95">
        <w:tc>
          <w:tcPr>
            <w:tcW w:w="1129" w:type="dxa"/>
          </w:tcPr>
          <w:p w14:paraId="1DCCB693" w14:textId="701E1D81" w:rsidR="00B2164F" w:rsidRPr="00EC067D" w:rsidRDefault="00B2164F"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0100</w:t>
            </w:r>
          </w:p>
        </w:tc>
        <w:tc>
          <w:tcPr>
            <w:tcW w:w="7620" w:type="dxa"/>
          </w:tcPr>
          <w:p w14:paraId="27C110D6" w14:textId="496B1B26" w:rsidR="00B2164F" w:rsidRDefault="00B2164F" w:rsidP="0001573B">
            <w:pPr>
              <w:pStyle w:val="InstructionsText"/>
              <w:rPr>
                <w:rStyle w:val="InstructionsTabelleberschrift"/>
                <w:rFonts w:ascii="Times New Roman" w:hAnsi="Times New Roman"/>
                <w:sz w:val="24"/>
              </w:rPr>
            </w:pPr>
            <w:r w:rsidRPr="006A481E">
              <w:rPr>
                <w:rStyle w:val="InstructionsTabelleberschrift"/>
                <w:rFonts w:ascii="Times New Roman" w:hAnsi="Times New Roman"/>
                <w:sz w:val="24"/>
              </w:rPr>
              <w:t xml:space="preserve">Short </w:t>
            </w:r>
            <w:r w:rsidR="00CE0C2B">
              <w:rPr>
                <w:rStyle w:val="InstructionsTabelleberschrift"/>
                <w:rFonts w:ascii="Times New Roman" w:hAnsi="Times New Roman"/>
                <w:sz w:val="24"/>
              </w:rPr>
              <w:t>r</w:t>
            </w:r>
            <w:r w:rsidRPr="006A481E">
              <w:rPr>
                <w:rStyle w:val="InstructionsTabelleberschrift"/>
                <w:rFonts w:ascii="Times New Roman" w:hAnsi="Times New Roman"/>
                <w:sz w:val="24"/>
              </w:rPr>
              <w:t xml:space="preserve">ates </w:t>
            </w:r>
            <w:r w:rsidR="00CE0C2B">
              <w:rPr>
                <w:rStyle w:val="InstructionsTabelleberschrift"/>
                <w:rFonts w:ascii="Times New Roman" w:hAnsi="Times New Roman"/>
                <w:sz w:val="24"/>
              </w:rPr>
              <w:t>s</w:t>
            </w:r>
            <w:r w:rsidRPr="006A481E">
              <w:rPr>
                <w:rStyle w:val="InstructionsTabelleberschrift"/>
                <w:rFonts w:ascii="Times New Roman" w:hAnsi="Times New Roman"/>
                <w:sz w:val="24"/>
              </w:rPr>
              <w:t xml:space="preserve">hock </w:t>
            </w:r>
            <w:r w:rsidR="00CE0C2B">
              <w:rPr>
                <w:rStyle w:val="InstructionsTabelleberschrift"/>
                <w:rFonts w:ascii="Times New Roman" w:hAnsi="Times New Roman"/>
                <w:sz w:val="24"/>
              </w:rPr>
              <w:t>d</w:t>
            </w:r>
            <w:r w:rsidRPr="006A481E">
              <w:rPr>
                <w:rStyle w:val="InstructionsTabelleberschrift"/>
                <w:rFonts w:ascii="Times New Roman" w:hAnsi="Times New Roman"/>
                <w:sz w:val="24"/>
              </w:rPr>
              <w:t>own</w:t>
            </w:r>
            <w:r>
              <w:rPr>
                <w:rStyle w:val="InstructionsTabelleberschrift"/>
                <w:rFonts w:ascii="Times New Roman" w:hAnsi="Times New Roman"/>
                <w:sz w:val="24"/>
              </w:rPr>
              <w:t xml:space="preserve"> </w:t>
            </w:r>
          </w:p>
          <w:p w14:paraId="04293978" w14:textId="3C4DA249" w:rsidR="00B2164F" w:rsidRPr="00561EB7" w:rsidRDefault="002100F4" w:rsidP="0001573B">
            <w:pPr>
              <w:pStyle w:val="InstructionsText"/>
              <w:rPr>
                <w:rStyle w:val="InstructionsTabelleberschrift"/>
                <w:rFonts w:ascii="Times New Roman" w:hAnsi="Times New Roman"/>
                <w:sz w:val="24"/>
              </w:rPr>
            </w:pPr>
            <w:r>
              <w:t>Institutions shall follow the same instructions as described in</w:t>
            </w:r>
            <w:r w:rsidRPr="000B6B22">
              <w:t xml:space="preserve"> {</w:t>
            </w:r>
            <w:r>
              <w:t>J 01.00</w:t>
            </w:r>
            <w:r w:rsidRPr="000B6B22">
              <w:t xml:space="preserve">; </w:t>
            </w:r>
            <w:r>
              <w:t>r0090}.</w:t>
            </w:r>
          </w:p>
        </w:tc>
      </w:tr>
    </w:tbl>
    <w:p w14:paraId="239AC0DC" w14:textId="3397F6EF" w:rsidR="009E536A" w:rsidRDefault="009E536A" w:rsidP="006137FD">
      <w:pPr>
        <w:spacing w:after="0"/>
        <w:rPr>
          <w:rStyle w:val="InstructionsTabelleText"/>
          <w:rFonts w:ascii="Times New Roman" w:hAnsi="Times New Roman"/>
          <w:sz w:val="24"/>
        </w:rPr>
      </w:pPr>
    </w:p>
    <w:p w14:paraId="67E90C55" w14:textId="728B0D17" w:rsidR="0074085C" w:rsidRDefault="0074085C">
      <w:pPr>
        <w:spacing w:before="0" w:after="0"/>
        <w:jc w:val="left"/>
        <w:rPr>
          <w:rStyle w:val="InstructionsTabelleText"/>
          <w:rFonts w:ascii="Times New Roman" w:hAnsi="Times New Roman"/>
          <w:sz w:val="24"/>
        </w:rPr>
      </w:pPr>
      <w:r>
        <w:rPr>
          <w:rStyle w:val="InstructionsTabelleText"/>
          <w:rFonts w:ascii="Times New Roman" w:hAnsi="Times New Roman"/>
          <w:sz w:val="24"/>
        </w:rPr>
        <w:br w:type="page"/>
      </w:r>
    </w:p>
    <w:p w14:paraId="2A389102" w14:textId="231412D1" w:rsidR="0074085C" w:rsidRPr="00466F09" w:rsidRDefault="0074085C" w:rsidP="00FE1304">
      <w:pPr>
        <w:pStyle w:val="Heading2"/>
        <w:rPr>
          <w:lang w:val="fr-FR"/>
        </w:rPr>
      </w:pPr>
      <w:bookmarkStart w:id="58" w:name="_Toc141362427"/>
      <w:r w:rsidRPr="00466F09">
        <w:rPr>
          <w:lang w:val="fr-FR"/>
        </w:rPr>
        <w:t>PART V</w:t>
      </w:r>
      <w:r w:rsidR="00976E8F" w:rsidRPr="00466F09">
        <w:rPr>
          <w:lang w:val="fr-FR"/>
        </w:rPr>
        <w:t>I</w:t>
      </w:r>
      <w:r w:rsidRPr="00466F09">
        <w:rPr>
          <w:lang w:val="fr-FR"/>
        </w:rPr>
        <w:t xml:space="preserve">: </w:t>
      </w:r>
      <w:r w:rsidR="008A200A" w:rsidRPr="00466F09">
        <w:rPr>
          <w:lang w:val="fr-FR"/>
        </w:rPr>
        <w:t>QUALITATIVE INFORMATION</w:t>
      </w:r>
      <w:r w:rsidR="00261AD1" w:rsidRPr="00466F09">
        <w:rPr>
          <w:lang w:val="fr-FR"/>
        </w:rPr>
        <w:t xml:space="preserve"> (J </w:t>
      </w:r>
      <w:r w:rsidR="00C776FF">
        <w:rPr>
          <w:lang w:val="fr-FR"/>
        </w:rPr>
        <w:t>10</w:t>
      </w:r>
      <w:r w:rsidR="00261AD1" w:rsidRPr="00466F09">
        <w:rPr>
          <w:lang w:val="fr-FR"/>
        </w:rPr>
        <w:t>.00</w:t>
      </w:r>
      <w:r w:rsidR="00A41540">
        <w:rPr>
          <w:lang w:val="fr-FR"/>
        </w:rPr>
        <w:t xml:space="preserve"> and J 1</w:t>
      </w:r>
      <w:r w:rsidR="00C776FF">
        <w:rPr>
          <w:lang w:val="fr-FR"/>
        </w:rPr>
        <w:t>1</w:t>
      </w:r>
      <w:r w:rsidR="00261AD1">
        <w:rPr>
          <w:lang w:val="fr-FR"/>
        </w:rPr>
        <w:t>.00</w:t>
      </w:r>
      <w:r w:rsidR="00261AD1" w:rsidRPr="00466F09">
        <w:rPr>
          <w:lang w:val="fr-FR"/>
        </w:rPr>
        <w:t>)</w:t>
      </w:r>
      <w:bookmarkEnd w:id="58"/>
    </w:p>
    <w:p w14:paraId="571FC04F" w14:textId="24E6FE59" w:rsidR="0074085C" w:rsidRPr="005B50C3" w:rsidRDefault="16FD60DB" w:rsidP="00FE1304">
      <w:pPr>
        <w:pStyle w:val="Instructionsberschrift2"/>
        <w:rPr>
          <w:sz w:val="24"/>
        </w:rPr>
      </w:pPr>
      <w:bookmarkStart w:id="59" w:name="_Toc141362428"/>
      <w:r w:rsidRPr="005B50C3">
        <w:rPr>
          <w:sz w:val="24"/>
        </w:rPr>
        <w:t>General remarks</w:t>
      </w:r>
      <w:bookmarkEnd w:id="59"/>
    </w:p>
    <w:p w14:paraId="74AAE8C3" w14:textId="10357574" w:rsidR="0074085C" w:rsidRDefault="00261AD1" w:rsidP="0001573B">
      <w:pPr>
        <w:pStyle w:val="InstructionsText2"/>
      </w:pPr>
      <w:r>
        <w:t>T</w:t>
      </w:r>
      <w:r w:rsidR="38027EFC">
        <w:t>emplate</w:t>
      </w:r>
      <w:r w:rsidR="00A41540">
        <w:t>s</w:t>
      </w:r>
      <w:r>
        <w:t xml:space="preserve"> J </w:t>
      </w:r>
      <w:r w:rsidR="00C776FF">
        <w:t>10</w:t>
      </w:r>
      <w:r>
        <w:t>.00</w:t>
      </w:r>
      <w:r w:rsidR="00A41540">
        <w:t xml:space="preserve"> and J 1</w:t>
      </w:r>
      <w:r w:rsidR="00C776FF">
        <w:t>1</w:t>
      </w:r>
      <w:r>
        <w:t>.00</w:t>
      </w:r>
      <w:r w:rsidR="38027EFC">
        <w:t xml:space="preserve"> contain qualitative</w:t>
      </w:r>
      <w:r w:rsidR="1FFF1DD0" w:rsidRPr="763F32FC">
        <w:rPr>
          <w:rStyle w:val="CommentReference"/>
        </w:rPr>
        <w:t xml:space="preserve"> </w:t>
      </w:r>
      <w:r w:rsidR="5388EA2A">
        <w:t xml:space="preserve">data </w:t>
      </w:r>
      <w:r w:rsidR="4AFB1B45">
        <w:t>on</w:t>
      </w:r>
      <w:r w:rsidR="30897789">
        <w:t xml:space="preserve"> methodologies used in the assessment of the</w:t>
      </w:r>
      <w:r w:rsidR="4AFB1B45">
        <w:t xml:space="preserve"> IRRB</w:t>
      </w:r>
      <w:r w:rsidR="4C1E0119">
        <w:t>B.</w:t>
      </w:r>
      <w:r w:rsidR="4AFB1B45">
        <w:t xml:space="preserve"> </w:t>
      </w:r>
    </w:p>
    <w:p w14:paraId="5B806750" w14:textId="69A0D086" w:rsidR="003C1853" w:rsidRDefault="1375EE99" w:rsidP="0001573B">
      <w:pPr>
        <w:pStyle w:val="InstructionsText2"/>
      </w:pPr>
      <w:r>
        <w:t xml:space="preserve">Institutions shall report the relevant information </w:t>
      </w:r>
      <w:r w:rsidR="092C1284">
        <w:t xml:space="preserve">based on a predefined list of options. </w:t>
      </w:r>
      <w:r w:rsidR="6780FF51">
        <w:t xml:space="preserve">Rows </w:t>
      </w:r>
      <w:r w:rsidR="05F3004B">
        <w:t>0</w:t>
      </w:r>
      <w:r w:rsidR="00935C83">
        <w:t>32</w:t>
      </w:r>
      <w:r w:rsidR="05F3004B">
        <w:t>0 to 0</w:t>
      </w:r>
      <w:r w:rsidR="00935C83">
        <w:t>36</w:t>
      </w:r>
      <w:r w:rsidR="05F3004B">
        <w:t>0</w:t>
      </w:r>
      <w:r w:rsidR="6780FF51">
        <w:t xml:space="preserve"> shall be reported for each currency separately for which the institution has positions where the accounting value of financial assets or liabilities denominated in a currency amounts to 5% or more of the total </w:t>
      </w:r>
      <w:r w:rsidR="00F93133">
        <w:t>banking book</w:t>
      </w:r>
      <w:r w:rsidR="6780FF51">
        <w:t xml:space="preserve"> financial assets or liabilities, or less than 5% if the sum of financial assets or liabilities included in the calculation is lower than 90% of total </w:t>
      </w:r>
      <w:r w:rsidR="00F93133">
        <w:t>banking book</w:t>
      </w:r>
      <w:r w:rsidR="6780FF51">
        <w:t xml:space="preserve"> financial assets (excluding tangible assets) or liabilities.</w:t>
      </w:r>
      <w:r w:rsidR="680660A1">
        <w:t xml:space="preserve"> The other rows</w:t>
      </w:r>
      <w:r w:rsidR="005D1562">
        <w:t xml:space="preserve"> (from 0010 to 0310)</w:t>
      </w:r>
      <w:r w:rsidR="680660A1">
        <w:t xml:space="preserve"> are not currency dependant. </w:t>
      </w:r>
    </w:p>
    <w:p w14:paraId="43FC2152" w14:textId="52C416E0" w:rsidR="0074085C" w:rsidRPr="005B50C3" w:rsidRDefault="16FD60DB" w:rsidP="00FE1304">
      <w:pPr>
        <w:pStyle w:val="Instructionsberschrift2"/>
        <w:rPr>
          <w:sz w:val="24"/>
        </w:rPr>
      </w:pPr>
      <w:bookmarkStart w:id="60" w:name="_Toc141362429"/>
      <w:r w:rsidRPr="005B50C3">
        <w:rPr>
          <w:sz w:val="24"/>
        </w:rPr>
        <w:t>Instructions concerning specific positions</w:t>
      </w:r>
      <w:bookmarkEnd w:id="60"/>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74085C" w:rsidRPr="00EC067D" w14:paraId="705499B5" w14:textId="77777777" w:rsidTr="763F32FC">
        <w:tc>
          <w:tcPr>
            <w:tcW w:w="1129" w:type="dxa"/>
            <w:shd w:val="clear" w:color="auto" w:fill="D9D9D9" w:themeFill="background1" w:themeFillShade="D9"/>
          </w:tcPr>
          <w:p w14:paraId="3A97293F" w14:textId="77777777" w:rsidR="0074085C" w:rsidRPr="00EC067D" w:rsidRDefault="0074085C" w:rsidP="0001573B">
            <w:pPr>
              <w:pStyle w:val="InstructionsText"/>
              <w:rPr>
                <w:rStyle w:val="InstructionsTabelleText"/>
                <w:rFonts w:ascii="Times New Roman" w:eastAsia="Arial" w:hAnsi="Times New Roman"/>
                <w:sz w:val="24"/>
                <w:lang w:eastAsia="en-US"/>
              </w:rPr>
            </w:pPr>
            <w:r w:rsidRPr="00EC067D">
              <w:rPr>
                <w:rStyle w:val="InstructionsTabelleText"/>
                <w:rFonts w:ascii="Times New Roman" w:hAnsi="Times New Roman"/>
                <w:sz w:val="24"/>
              </w:rPr>
              <w:t>Row</w:t>
            </w:r>
          </w:p>
        </w:tc>
        <w:tc>
          <w:tcPr>
            <w:tcW w:w="7620" w:type="dxa"/>
            <w:shd w:val="clear" w:color="auto" w:fill="D9D9D9" w:themeFill="background1" w:themeFillShade="D9"/>
          </w:tcPr>
          <w:p w14:paraId="54162349" w14:textId="77777777" w:rsidR="0074085C" w:rsidRPr="00EC067D" w:rsidRDefault="0074085C" w:rsidP="0001573B">
            <w:pPr>
              <w:pStyle w:val="InstructionsText"/>
              <w:rPr>
                <w:rStyle w:val="InstructionsTabelleText"/>
                <w:rFonts w:ascii="Times New Roman" w:hAnsi="Times New Roman"/>
                <w:bCs/>
                <w:sz w:val="24"/>
                <w:lang w:eastAsia="en-US"/>
              </w:rPr>
            </w:pPr>
            <w:r w:rsidRPr="00EC067D">
              <w:rPr>
                <w:rStyle w:val="InstructionsTabelleText"/>
                <w:rFonts w:ascii="Times New Roman" w:hAnsi="Times New Roman"/>
                <w:sz w:val="24"/>
              </w:rPr>
              <w:t>Legal references and instructions</w:t>
            </w:r>
          </w:p>
        </w:tc>
      </w:tr>
      <w:tr w:rsidR="004B1A38" w:rsidRPr="00EC067D" w14:paraId="5F38AE8D" w14:textId="77777777" w:rsidTr="763F32FC">
        <w:tc>
          <w:tcPr>
            <w:tcW w:w="1129" w:type="dxa"/>
          </w:tcPr>
          <w:p w14:paraId="29457CC0" w14:textId="715B783F" w:rsidR="004B1A38" w:rsidRDefault="00841D88"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00</w:t>
            </w:r>
            <w:r w:rsidR="1B140DA1" w:rsidRPr="763F32FC">
              <w:rPr>
                <w:rStyle w:val="FormatvorlageInstructionsTabelleText"/>
                <w:rFonts w:ascii="Times New Roman" w:hAnsi="Times New Roman"/>
                <w:sz w:val="24"/>
              </w:rPr>
              <w:t>1</w:t>
            </w:r>
            <w:r w:rsidRPr="763F32FC">
              <w:rPr>
                <w:rStyle w:val="FormatvorlageInstructionsTabelleText"/>
                <w:rFonts w:ascii="Times New Roman" w:hAnsi="Times New Roman"/>
                <w:sz w:val="24"/>
              </w:rPr>
              <w:t>0</w:t>
            </w:r>
          </w:p>
        </w:tc>
        <w:tc>
          <w:tcPr>
            <w:tcW w:w="7620" w:type="dxa"/>
          </w:tcPr>
          <w:p w14:paraId="54292758" w14:textId="4685B5BB" w:rsidR="002236E8" w:rsidRDefault="00217BB3" w:rsidP="0001573B">
            <w:pPr>
              <w:pStyle w:val="InstructionsText"/>
              <w:rPr>
                <w:rStyle w:val="InstructionsTabelleberschrift"/>
                <w:rFonts w:ascii="Times New Roman" w:hAnsi="Times New Roman"/>
                <w:sz w:val="24"/>
              </w:rPr>
            </w:pPr>
            <w:r w:rsidRPr="763F32FC">
              <w:rPr>
                <w:rStyle w:val="InstructionsTabelleberschrift"/>
                <w:rFonts w:ascii="Times New Roman" w:hAnsi="Times New Roman"/>
                <w:sz w:val="24"/>
              </w:rPr>
              <w:t>Approach used for the purpose of the SOT</w:t>
            </w:r>
            <w:r w:rsidR="0B0EEF26" w:rsidRPr="763F32FC">
              <w:rPr>
                <w:rStyle w:val="InstructionsTabelleberschrift"/>
                <w:rFonts w:ascii="Times New Roman" w:hAnsi="Times New Roman"/>
                <w:sz w:val="24"/>
              </w:rPr>
              <w:t xml:space="preserve"> (NII/EVE)</w:t>
            </w:r>
          </w:p>
          <w:p w14:paraId="7216C571" w14:textId="77455230" w:rsidR="004B1A38" w:rsidRPr="003F20EC" w:rsidRDefault="00217BB3" w:rsidP="0001573B">
            <w:pPr>
              <w:pStyle w:val="InstructionsText"/>
              <w:rPr>
                <w:rStyle w:val="InstructionsTabelleberschrift"/>
                <w:rFonts w:ascii="Times New Roman" w:hAnsi="Times New Roman"/>
                <w:b w:val="0"/>
                <w:bCs w:val="0"/>
                <w:sz w:val="24"/>
                <w:u w:val="none"/>
              </w:rPr>
            </w:pPr>
            <w:r w:rsidRPr="763F32FC">
              <w:rPr>
                <w:rStyle w:val="InstructionsTabelleberschrift"/>
                <w:rFonts w:ascii="Times New Roman" w:hAnsi="Times New Roman"/>
                <w:b w:val="0"/>
                <w:bCs w:val="0"/>
                <w:sz w:val="24"/>
                <w:u w:val="none"/>
              </w:rPr>
              <w:t xml:space="preserve">Institutions shall indicate </w:t>
            </w:r>
            <w:r w:rsidR="00A447EF">
              <w:rPr>
                <w:rStyle w:val="InstructionsTabelleberschrift"/>
                <w:rFonts w:ascii="Times New Roman" w:hAnsi="Times New Roman"/>
                <w:b w:val="0"/>
                <w:bCs w:val="0"/>
                <w:sz w:val="24"/>
                <w:u w:val="none"/>
              </w:rPr>
              <w:t>the</w:t>
            </w:r>
            <w:r w:rsidR="00A447EF" w:rsidRPr="763F32FC">
              <w:rPr>
                <w:rStyle w:val="InstructionsTabelleberschrift"/>
                <w:rFonts w:ascii="Times New Roman" w:hAnsi="Times New Roman"/>
                <w:b w:val="0"/>
                <w:bCs w:val="0"/>
                <w:sz w:val="24"/>
                <w:u w:val="none"/>
              </w:rPr>
              <w:t xml:space="preserve"> </w:t>
            </w:r>
            <w:r w:rsidR="002236E8" w:rsidRPr="763F32FC">
              <w:rPr>
                <w:rStyle w:val="InstructionsTabelleberschrift"/>
                <w:rFonts w:ascii="Times New Roman" w:hAnsi="Times New Roman"/>
                <w:b w:val="0"/>
                <w:bCs w:val="0"/>
                <w:sz w:val="24"/>
                <w:u w:val="none"/>
              </w:rPr>
              <w:t>approach use</w:t>
            </w:r>
            <w:r w:rsidR="0033679B">
              <w:rPr>
                <w:rStyle w:val="InstructionsTabelleberschrift"/>
                <w:rFonts w:ascii="Times New Roman" w:hAnsi="Times New Roman"/>
                <w:b w:val="0"/>
                <w:bCs w:val="0"/>
                <w:sz w:val="24"/>
                <w:u w:val="none"/>
              </w:rPr>
              <w:t>d</w:t>
            </w:r>
            <w:r w:rsidR="002236E8" w:rsidRPr="763F32FC">
              <w:rPr>
                <w:rStyle w:val="InstructionsTabelleberschrift"/>
                <w:rFonts w:ascii="Times New Roman" w:hAnsi="Times New Roman"/>
                <w:b w:val="0"/>
                <w:bCs w:val="0"/>
                <w:sz w:val="24"/>
                <w:u w:val="none"/>
              </w:rPr>
              <w:t xml:space="preserve"> for the purpose of the SOT</w:t>
            </w:r>
            <w:r w:rsidR="2A0C3528" w:rsidRPr="763F32FC">
              <w:rPr>
                <w:rStyle w:val="InstructionsTabelleberschrift"/>
                <w:rFonts w:ascii="Times New Roman" w:hAnsi="Times New Roman"/>
                <w:b w:val="0"/>
                <w:bCs w:val="0"/>
                <w:sz w:val="24"/>
                <w:u w:val="none"/>
              </w:rPr>
              <w:t xml:space="preserve"> </w:t>
            </w:r>
            <w:r w:rsidR="00A447EF">
              <w:rPr>
                <w:rStyle w:val="InstructionsTabelleberschrift"/>
                <w:rFonts w:ascii="Times New Roman" w:hAnsi="Times New Roman"/>
                <w:b w:val="0"/>
                <w:bCs w:val="0"/>
                <w:sz w:val="24"/>
                <w:u w:val="none"/>
              </w:rPr>
              <w:t xml:space="preserve">calculation </w:t>
            </w:r>
            <w:r w:rsidR="2A0C3528" w:rsidRPr="763F32FC">
              <w:rPr>
                <w:rStyle w:val="InstructionsTabelleberschrift"/>
                <w:rFonts w:ascii="Times New Roman" w:hAnsi="Times New Roman"/>
                <w:b w:val="0"/>
                <w:bCs w:val="0"/>
                <w:sz w:val="24"/>
                <w:u w:val="none"/>
              </w:rPr>
              <w:t>(NII/EVE)</w:t>
            </w:r>
            <w:r w:rsidRPr="763F32FC">
              <w:rPr>
                <w:rStyle w:val="InstructionsTabelleberschrift"/>
                <w:rFonts w:ascii="Times New Roman" w:hAnsi="Times New Roman"/>
                <w:b w:val="0"/>
                <w:bCs w:val="0"/>
                <w:sz w:val="24"/>
                <w:u w:val="none"/>
              </w:rPr>
              <w:t>:</w:t>
            </w:r>
          </w:p>
          <w:p w14:paraId="7B855B4F" w14:textId="5416ADA3" w:rsidR="00217BB3" w:rsidRPr="003F20EC" w:rsidRDefault="00D92403"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5C5AAA86" w:rsidRPr="763F32FC">
              <w:rPr>
                <w:rStyle w:val="InstructionsTabelleberschrift"/>
                <w:rFonts w:ascii="Times New Roman" w:hAnsi="Times New Roman"/>
                <w:b w:val="0"/>
                <w:bCs w:val="0"/>
                <w:sz w:val="24"/>
                <w:u w:val="none"/>
              </w:rPr>
              <w:t>Simplified SA</w:t>
            </w:r>
          </w:p>
          <w:p w14:paraId="7E6C77BA" w14:textId="220C6AF0" w:rsidR="00217BB3" w:rsidRPr="003F20EC" w:rsidRDefault="00D92403"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5C5AAA86" w:rsidRPr="763F32FC">
              <w:rPr>
                <w:rStyle w:val="InstructionsTabelleberschrift"/>
                <w:rFonts w:ascii="Times New Roman" w:hAnsi="Times New Roman"/>
                <w:b w:val="0"/>
                <w:bCs w:val="0"/>
                <w:sz w:val="24"/>
                <w:u w:val="none"/>
              </w:rPr>
              <w:t>SA</w:t>
            </w:r>
          </w:p>
          <w:p w14:paraId="69CFAD4F" w14:textId="088BE2ED" w:rsidR="00217BB3" w:rsidRPr="00F302B4" w:rsidRDefault="00D92403"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bCs w:val="0"/>
                <w:sz w:val="24"/>
                <w:u w:val="none"/>
              </w:rPr>
              <w:t xml:space="preserve">- </w:t>
            </w:r>
            <w:r w:rsidR="5C5AAA86" w:rsidRPr="763F32FC">
              <w:rPr>
                <w:rStyle w:val="InstructionsTabelleberschrift"/>
                <w:rFonts w:ascii="Times New Roman" w:hAnsi="Times New Roman"/>
                <w:b w:val="0"/>
                <w:bCs w:val="0"/>
                <w:sz w:val="24"/>
                <w:u w:val="none"/>
              </w:rPr>
              <w:t>IMS</w:t>
            </w:r>
          </w:p>
        </w:tc>
      </w:tr>
      <w:tr w:rsidR="00157828" w:rsidRPr="00EC067D" w14:paraId="64BE9BF4" w14:textId="77777777" w:rsidTr="763F32FC">
        <w:tc>
          <w:tcPr>
            <w:tcW w:w="1129" w:type="dxa"/>
          </w:tcPr>
          <w:p w14:paraId="20392DF4" w14:textId="5D20EF89" w:rsidR="00157828" w:rsidRPr="00EC067D" w:rsidRDefault="00157828"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00</w:t>
            </w:r>
            <w:r w:rsidR="4B36C453" w:rsidRPr="763F32FC">
              <w:rPr>
                <w:rStyle w:val="FormatvorlageInstructionsTabelleText"/>
                <w:rFonts w:ascii="Times New Roman" w:hAnsi="Times New Roman"/>
                <w:sz w:val="24"/>
              </w:rPr>
              <w:t>2</w:t>
            </w:r>
            <w:r w:rsidRPr="763F32FC">
              <w:rPr>
                <w:rStyle w:val="FormatvorlageInstructionsTabelleText"/>
                <w:rFonts w:ascii="Times New Roman" w:hAnsi="Times New Roman"/>
                <w:sz w:val="24"/>
              </w:rPr>
              <w:t>0</w:t>
            </w:r>
          </w:p>
        </w:tc>
        <w:tc>
          <w:tcPr>
            <w:tcW w:w="7620" w:type="dxa"/>
          </w:tcPr>
          <w:p w14:paraId="5F35D420" w14:textId="3A4EC9E8" w:rsidR="00157828" w:rsidRDefault="00DA2403" w:rsidP="0001573B">
            <w:pPr>
              <w:pStyle w:val="InstructionsText"/>
              <w:rPr>
                <w:rStyle w:val="InstructionsTabelleberschrift"/>
                <w:rFonts w:ascii="Times New Roman" w:hAnsi="Times New Roman"/>
                <w:sz w:val="24"/>
              </w:rPr>
            </w:pPr>
            <w:r w:rsidRPr="763F32FC">
              <w:rPr>
                <w:rStyle w:val="InstructionsTabelleberschrift"/>
                <w:rFonts w:ascii="Times New Roman" w:hAnsi="Times New Roman"/>
                <w:sz w:val="24"/>
              </w:rPr>
              <w:t xml:space="preserve">Requirement from the </w:t>
            </w:r>
            <w:r w:rsidR="005D1562">
              <w:rPr>
                <w:rStyle w:val="InstructionsTabelleberschrift"/>
                <w:rFonts w:ascii="Times New Roman" w:hAnsi="Times New Roman"/>
                <w:sz w:val="24"/>
              </w:rPr>
              <w:t>Competent Authority</w:t>
            </w:r>
            <w:r w:rsidR="00935C83">
              <w:rPr>
                <w:rStyle w:val="InstructionsTabelleberschrift"/>
                <w:rFonts w:ascii="Times New Roman" w:hAnsi="Times New Roman"/>
                <w:sz w:val="24"/>
              </w:rPr>
              <w:t xml:space="preserve"> (NII/EVE)</w:t>
            </w:r>
          </w:p>
          <w:p w14:paraId="389D5262" w14:textId="3F9D0DD0" w:rsidR="00277E76" w:rsidRDefault="00BE7DD8" w:rsidP="0001573B">
            <w:pPr>
              <w:pStyle w:val="InstructionsText"/>
              <w:rPr>
                <w:rStyle w:val="InstructionsTabelleberschrift"/>
                <w:rFonts w:ascii="Times New Roman" w:hAnsi="Times New Roman"/>
                <w:b w:val="0"/>
                <w:bCs w:val="0"/>
                <w:sz w:val="24"/>
                <w:u w:val="none"/>
              </w:rPr>
            </w:pPr>
            <w:r>
              <w:t xml:space="preserve">Article 84(3) and (4) of the CRD. </w:t>
            </w:r>
            <w:r w:rsidR="00311498" w:rsidRPr="00311498">
              <w:t>In case the institution</w:t>
            </w:r>
            <w:r w:rsidR="001B7B7C">
              <w:t>’s</w:t>
            </w:r>
            <w:r w:rsidR="00311498" w:rsidRPr="00311498">
              <w:t xml:space="preserve"> method for </w:t>
            </w:r>
            <w:r w:rsidR="001B7B7C">
              <w:t xml:space="preserve">calculating the </w:t>
            </w:r>
            <w:r w:rsidR="00311498" w:rsidRPr="00311498">
              <w:t xml:space="preserve">EVE/NII is based on the SA, </w:t>
            </w:r>
            <w:r w:rsidR="00311498">
              <w:t>i</w:t>
            </w:r>
            <w:r w:rsidR="00311498" w:rsidRPr="00661595">
              <w:t>nstitutions shall report</w:t>
            </w:r>
            <w:r w:rsidR="00311498" w:rsidRPr="00311498">
              <w:t xml:space="preserve"> </w:t>
            </w:r>
            <w:r w:rsidR="00D6706B">
              <w:t xml:space="preserve">whether </w:t>
            </w:r>
            <w:r w:rsidR="00311498" w:rsidRPr="00311498">
              <w:t>this</w:t>
            </w:r>
            <w:r w:rsidR="00311498">
              <w:t xml:space="preserve"> was</w:t>
            </w:r>
            <w:r w:rsidR="00311498" w:rsidRPr="00311498">
              <w:t xml:space="preserve"> a requirement from the C</w:t>
            </w:r>
            <w:r w:rsidR="008101C9">
              <w:t>ompetent Authority</w:t>
            </w:r>
            <w:r w:rsidR="00311498">
              <w:t>:</w:t>
            </w:r>
          </w:p>
          <w:p w14:paraId="066E4D86" w14:textId="5BD8052C" w:rsidR="00277E76" w:rsidRPr="00234DAE" w:rsidRDefault="00D92403"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3C948672" w:rsidRPr="763F32FC">
              <w:rPr>
                <w:rStyle w:val="InstructionsTabelleberschrift"/>
                <w:rFonts w:ascii="Times New Roman" w:hAnsi="Times New Roman"/>
                <w:b w:val="0"/>
                <w:bCs w:val="0"/>
                <w:sz w:val="24"/>
                <w:u w:val="none"/>
                <w:lang w:val="en-US"/>
              </w:rPr>
              <w:t>Yes</w:t>
            </w:r>
          </w:p>
          <w:p w14:paraId="5A773C0F" w14:textId="77777777" w:rsidR="00157828" w:rsidRDefault="00D92403" w:rsidP="0001573B">
            <w:pPr>
              <w:pStyle w:val="InstructionsText"/>
              <w:rPr>
                <w:rStyle w:val="InstructionsTabelleberschrift"/>
                <w:rFonts w:ascii="Times New Roman" w:hAnsi="Times New Roman"/>
                <w:b w:val="0"/>
                <w:bCs w:val="0"/>
                <w:sz w:val="24"/>
                <w:u w:val="none"/>
                <w:lang w:val="en-US"/>
              </w:rPr>
            </w:pPr>
            <w:r>
              <w:rPr>
                <w:rStyle w:val="InstructionsTabelleberschrift"/>
                <w:rFonts w:ascii="Times New Roman" w:hAnsi="Times New Roman"/>
                <w:b w:val="0"/>
                <w:bCs w:val="0"/>
                <w:sz w:val="24"/>
                <w:u w:val="none"/>
                <w:lang w:val="en-US"/>
              </w:rPr>
              <w:t xml:space="preserve">- </w:t>
            </w:r>
            <w:r w:rsidR="55657EEB" w:rsidRPr="763F32FC">
              <w:rPr>
                <w:rStyle w:val="InstructionsTabelleberschrift"/>
                <w:rFonts w:ascii="Times New Roman" w:hAnsi="Times New Roman"/>
                <w:b w:val="0"/>
                <w:bCs w:val="0"/>
                <w:sz w:val="24"/>
                <w:u w:val="none"/>
                <w:lang w:val="en-US"/>
              </w:rPr>
              <w:t>No</w:t>
            </w:r>
          </w:p>
          <w:p w14:paraId="4CA4AE46" w14:textId="24B70640" w:rsidR="00D92403" w:rsidRPr="00EC067D" w:rsidRDefault="00D92403"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bCs w:val="0"/>
                <w:sz w:val="24"/>
                <w:u w:val="none"/>
                <w:lang w:val="en-US"/>
              </w:rPr>
              <w:t>- Not applicable</w:t>
            </w:r>
          </w:p>
        </w:tc>
      </w:tr>
      <w:tr w:rsidR="763F32FC" w14:paraId="59431DE9" w14:textId="77777777" w:rsidTr="763F32FC">
        <w:tc>
          <w:tcPr>
            <w:tcW w:w="1129" w:type="dxa"/>
          </w:tcPr>
          <w:p w14:paraId="6EBAC84A" w14:textId="1DE0F1C8" w:rsidR="52C6E47D" w:rsidRDefault="52C6E47D"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0030</w:t>
            </w:r>
          </w:p>
        </w:tc>
        <w:tc>
          <w:tcPr>
            <w:tcW w:w="7620" w:type="dxa"/>
          </w:tcPr>
          <w:p w14:paraId="234AE587" w14:textId="56E42126" w:rsidR="00B20B37" w:rsidRDefault="00B20B37" w:rsidP="0001573B">
            <w:pPr>
              <w:pStyle w:val="InstructionsText"/>
              <w:rPr>
                <w:rStyle w:val="InstructionsTabelleberschrift"/>
                <w:rFonts w:ascii="Times New Roman" w:hAnsi="Times New Roman"/>
                <w:sz w:val="24"/>
              </w:rPr>
            </w:pPr>
            <w:r w:rsidRPr="763F32FC">
              <w:rPr>
                <w:rStyle w:val="InstructionsTabelleberschrift"/>
                <w:rFonts w:ascii="Times New Roman" w:hAnsi="Times New Roman"/>
                <w:sz w:val="24"/>
              </w:rPr>
              <w:t>Methodology (NII)</w:t>
            </w:r>
          </w:p>
          <w:p w14:paraId="66032093" w14:textId="0727BBDC" w:rsidR="52C6E47D" w:rsidRPr="00B30873" w:rsidRDefault="52C6E47D" w:rsidP="0001573B">
            <w:pPr>
              <w:pStyle w:val="InstructionsText"/>
            </w:pPr>
            <w:r w:rsidRPr="00B30873">
              <w:t>Institutions shall indicate whether a repricing gap</w:t>
            </w:r>
            <w:r w:rsidR="00D6706B">
              <w:t>, a</w:t>
            </w:r>
            <w:r w:rsidRPr="00B30873">
              <w:t xml:space="preserve"> full revaluation</w:t>
            </w:r>
            <w:r w:rsidR="00D6706B">
              <w:t xml:space="preserve"> or a mixed</w:t>
            </w:r>
            <w:r w:rsidRPr="00B30873">
              <w:t xml:space="preserve"> approach has been considered in the computation of the NII SOT. </w:t>
            </w:r>
          </w:p>
          <w:p w14:paraId="452346E8" w14:textId="78087E8D" w:rsidR="52C6E47D" w:rsidRDefault="00C5351C" w:rsidP="0001573B">
            <w:pPr>
              <w:pStyle w:val="InstructionsText"/>
            </w:pPr>
            <w:r>
              <w:t xml:space="preserve">- </w:t>
            </w:r>
            <w:r w:rsidR="52C6E47D" w:rsidRPr="00B30873">
              <w:t xml:space="preserve">Repricing </w:t>
            </w:r>
            <w:r w:rsidR="00D6706B">
              <w:t>g</w:t>
            </w:r>
            <w:r w:rsidR="00D6706B" w:rsidRPr="00B30873">
              <w:t>ap</w:t>
            </w:r>
            <w:r w:rsidR="00D6706B" w:rsidRPr="763F32FC">
              <w:t xml:space="preserve"> </w:t>
            </w:r>
          </w:p>
          <w:p w14:paraId="194FA0B0" w14:textId="359B95BD" w:rsidR="52C6E47D" w:rsidRPr="00B30873" w:rsidRDefault="00D92403" w:rsidP="0001573B">
            <w:pPr>
              <w:pStyle w:val="InstructionsText"/>
            </w:pPr>
            <w:r>
              <w:t xml:space="preserve">- </w:t>
            </w:r>
            <w:r w:rsidR="52C6E47D" w:rsidRPr="00B30873">
              <w:t xml:space="preserve">Full </w:t>
            </w:r>
            <w:r w:rsidR="00D6706B">
              <w:t>r</w:t>
            </w:r>
            <w:r w:rsidR="00D6706B" w:rsidRPr="00B30873">
              <w:t>evaluation</w:t>
            </w:r>
          </w:p>
          <w:p w14:paraId="76F39DDB" w14:textId="4603A7C9" w:rsidR="52C6E47D" w:rsidRDefault="00D92403" w:rsidP="0001573B">
            <w:pPr>
              <w:pStyle w:val="InstructionsText"/>
            </w:pPr>
            <w:r>
              <w:t xml:space="preserve">- </w:t>
            </w:r>
            <w:r w:rsidR="52C6E47D" w:rsidRPr="00B30873">
              <w:t>Mix</w:t>
            </w:r>
            <w:r w:rsidR="52C6E47D" w:rsidRPr="763F32FC">
              <w:t xml:space="preserve"> </w:t>
            </w:r>
          </w:p>
          <w:p w14:paraId="583AB55E" w14:textId="336EE049" w:rsidR="52C6E47D" w:rsidRDefault="00D92403" w:rsidP="0001573B">
            <w:pPr>
              <w:pStyle w:val="InstructionsText"/>
            </w:pPr>
            <w:r>
              <w:t xml:space="preserve">- </w:t>
            </w:r>
            <w:r w:rsidR="52C6E47D" w:rsidRPr="00B30873">
              <w:t>Other</w:t>
            </w:r>
          </w:p>
        </w:tc>
      </w:tr>
      <w:tr w:rsidR="763F32FC" w14:paraId="12B42F11" w14:textId="77777777" w:rsidTr="763F32FC">
        <w:tc>
          <w:tcPr>
            <w:tcW w:w="1129" w:type="dxa"/>
          </w:tcPr>
          <w:p w14:paraId="7E0CC1E5" w14:textId="53925547" w:rsidR="763F32FC" w:rsidRDefault="763F32FC"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00</w:t>
            </w:r>
            <w:r w:rsidR="3507C663" w:rsidRPr="763F32FC">
              <w:rPr>
                <w:rStyle w:val="FormatvorlageInstructionsTabelleText"/>
                <w:rFonts w:ascii="Times New Roman" w:hAnsi="Times New Roman"/>
                <w:sz w:val="24"/>
              </w:rPr>
              <w:t>4</w:t>
            </w:r>
            <w:r w:rsidRPr="763F32FC">
              <w:rPr>
                <w:rStyle w:val="FormatvorlageInstructionsTabelleText"/>
                <w:rFonts w:ascii="Times New Roman" w:hAnsi="Times New Roman"/>
                <w:sz w:val="24"/>
              </w:rPr>
              <w:t>0</w:t>
            </w:r>
          </w:p>
        </w:tc>
        <w:tc>
          <w:tcPr>
            <w:tcW w:w="7620" w:type="dxa"/>
          </w:tcPr>
          <w:p w14:paraId="24E44913" w14:textId="77777777" w:rsidR="00B30873" w:rsidRDefault="4FB20FC0" w:rsidP="00B30873">
            <w:pPr>
              <w:rPr>
                <w:rStyle w:val="InstructionsTabelleberschrift"/>
                <w:rFonts w:ascii="Times New Roman" w:hAnsi="Times New Roman"/>
                <w:sz w:val="24"/>
              </w:rPr>
            </w:pPr>
            <w:r w:rsidRPr="00B30873">
              <w:rPr>
                <w:rStyle w:val="InstructionsTabelleberschrift"/>
                <w:rFonts w:ascii="Times New Roman" w:hAnsi="Times New Roman"/>
                <w:sz w:val="24"/>
              </w:rPr>
              <w:t>Conditional Cash Flows (NII)</w:t>
            </w:r>
          </w:p>
          <w:p w14:paraId="58A3E268" w14:textId="770F6CCD" w:rsidR="0C990F80" w:rsidRPr="00B30873" w:rsidRDefault="0C990F80" w:rsidP="0001573B">
            <w:pPr>
              <w:pStyle w:val="InstructionsText"/>
            </w:pPr>
            <w:r w:rsidRPr="00B30873">
              <w:t xml:space="preserve">Institutions shall indicate whether conditional cash flows have been considered in the computation of the NII SOT. </w:t>
            </w:r>
          </w:p>
          <w:p w14:paraId="45813F3E" w14:textId="47DF9E61" w:rsidR="0C990F80" w:rsidRDefault="00C5351C" w:rsidP="0001573B">
            <w:pPr>
              <w:pStyle w:val="InstructionsText"/>
            </w:pPr>
            <w:r>
              <w:t xml:space="preserve">- </w:t>
            </w:r>
            <w:r w:rsidR="0C990F80" w:rsidRPr="00B30873">
              <w:t>All material items.</w:t>
            </w:r>
            <w:r w:rsidR="0C990F80" w:rsidRPr="763F32FC">
              <w:t xml:space="preserve"> </w:t>
            </w:r>
          </w:p>
          <w:p w14:paraId="7EBCAFEA" w14:textId="251F8DC3" w:rsidR="0C990F80" w:rsidRDefault="00C5351C" w:rsidP="0001573B">
            <w:pPr>
              <w:pStyle w:val="InstructionsText"/>
            </w:pPr>
            <w:r>
              <w:t xml:space="preserve">- </w:t>
            </w:r>
            <w:r w:rsidR="0C990F80" w:rsidRPr="00B30873">
              <w:t>Some material items.</w:t>
            </w:r>
            <w:r w:rsidR="0C990F80" w:rsidRPr="763F32FC">
              <w:t xml:space="preserve"> </w:t>
            </w:r>
          </w:p>
          <w:p w14:paraId="544BB1F4" w14:textId="75B9C96D" w:rsidR="763F32FC" w:rsidRDefault="00C5351C" w:rsidP="0001573B">
            <w:pPr>
              <w:pStyle w:val="InstructionsText"/>
            </w:pPr>
            <w:r>
              <w:t xml:space="preserve">- </w:t>
            </w:r>
            <w:r w:rsidR="0C990F80" w:rsidRPr="00B30873">
              <w:t>Not considered.</w:t>
            </w:r>
          </w:p>
        </w:tc>
      </w:tr>
      <w:tr w:rsidR="763F32FC" w14:paraId="3F42A7DA" w14:textId="77777777" w:rsidTr="763F32FC">
        <w:tc>
          <w:tcPr>
            <w:tcW w:w="1129" w:type="dxa"/>
          </w:tcPr>
          <w:p w14:paraId="0F383914" w14:textId="4C29E384" w:rsidR="763F32FC" w:rsidRDefault="763F32FC"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00</w:t>
            </w:r>
            <w:r w:rsidR="379DE35C" w:rsidRPr="763F32FC">
              <w:rPr>
                <w:rStyle w:val="FormatvorlageInstructionsTabelleText"/>
                <w:rFonts w:ascii="Times New Roman" w:hAnsi="Times New Roman"/>
                <w:sz w:val="24"/>
              </w:rPr>
              <w:t>5</w:t>
            </w:r>
            <w:r w:rsidRPr="763F32FC">
              <w:rPr>
                <w:rStyle w:val="FormatvorlageInstructionsTabelleText"/>
                <w:rFonts w:ascii="Times New Roman" w:hAnsi="Times New Roman"/>
                <w:sz w:val="24"/>
              </w:rPr>
              <w:t>0</w:t>
            </w:r>
          </w:p>
        </w:tc>
        <w:tc>
          <w:tcPr>
            <w:tcW w:w="7620" w:type="dxa"/>
          </w:tcPr>
          <w:p w14:paraId="09470A6C" w14:textId="33E9121B" w:rsidR="763F32FC" w:rsidRDefault="6B674FF6" w:rsidP="0001573B">
            <w:pPr>
              <w:pStyle w:val="InstructionsText"/>
              <w:rPr>
                <w:rStyle w:val="InstructionsTabelleberschrift"/>
                <w:rFonts w:ascii="Times New Roman" w:hAnsi="Times New Roman"/>
                <w:sz w:val="24"/>
              </w:rPr>
            </w:pPr>
            <w:r w:rsidRPr="763F32FC">
              <w:rPr>
                <w:rStyle w:val="InstructionsTabelleberschrift"/>
                <w:rFonts w:ascii="Times New Roman" w:hAnsi="Times New Roman"/>
                <w:sz w:val="24"/>
              </w:rPr>
              <w:t>Option Risk (NII)</w:t>
            </w:r>
          </w:p>
          <w:p w14:paraId="560A53E7" w14:textId="60D0D1C5" w:rsidR="3FE6FD8F" w:rsidRPr="00B30873" w:rsidRDefault="3FE6FD8F" w:rsidP="0001573B">
            <w:pPr>
              <w:pStyle w:val="InstructionsText"/>
            </w:pPr>
            <w:r w:rsidRPr="00B30873">
              <w:t xml:space="preserve">Institutions shall indicate whether option risk has been considered in the computation of the NII SOT. </w:t>
            </w:r>
          </w:p>
          <w:p w14:paraId="08F6654E" w14:textId="2AA290F5" w:rsidR="3FE6FD8F" w:rsidRPr="00B30873" w:rsidRDefault="00C5351C" w:rsidP="0001573B">
            <w:pPr>
              <w:pStyle w:val="InstructionsText"/>
            </w:pPr>
            <w:r>
              <w:t xml:space="preserve">- </w:t>
            </w:r>
            <w:r w:rsidR="3FE6FD8F" w:rsidRPr="00B30873">
              <w:t xml:space="preserve">Considered </w:t>
            </w:r>
          </w:p>
          <w:p w14:paraId="095F51A9" w14:textId="579FA343" w:rsidR="3FE6FD8F" w:rsidRDefault="00C5351C" w:rsidP="0001573B">
            <w:pPr>
              <w:pStyle w:val="InstructionsText"/>
              <w:rPr>
                <w:lang w:val="en-US"/>
              </w:rPr>
            </w:pPr>
            <w:r>
              <w:t xml:space="preserve">- </w:t>
            </w:r>
            <w:r w:rsidR="3FE6FD8F" w:rsidRPr="00B30873">
              <w:t>Not considered.</w:t>
            </w:r>
          </w:p>
        </w:tc>
      </w:tr>
      <w:tr w:rsidR="763F32FC" w14:paraId="2570BF8E" w14:textId="77777777" w:rsidTr="763F32FC">
        <w:tc>
          <w:tcPr>
            <w:tcW w:w="1129" w:type="dxa"/>
          </w:tcPr>
          <w:p w14:paraId="0BA99032" w14:textId="64B391ED" w:rsidR="763F32FC" w:rsidRDefault="763F32FC"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00</w:t>
            </w:r>
            <w:r w:rsidR="2E211C23" w:rsidRPr="763F32FC">
              <w:rPr>
                <w:rStyle w:val="FormatvorlageInstructionsTabelleText"/>
                <w:rFonts w:ascii="Times New Roman" w:hAnsi="Times New Roman"/>
                <w:sz w:val="24"/>
              </w:rPr>
              <w:t>6</w:t>
            </w:r>
            <w:r w:rsidRPr="763F32FC">
              <w:rPr>
                <w:rStyle w:val="FormatvorlageInstructionsTabelleText"/>
                <w:rFonts w:ascii="Times New Roman" w:hAnsi="Times New Roman"/>
                <w:sz w:val="24"/>
              </w:rPr>
              <w:t>0</w:t>
            </w:r>
          </w:p>
        </w:tc>
        <w:tc>
          <w:tcPr>
            <w:tcW w:w="7620" w:type="dxa"/>
          </w:tcPr>
          <w:p w14:paraId="330E5BA9" w14:textId="4DE8DEE2" w:rsidR="763F32FC" w:rsidRDefault="0207BC45" w:rsidP="0001573B">
            <w:pPr>
              <w:pStyle w:val="InstructionsText"/>
              <w:rPr>
                <w:rStyle w:val="InstructionsTabelleberschrift"/>
                <w:rFonts w:ascii="Times New Roman" w:hAnsi="Times New Roman"/>
                <w:sz w:val="24"/>
              </w:rPr>
            </w:pPr>
            <w:r w:rsidRPr="763F32FC">
              <w:rPr>
                <w:rStyle w:val="InstructionsTabelleberschrift"/>
                <w:rFonts w:ascii="Times New Roman" w:hAnsi="Times New Roman"/>
                <w:sz w:val="24"/>
              </w:rPr>
              <w:t>Basis Risk (NII)</w:t>
            </w:r>
          </w:p>
          <w:p w14:paraId="17E07B43" w14:textId="5385F79E" w:rsidR="070D7E34" w:rsidRPr="00B30873" w:rsidRDefault="070D7E34" w:rsidP="0001573B">
            <w:pPr>
              <w:pStyle w:val="InstructionsText"/>
            </w:pPr>
            <w:r w:rsidRPr="00B30873">
              <w:t xml:space="preserve">Institutions shall indicate whether basis risk has been considered in the computation of the NII SOT. </w:t>
            </w:r>
          </w:p>
          <w:p w14:paraId="3EE4DDE1" w14:textId="10106F9A" w:rsidR="070D7E34" w:rsidRPr="00B30873" w:rsidRDefault="00C5351C" w:rsidP="0001573B">
            <w:pPr>
              <w:pStyle w:val="InstructionsText"/>
            </w:pPr>
            <w:r>
              <w:t xml:space="preserve">- </w:t>
            </w:r>
            <w:r w:rsidR="070D7E34" w:rsidRPr="00B30873">
              <w:t xml:space="preserve">Considered </w:t>
            </w:r>
          </w:p>
          <w:p w14:paraId="649CCC92" w14:textId="5336EE1E" w:rsidR="070D7E34" w:rsidRDefault="00C5351C" w:rsidP="0001573B">
            <w:pPr>
              <w:pStyle w:val="InstructionsText"/>
              <w:rPr>
                <w:lang w:val="en-US"/>
              </w:rPr>
            </w:pPr>
            <w:r>
              <w:t xml:space="preserve">- </w:t>
            </w:r>
            <w:r w:rsidR="070D7E34" w:rsidRPr="00B30873">
              <w:t>Not considered.</w:t>
            </w:r>
          </w:p>
        </w:tc>
      </w:tr>
      <w:tr w:rsidR="763F32FC" w14:paraId="6486DBA5" w14:textId="77777777" w:rsidTr="763F32FC">
        <w:tc>
          <w:tcPr>
            <w:tcW w:w="1129" w:type="dxa"/>
          </w:tcPr>
          <w:p w14:paraId="741CBF91" w14:textId="7C1EA4E8" w:rsidR="763F32FC" w:rsidRDefault="763F32FC"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00</w:t>
            </w:r>
            <w:r w:rsidR="2429D0E6" w:rsidRPr="763F32FC">
              <w:rPr>
                <w:rStyle w:val="FormatvorlageInstructionsTabelleText"/>
                <w:rFonts w:ascii="Times New Roman" w:hAnsi="Times New Roman"/>
                <w:sz w:val="24"/>
              </w:rPr>
              <w:t>7</w:t>
            </w:r>
            <w:r w:rsidRPr="763F32FC">
              <w:rPr>
                <w:rStyle w:val="FormatvorlageInstructionsTabelleText"/>
                <w:rFonts w:ascii="Times New Roman" w:hAnsi="Times New Roman"/>
                <w:sz w:val="24"/>
              </w:rPr>
              <w:t>0</w:t>
            </w:r>
          </w:p>
        </w:tc>
        <w:tc>
          <w:tcPr>
            <w:tcW w:w="7620" w:type="dxa"/>
          </w:tcPr>
          <w:p w14:paraId="181923B9" w14:textId="08D89323" w:rsidR="003C5B8C" w:rsidRDefault="003C5B8C" w:rsidP="0001573B">
            <w:pPr>
              <w:pStyle w:val="InstructionsText"/>
              <w:rPr>
                <w:rStyle w:val="InstructionsTabelleberschrift"/>
                <w:rFonts w:ascii="Times New Roman" w:hAnsi="Times New Roman"/>
                <w:sz w:val="24"/>
              </w:rPr>
            </w:pPr>
            <w:r w:rsidRPr="763F32FC">
              <w:rPr>
                <w:rStyle w:val="InstructionsTabelleberschrift"/>
                <w:rFonts w:ascii="Times New Roman" w:hAnsi="Times New Roman"/>
                <w:sz w:val="24"/>
              </w:rPr>
              <w:t>Methodology (EVE)</w:t>
            </w:r>
          </w:p>
          <w:p w14:paraId="1BABA0D4" w14:textId="563F5F7B" w:rsidR="763F32FC" w:rsidRPr="00B30873" w:rsidRDefault="763F32FC" w:rsidP="0001573B">
            <w:pPr>
              <w:pStyle w:val="InstructionsText"/>
            </w:pPr>
            <w:r w:rsidRPr="00B30873">
              <w:t xml:space="preserve">Institutions shall indicate whether a </w:t>
            </w:r>
            <w:r w:rsidR="2E23D824" w:rsidRPr="00B30873">
              <w:t>duration</w:t>
            </w:r>
            <w:r w:rsidRPr="00B30873">
              <w:t xml:space="preserve"> gap or full revaluation approach has been considered in the computation of the </w:t>
            </w:r>
            <w:r w:rsidR="30AD5A1C" w:rsidRPr="00B30873">
              <w:t>EVE</w:t>
            </w:r>
            <w:r w:rsidRPr="00B30873">
              <w:t xml:space="preserve"> SOT. </w:t>
            </w:r>
          </w:p>
          <w:p w14:paraId="20A04372" w14:textId="6197E5A8" w:rsidR="64A51879" w:rsidRDefault="008A192D" w:rsidP="0001573B">
            <w:pPr>
              <w:pStyle w:val="InstructionsText"/>
            </w:pPr>
            <w:r>
              <w:t xml:space="preserve">- </w:t>
            </w:r>
            <w:r w:rsidR="64A51879" w:rsidRPr="00B30873">
              <w:t>Duration</w:t>
            </w:r>
            <w:r w:rsidR="763F32FC" w:rsidRPr="00B30873">
              <w:t xml:space="preserve"> Gap</w:t>
            </w:r>
            <w:r w:rsidR="763F32FC" w:rsidRPr="763F32FC">
              <w:t xml:space="preserve"> </w:t>
            </w:r>
          </w:p>
          <w:p w14:paraId="4C457BB6" w14:textId="21815FDE" w:rsidR="763F32FC" w:rsidRPr="00B30873" w:rsidRDefault="008A192D" w:rsidP="0001573B">
            <w:pPr>
              <w:pStyle w:val="InstructionsText"/>
            </w:pPr>
            <w:r>
              <w:t xml:space="preserve">- </w:t>
            </w:r>
            <w:r w:rsidR="763F32FC" w:rsidRPr="00B30873">
              <w:t>Full Revaluation</w:t>
            </w:r>
          </w:p>
          <w:p w14:paraId="4C151CBC" w14:textId="39EEF1DA" w:rsidR="763F32FC" w:rsidRDefault="008A192D" w:rsidP="0001573B">
            <w:pPr>
              <w:pStyle w:val="InstructionsText"/>
            </w:pPr>
            <w:r>
              <w:t xml:space="preserve">- </w:t>
            </w:r>
            <w:r w:rsidR="763F32FC" w:rsidRPr="00B30873">
              <w:t>Mix</w:t>
            </w:r>
            <w:r w:rsidR="763F32FC" w:rsidRPr="763F32FC">
              <w:t xml:space="preserve"> </w:t>
            </w:r>
          </w:p>
          <w:p w14:paraId="50BEB398" w14:textId="0A760400" w:rsidR="763F32FC" w:rsidRDefault="00C5351C" w:rsidP="0001573B">
            <w:pPr>
              <w:pStyle w:val="InstructionsText"/>
            </w:pPr>
            <w:r>
              <w:t xml:space="preserve">- </w:t>
            </w:r>
            <w:r w:rsidR="763F32FC" w:rsidRPr="00B30873">
              <w:t>Other</w:t>
            </w:r>
            <w:r w:rsidR="5A192C4B" w:rsidRPr="00B30873">
              <w:t>.</w:t>
            </w:r>
          </w:p>
        </w:tc>
      </w:tr>
      <w:tr w:rsidR="763F32FC" w14:paraId="00BE1C3A" w14:textId="77777777" w:rsidTr="763F32FC">
        <w:tc>
          <w:tcPr>
            <w:tcW w:w="1129" w:type="dxa"/>
          </w:tcPr>
          <w:p w14:paraId="574576BF" w14:textId="7B1007FE" w:rsidR="763F32FC" w:rsidRDefault="763F32FC"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00</w:t>
            </w:r>
            <w:r w:rsidR="4823C7BF" w:rsidRPr="763F32FC">
              <w:rPr>
                <w:rStyle w:val="FormatvorlageInstructionsTabelleText"/>
                <w:rFonts w:ascii="Times New Roman" w:hAnsi="Times New Roman"/>
                <w:sz w:val="24"/>
              </w:rPr>
              <w:t>8</w:t>
            </w:r>
            <w:r w:rsidRPr="763F32FC">
              <w:rPr>
                <w:rStyle w:val="FormatvorlageInstructionsTabelleText"/>
                <w:rFonts w:ascii="Times New Roman" w:hAnsi="Times New Roman"/>
                <w:sz w:val="24"/>
              </w:rPr>
              <w:t>0</w:t>
            </w:r>
          </w:p>
        </w:tc>
        <w:tc>
          <w:tcPr>
            <w:tcW w:w="7620" w:type="dxa"/>
          </w:tcPr>
          <w:p w14:paraId="560D6E2E" w14:textId="4C948B63" w:rsidR="763F32FC" w:rsidRDefault="763F32FC" w:rsidP="0001573B">
            <w:pPr>
              <w:pStyle w:val="InstructionsText"/>
              <w:rPr>
                <w:rStyle w:val="InstructionsTabelleberschrift"/>
                <w:rFonts w:ascii="Times New Roman" w:hAnsi="Times New Roman"/>
                <w:sz w:val="24"/>
              </w:rPr>
            </w:pPr>
            <w:r w:rsidRPr="763F32FC">
              <w:rPr>
                <w:rStyle w:val="InstructionsTabelleberschrift"/>
                <w:rFonts w:ascii="Times New Roman" w:hAnsi="Times New Roman"/>
                <w:sz w:val="24"/>
              </w:rPr>
              <w:t>Conditional Cash Flows (</w:t>
            </w:r>
            <w:r w:rsidR="25EEF4CF" w:rsidRPr="763F32FC">
              <w:rPr>
                <w:rStyle w:val="InstructionsTabelleberschrift"/>
                <w:rFonts w:ascii="Times New Roman" w:hAnsi="Times New Roman"/>
                <w:sz w:val="24"/>
              </w:rPr>
              <w:t>EVE</w:t>
            </w:r>
            <w:r w:rsidRPr="763F32FC">
              <w:rPr>
                <w:rStyle w:val="InstructionsTabelleberschrift"/>
                <w:rFonts w:ascii="Times New Roman" w:hAnsi="Times New Roman"/>
                <w:sz w:val="24"/>
              </w:rPr>
              <w:t>)</w:t>
            </w:r>
          </w:p>
          <w:p w14:paraId="5A1AF2A1" w14:textId="3B76AF8D" w:rsidR="763F32FC" w:rsidRPr="00B30873" w:rsidRDefault="763F32FC" w:rsidP="0001573B">
            <w:pPr>
              <w:pStyle w:val="InstructionsText"/>
            </w:pPr>
            <w:r w:rsidRPr="00B30873">
              <w:t xml:space="preserve">Institutions shall indicate whether conditional cash flows have been considered in the computation of the </w:t>
            </w:r>
            <w:r w:rsidR="3DB6D6AB" w:rsidRPr="00B30873">
              <w:t>EVE</w:t>
            </w:r>
            <w:r w:rsidRPr="00B30873">
              <w:t xml:space="preserve"> SOT. </w:t>
            </w:r>
          </w:p>
          <w:p w14:paraId="78F8AD0B" w14:textId="1129F12A" w:rsidR="763F32FC" w:rsidRDefault="008A192D" w:rsidP="0001573B">
            <w:pPr>
              <w:pStyle w:val="InstructionsText"/>
            </w:pPr>
            <w:r>
              <w:t xml:space="preserve">- </w:t>
            </w:r>
            <w:r w:rsidR="763F32FC" w:rsidRPr="00B30873">
              <w:t>All material items.</w:t>
            </w:r>
            <w:r w:rsidR="763F32FC" w:rsidRPr="763F32FC">
              <w:t xml:space="preserve"> </w:t>
            </w:r>
          </w:p>
          <w:p w14:paraId="0B4611A5" w14:textId="76EBFE17" w:rsidR="763F32FC" w:rsidRDefault="008A192D" w:rsidP="0001573B">
            <w:pPr>
              <w:pStyle w:val="InstructionsText"/>
            </w:pPr>
            <w:r>
              <w:t xml:space="preserve">- </w:t>
            </w:r>
            <w:r w:rsidR="763F32FC" w:rsidRPr="00B30873">
              <w:t>Some material items.</w:t>
            </w:r>
            <w:r w:rsidR="763F32FC" w:rsidRPr="763F32FC">
              <w:t xml:space="preserve"> </w:t>
            </w:r>
          </w:p>
          <w:p w14:paraId="71069CE3" w14:textId="3382C252" w:rsidR="763F32FC" w:rsidRDefault="008A192D" w:rsidP="0001573B">
            <w:pPr>
              <w:pStyle w:val="InstructionsText"/>
            </w:pPr>
            <w:r>
              <w:t xml:space="preserve">- </w:t>
            </w:r>
            <w:r w:rsidR="763F32FC" w:rsidRPr="00B30873">
              <w:t>Not considered.</w:t>
            </w:r>
          </w:p>
        </w:tc>
      </w:tr>
      <w:tr w:rsidR="763F32FC" w14:paraId="369003CD" w14:textId="77777777" w:rsidTr="763F32FC">
        <w:tc>
          <w:tcPr>
            <w:tcW w:w="1129" w:type="dxa"/>
          </w:tcPr>
          <w:p w14:paraId="606284D4" w14:textId="533997E0" w:rsidR="763F32FC" w:rsidRDefault="763F32FC"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00</w:t>
            </w:r>
            <w:r w:rsidR="5173895E" w:rsidRPr="763F32FC">
              <w:rPr>
                <w:rStyle w:val="FormatvorlageInstructionsTabelleText"/>
                <w:rFonts w:ascii="Times New Roman" w:hAnsi="Times New Roman"/>
                <w:sz w:val="24"/>
              </w:rPr>
              <w:t>9</w:t>
            </w:r>
            <w:r w:rsidRPr="763F32FC">
              <w:rPr>
                <w:rStyle w:val="FormatvorlageInstructionsTabelleText"/>
                <w:rFonts w:ascii="Times New Roman" w:hAnsi="Times New Roman"/>
                <w:sz w:val="24"/>
              </w:rPr>
              <w:t>0</w:t>
            </w:r>
          </w:p>
        </w:tc>
        <w:tc>
          <w:tcPr>
            <w:tcW w:w="7620" w:type="dxa"/>
          </w:tcPr>
          <w:p w14:paraId="12CC20AA" w14:textId="79B4262F" w:rsidR="763F32FC" w:rsidRDefault="763F32FC" w:rsidP="0001573B">
            <w:pPr>
              <w:pStyle w:val="InstructionsText"/>
              <w:rPr>
                <w:rStyle w:val="InstructionsTabelleberschrift"/>
                <w:rFonts w:ascii="Times New Roman" w:hAnsi="Times New Roman"/>
                <w:sz w:val="24"/>
              </w:rPr>
            </w:pPr>
            <w:r w:rsidRPr="763F32FC">
              <w:rPr>
                <w:rStyle w:val="InstructionsTabelleberschrift"/>
                <w:rFonts w:ascii="Times New Roman" w:hAnsi="Times New Roman"/>
                <w:sz w:val="24"/>
              </w:rPr>
              <w:t>Option Risk (</w:t>
            </w:r>
            <w:r w:rsidR="68B11A59" w:rsidRPr="763F32FC">
              <w:rPr>
                <w:rStyle w:val="InstructionsTabelleberschrift"/>
                <w:rFonts w:ascii="Times New Roman" w:hAnsi="Times New Roman"/>
                <w:sz w:val="24"/>
              </w:rPr>
              <w:t>EVE</w:t>
            </w:r>
            <w:r w:rsidRPr="763F32FC">
              <w:rPr>
                <w:rStyle w:val="InstructionsTabelleberschrift"/>
                <w:rFonts w:ascii="Times New Roman" w:hAnsi="Times New Roman"/>
                <w:sz w:val="24"/>
              </w:rPr>
              <w:t>)</w:t>
            </w:r>
          </w:p>
          <w:p w14:paraId="2937ACD4" w14:textId="67DF171C" w:rsidR="763F32FC" w:rsidRPr="00B30873" w:rsidRDefault="763F32FC" w:rsidP="0001573B">
            <w:pPr>
              <w:pStyle w:val="InstructionsText"/>
            </w:pPr>
            <w:r w:rsidRPr="00B30873">
              <w:t xml:space="preserve">Institutions shall indicate whether option risk has been considered in the computation of the </w:t>
            </w:r>
            <w:r w:rsidR="0C134023" w:rsidRPr="00B30873">
              <w:t>EVE</w:t>
            </w:r>
            <w:r w:rsidRPr="00B30873">
              <w:t xml:space="preserve"> SOT. </w:t>
            </w:r>
          </w:p>
          <w:p w14:paraId="548B2643" w14:textId="1AC680D6" w:rsidR="763F32FC" w:rsidRPr="00B30873" w:rsidRDefault="008A192D" w:rsidP="0001573B">
            <w:pPr>
              <w:pStyle w:val="InstructionsText"/>
            </w:pPr>
            <w:r>
              <w:t xml:space="preserve">- </w:t>
            </w:r>
            <w:r w:rsidR="763F32FC" w:rsidRPr="00B30873">
              <w:t xml:space="preserve">Considered </w:t>
            </w:r>
          </w:p>
          <w:p w14:paraId="587E9328" w14:textId="37528544" w:rsidR="763F32FC" w:rsidRDefault="008A192D" w:rsidP="0001573B">
            <w:pPr>
              <w:pStyle w:val="InstructionsText"/>
              <w:rPr>
                <w:lang w:val="en-US"/>
              </w:rPr>
            </w:pPr>
            <w:r>
              <w:t xml:space="preserve">- </w:t>
            </w:r>
            <w:r w:rsidR="763F32FC" w:rsidRPr="00B30873">
              <w:t>Not considered.</w:t>
            </w:r>
          </w:p>
        </w:tc>
      </w:tr>
      <w:tr w:rsidR="763F32FC" w14:paraId="2AFEFF08" w14:textId="77777777" w:rsidTr="763F32FC">
        <w:tc>
          <w:tcPr>
            <w:tcW w:w="1129" w:type="dxa"/>
          </w:tcPr>
          <w:p w14:paraId="72EDD5E2" w14:textId="74868C79" w:rsidR="763F32FC" w:rsidRDefault="763F32FC"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w:t>
            </w:r>
            <w:r w:rsidR="72420A77" w:rsidRPr="763F32FC">
              <w:rPr>
                <w:rStyle w:val="FormatvorlageInstructionsTabelleText"/>
                <w:rFonts w:ascii="Times New Roman" w:hAnsi="Times New Roman"/>
                <w:sz w:val="24"/>
              </w:rPr>
              <w:t>10</w:t>
            </w:r>
            <w:r w:rsidRPr="763F32FC">
              <w:rPr>
                <w:rStyle w:val="FormatvorlageInstructionsTabelleText"/>
                <w:rFonts w:ascii="Times New Roman" w:hAnsi="Times New Roman"/>
                <w:sz w:val="24"/>
              </w:rPr>
              <w:t>0</w:t>
            </w:r>
          </w:p>
        </w:tc>
        <w:tc>
          <w:tcPr>
            <w:tcW w:w="7620" w:type="dxa"/>
          </w:tcPr>
          <w:p w14:paraId="7382AF45" w14:textId="0F29D562" w:rsidR="763F32FC" w:rsidRDefault="763F32FC" w:rsidP="0001573B">
            <w:pPr>
              <w:pStyle w:val="InstructionsText"/>
              <w:rPr>
                <w:rStyle w:val="InstructionsTabelleberschrift"/>
                <w:rFonts w:ascii="Times New Roman" w:hAnsi="Times New Roman"/>
                <w:sz w:val="24"/>
              </w:rPr>
            </w:pPr>
            <w:r w:rsidRPr="763F32FC">
              <w:rPr>
                <w:rStyle w:val="InstructionsTabelleberschrift"/>
                <w:rFonts w:ascii="Times New Roman" w:hAnsi="Times New Roman"/>
                <w:sz w:val="24"/>
              </w:rPr>
              <w:t>Basis Risk (</w:t>
            </w:r>
            <w:r w:rsidR="108DEEBD" w:rsidRPr="763F32FC">
              <w:rPr>
                <w:rStyle w:val="InstructionsTabelleberschrift"/>
                <w:rFonts w:ascii="Times New Roman" w:hAnsi="Times New Roman"/>
                <w:sz w:val="24"/>
              </w:rPr>
              <w:t>EVE</w:t>
            </w:r>
            <w:r w:rsidRPr="763F32FC">
              <w:rPr>
                <w:rStyle w:val="InstructionsTabelleberschrift"/>
                <w:rFonts w:ascii="Times New Roman" w:hAnsi="Times New Roman"/>
                <w:sz w:val="24"/>
              </w:rPr>
              <w:t>)</w:t>
            </w:r>
          </w:p>
          <w:p w14:paraId="3B23B83A" w14:textId="592C76B6" w:rsidR="763F32FC" w:rsidRPr="00B30873" w:rsidRDefault="763F32FC" w:rsidP="763F32FC">
            <w:pPr>
              <w:rPr>
                <w:rFonts w:ascii="Times New Roman" w:hAnsi="Times New Roman"/>
                <w:sz w:val="24"/>
                <w:lang w:eastAsia="de-DE"/>
              </w:rPr>
            </w:pPr>
            <w:r w:rsidRPr="00B30873">
              <w:rPr>
                <w:rFonts w:ascii="Times New Roman" w:hAnsi="Times New Roman"/>
                <w:sz w:val="24"/>
                <w:lang w:eastAsia="de-DE"/>
              </w:rPr>
              <w:t xml:space="preserve">Institutions shall indicate whether basis risk has been considered in the computation of the </w:t>
            </w:r>
            <w:r w:rsidR="1B43FCCD" w:rsidRPr="00B30873">
              <w:rPr>
                <w:rFonts w:ascii="Times New Roman" w:hAnsi="Times New Roman"/>
                <w:sz w:val="24"/>
                <w:lang w:eastAsia="de-DE"/>
              </w:rPr>
              <w:t>EVE</w:t>
            </w:r>
            <w:r w:rsidRPr="00B30873">
              <w:rPr>
                <w:rFonts w:ascii="Times New Roman" w:hAnsi="Times New Roman"/>
                <w:sz w:val="24"/>
                <w:lang w:eastAsia="de-DE"/>
              </w:rPr>
              <w:t xml:space="preserve"> SOT. </w:t>
            </w:r>
          </w:p>
          <w:p w14:paraId="424B47DA" w14:textId="2816B646" w:rsidR="763F32FC" w:rsidRPr="00B30873" w:rsidRDefault="008A192D" w:rsidP="0001573B">
            <w:pPr>
              <w:pStyle w:val="InstructionsText"/>
            </w:pPr>
            <w:r>
              <w:t xml:space="preserve">- </w:t>
            </w:r>
            <w:r w:rsidR="763F32FC" w:rsidRPr="00B30873">
              <w:t xml:space="preserve">Considered </w:t>
            </w:r>
          </w:p>
          <w:p w14:paraId="232998CD" w14:textId="1B924C16" w:rsidR="763F32FC" w:rsidRDefault="008A192D" w:rsidP="0001573B">
            <w:pPr>
              <w:pStyle w:val="InstructionsText"/>
              <w:rPr>
                <w:lang w:val="en-US"/>
              </w:rPr>
            </w:pPr>
            <w:r>
              <w:t xml:space="preserve">- </w:t>
            </w:r>
            <w:r w:rsidR="763F32FC" w:rsidRPr="00B30873">
              <w:t>Not considered.</w:t>
            </w:r>
          </w:p>
        </w:tc>
      </w:tr>
      <w:tr w:rsidR="00C12CCF" w:rsidRPr="00EC067D" w14:paraId="2C78FC42" w14:textId="77777777" w:rsidTr="763F32FC">
        <w:tc>
          <w:tcPr>
            <w:tcW w:w="1129" w:type="dxa"/>
          </w:tcPr>
          <w:p w14:paraId="1930DDCD" w14:textId="4E12156D" w:rsidR="00C12CCF" w:rsidRDefault="00C12CCF"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w:t>
            </w:r>
            <w:r w:rsidR="2412A5D3" w:rsidRPr="763F32FC">
              <w:rPr>
                <w:rStyle w:val="FormatvorlageInstructionsTabelleText"/>
                <w:rFonts w:ascii="Times New Roman" w:hAnsi="Times New Roman"/>
                <w:sz w:val="24"/>
              </w:rPr>
              <w:t>11</w:t>
            </w:r>
            <w:r w:rsidRPr="763F32FC">
              <w:rPr>
                <w:rStyle w:val="FormatvorlageInstructionsTabelleText"/>
                <w:rFonts w:ascii="Times New Roman" w:hAnsi="Times New Roman"/>
                <w:sz w:val="24"/>
              </w:rPr>
              <w:t>0</w:t>
            </w:r>
          </w:p>
        </w:tc>
        <w:tc>
          <w:tcPr>
            <w:tcW w:w="7620" w:type="dxa"/>
          </w:tcPr>
          <w:p w14:paraId="6C36D5EE" w14:textId="2DE64B9A" w:rsidR="00E626D0" w:rsidRPr="00C12CCF" w:rsidRDefault="00E626D0" w:rsidP="0001573B">
            <w:pPr>
              <w:pStyle w:val="InstructionsText"/>
              <w:rPr>
                <w:rStyle w:val="InstructionsTabelleberschrift"/>
                <w:rFonts w:ascii="Times New Roman" w:hAnsi="Times New Roman"/>
                <w:sz w:val="24"/>
              </w:rPr>
            </w:pPr>
            <w:r w:rsidRPr="763F32FC">
              <w:rPr>
                <w:rStyle w:val="InstructionsTabelleberschrift"/>
                <w:rFonts w:ascii="Times New Roman" w:hAnsi="Times New Roman"/>
                <w:sz w:val="24"/>
              </w:rPr>
              <w:t>Commercial margins/other spread components</w:t>
            </w:r>
            <w:r w:rsidR="6783D453" w:rsidRPr="763F32FC">
              <w:rPr>
                <w:rStyle w:val="InstructionsTabelleberschrift"/>
                <w:rFonts w:ascii="Times New Roman" w:hAnsi="Times New Roman"/>
                <w:sz w:val="24"/>
              </w:rPr>
              <w:t xml:space="preserve"> (EVE)</w:t>
            </w:r>
          </w:p>
          <w:p w14:paraId="0F471F3B" w14:textId="2B60EF94" w:rsidR="0041268F" w:rsidRDefault="0041268F" w:rsidP="0001573B">
            <w:pPr>
              <w:pStyle w:val="InstructionsText"/>
              <w:rPr>
                <w:rStyle w:val="InstructionsTabelleberschrift"/>
                <w:rFonts w:ascii="Times New Roman" w:hAnsi="Times New Roman"/>
                <w:b w:val="0"/>
                <w:bCs w:val="0"/>
                <w:sz w:val="24"/>
                <w:u w:val="none"/>
              </w:rPr>
            </w:pPr>
            <w:r w:rsidRPr="00661595">
              <w:t xml:space="preserve">Institutions shall </w:t>
            </w:r>
            <w:r w:rsidR="00E626D0">
              <w:t>indicate whether</w:t>
            </w:r>
            <w:r w:rsidR="00E626D0" w:rsidRPr="00E626D0">
              <w:t xml:space="preserve"> commercial margins and other spread components </w:t>
            </w:r>
            <w:r w:rsidR="00E626D0">
              <w:t xml:space="preserve">have </w:t>
            </w:r>
            <w:r w:rsidR="00E626D0" w:rsidRPr="00E626D0">
              <w:t xml:space="preserve">been </w:t>
            </w:r>
            <w:r w:rsidR="0003330C">
              <w:t>included</w:t>
            </w:r>
            <w:r w:rsidR="00E626D0" w:rsidRPr="00E626D0">
              <w:t xml:space="preserve"> in the computation of the </w:t>
            </w:r>
            <w:r w:rsidR="002E03F5" w:rsidRPr="00E626D0">
              <w:t>EVE</w:t>
            </w:r>
            <w:r w:rsidR="002E03F5">
              <w:t xml:space="preserve"> SOT</w:t>
            </w:r>
            <w:r w:rsidR="002E03F5" w:rsidRPr="00E626D0">
              <w:t xml:space="preserve"> </w:t>
            </w:r>
            <w:r w:rsidR="00E626D0" w:rsidRPr="00E626D0">
              <w:t>risk measure</w:t>
            </w:r>
            <w:r>
              <w:t>:</w:t>
            </w:r>
          </w:p>
          <w:p w14:paraId="5D3C585E" w14:textId="77777777" w:rsidR="008A192D"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63452C95">
              <w:rPr>
                <w:rStyle w:val="InstructionsTabelleberschrift"/>
                <w:rFonts w:ascii="Times New Roman" w:hAnsi="Times New Roman"/>
                <w:b w:val="0"/>
                <w:bCs w:val="0"/>
                <w:sz w:val="24"/>
                <w:u w:val="none"/>
                <w:lang w:val="en-US"/>
              </w:rPr>
              <w:t>Included</w:t>
            </w:r>
          </w:p>
          <w:p w14:paraId="02B9C9A2" w14:textId="33FA0E9E" w:rsidR="00C12CCF"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763F32FC">
              <w:rPr>
                <w:rStyle w:val="InstructionsTabelleberschrift"/>
                <w:rFonts w:ascii="Times New Roman" w:hAnsi="Times New Roman"/>
                <w:b w:val="0"/>
                <w:bCs w:val="0"/>
                <w:sz w:val="24"/>
                <w:u w:val="none"/>
                <w:lang w:val="en-US"/>
              </w:rPr>
              <w:t>Excluded</w:t>
            </w:r>
          </w:p>
        </w:tc>
      </w:tr>
      <w:tr w:rsidR="00C12CCF" w:rsidRPr="00EC067D" w14:paraId="1A79783A" w14:textId="77777777" w:rsidTr="763F32FC">
        <w:tc>
          <w:tcPr>
            <w:tcW w:w="1129" w:type="dxa"/>
          </w:tcPr>
          <w:p w14:paraId="3872307E" w14:textId="1AFD8382" w:rsidR="00C12CCF" w:rsidRDefault="00C12CCF"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w:t>
            </w:r>
            <w:r w:rsidR="4BBA22DE" w:rsidRPr="763F32FC">
              <w:rPr>
                <w:rStyle w:val="FormatvorlageInstructionsTabelleText"/>
                <w:rFonts w:ascii="Times New Roman" w:hAnsi="Times New Roman"/>
                <w:sz w:val="24"/>
              </w:rPr>
              <w:t>12</w:t>
            </w:r>
            <w:r w:rsidRPr="763F32FC">
              <w:rPr>
                <w:rStyle w:val="FormatvorlageInstructionsTabelleText"/>
                <w:rFonts w:ascii="Times New Roman" w:hAnsi="Times New Roman"/>
                <w:sz w:val="24"/>
              </w:rPr>
              <w:t>0</w:t>
            </w:r>
          </w:p>
        </w:tc>
        <w:tc>
          <w:tcPr>
            <w:tcW w:w="7620" w:type="dxa"/>
          </w:tcPr>
          <w:p w14:paraId="4C3231D0" w14:textId="78D6A9F2" w:rsidR="0003330C" w:rsidRDefault="0003330C" w:rsidP="00E138D5">
            <w:pPr>
              <w:spacing w:before="0"/>
              <w:rPr>
                <w:rStyle w:val="InstructionsTabelleberschrift"/>
                <w:rFonts w:ascii="Times New Roman" w:hAnsi="Times New Roman"/>
                <w:sz w:val="24"/>
                <w:lang w:eastAsia="de-DE"/>
              </w:rPr>
            </w:pPr>
            <w:r w:rsidRPr="0003330C">
              <w:rPr>
                <w:rStyle w:val="InstructionsTabelleberschrift"/>
                <w:rFonts w:ascii="Times New Roman" w:hAnsi="Times New Roman"/>
                <w:sz w:val="24"/>
                <w:lang w:eastAsia="de-DE"/>
              </w:rPr>
              <w:t>Penalty fees from loan prepayments</w:t>
            </w:r>
          </w:p>
          <w:p w14:paraId="7BD499BC" w14:textId="2D316A30" w:rsidR="00E138D5" w:rsidRDefault="00E138D5" w:rsidP="0001573B">
            <w:pPr>
              <w:pStyle w:val="InstructionsText"/>
              <w:rPr>
                <w:rStyle w:val="InstructionsTabelleberschrift"/>
                <w:rFonts w:ascii="Times New Roman" w:hAnsi="Times New Roman"/>
                <w:b w:val="0"/>
                <w:bCs w:val="0"/>
                <w:sz w:val="24"/>
                <w:u w:val="none"/>
                <w:lang w:eastAsia="en-US"/>
              </w:rPr>
            </w:pPr>
            <w:r>
              <w:t xml:space="preserve">Institutions shall </w:t>
            </w:r>
            <w:r w:rsidR="0003330C">
              <w:t xml:space="preserve">indicate whether penalty fees from loan prepayments have been included as part of the </w:t>
            </w:r>
            <w:r w:rsidR="004F7BD3">
              <w:t>EVE/</w:t>
            </w:r>
            <w:r w:rsidR="003F460E">
              <w:t>NII SOT</w:t>
            </w:r>
            <w:r>
              <w:t>:</w:t>
            </w:r>
          </w:p>
          <w:p w14:paraId="3739DD8A" w14:textId="77777777" w:rsidR="008A192D"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63452C95">
              <w:rPr>
                <w:rStyle w:val="InstructionsTabelleberschrift"/>
                <w:rFonts w:ascii="Times New Roman" w:hAnsi="Times New Roman"/>
                <w:b w:val="0"/>
                <w:bCs w:val="0"/>
                <w:sz w:val="24"/>
                <w:u w:val="none"/>
                <w:lang w:val="en-US"/>
              </w:rPr>
              <w:t>Included</w:t>
            </w:r>
          </w:p>
          <w:p w14:paraId="0FBB2B51" w14:textId="69D2AB27" w:rsidR="00C12CCF"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763F32FC">
              <w:rPr>
                <w:rStyle w:val="InstructionsTabelleberschrift"/>
                <w:rFonts w:ascii="Times New Roman" w:hAnsi="Times New Roman"/>
                <w:b w:val="0"/>
                <w:bCs w:val="0"/>
                <w:sz w:val="24"/>
                <w:u w:val="none"/>
                <w:lang w:val="en-US"/>
              </w:rPr>
              <w:t>Excluded</w:t>
            </w:r>
          </w:p>
        </w:tc>
      </w:tr>
      <w:tr w:rsidR="00C12CCF" w:rsidRPr="00EC067D" w14:paraId="264BB766" w14:textId="77777777" w:rsidTr="763F32FC">
        <w:tc>
          <w:tcPr>
            <w:tcW w:w="1129" w:type="dxa"/>
          </w:tcPr>
          <w:p w14:paraId="41060C95" w14:textId="56216889" w:rsidR="00C12CCF" w:rsidRDefault="00C12CCF"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w:t>
            </w:r>
            <w:r w:rsidR="300B33FB" w:rsidRPr="763F32FC">
              <w:rPr>
                <w:rStyle w:val="FormatvorlageInstructionsTabelleText"/>
                <w:rFonts w:ascii="Times New Roman" w:hAnsi="Times New Roman"/>
                <w:sz w:val="24"/>
              </w:rPr>
              <w:t>13</w:t>
            </w:r>
            <w:r w:rsidRPr="763F32FC">
              <w:rPr>
                <w:rStyle w:val="FormatvorlageInstructionsTabelleText"/>
                <w:rFonts w:ascii="Times New Roman" w:hAnsi="Times New Roman"/>
                <w:sz w:val="24"/>
              </w:rPr>
              <w:t>0</w:t>
            </w:r>
          </w:p>
        </w:tc>
        <w:tc>
          <w:tcPr>
            <w:tcW w:w="7620" w:type="dxa"/>
          </w:tcPr>
          <w:p w14:paraId="466E2A73" w14:textId="199EAD3A" w:rsidR="00772D0F" w:rsidRDefault="00772D0F" w:rsidP="0001573B">
            <w:pPr>
              <w:pStyle w:val="InstructionsText"/>
              <w:rPr>
                <w:rStyle w:val="InstructionsTabelleberschrift"/>
                <w:rFonts w:ascii="Times New Roman" w:hAnsi="Times New Roman"/>
                <w:sz w:val="24"/>
              </w:rPr>
            </w:pPr>
            <w:r w:rsidRPr="00772D0F">
              <w:rPr>
                <w:rStyle w:val="InstructionsTabelleberschrift"/>
                <w:rFonts w:ascii="Times New Roman" w:hAnsi="Times New Roman"/>
                <w:sz w:val="24"/>
              </w:rPr>
              <w:t>Pension obligations/pension plan assets</w:t>
            </w:r>
          </w:p>
          <w:p w14:paraId="32BE6413" w14:textId="75B316BE" w:rsidR="00E138D5" w:rsidRDefault="00E138D5" w:rsidP="0001573B">
            <w:pPr>
              <w:pStyle w:val="InstructionsText"/>
              <w:rPr>
                <w:rStyle w:val="InstructionsTabelleberschrift"/>
                <w:rFonts w:ascii="Times New Roman" w:hAnsi="Times New Roman"/>
                <w:b w:val="0"/>
                <w:bCs w:val="0"/>
                <w:sz w:val="24"/>
                <w:u w:val="none"/>
              </w:rPr>
            </w:pPr>
            <w:r w:rsidRPr="00661595">
              <w:t xml:space="preserve">Institutions shall </w:t>
            </w:r>
            <w:r w:rsidR="00775570">
              <w:t xml:space="preserve">indicate whether </w:t>
            </w:r>
            <w:r w:rsidR="00775570" w:rsidRPr="00841D88">
              <w:t xml:space="preserve">pension obligations and pension plan assets have been included in the calculation of </w:t>
            </w:r>
            <w:r w:rsidR="00DE00F1">
              <w:t>EVE</w:t>
            </w:r>
            <w:r w:rsidR="004105F7">
              <w:t>/NII</w:t>
            </w:r>
            <w:r w:rsidR="00DE00F1">
              <w:t xml:space="preserve"> SOT</w:t>
            </w:r>
            <w:r>
              <w:t>:</w:t>
            </w:r>
          </w:p>
          <w:p w14:paraId="09F4D480" w14:textId="77777777" w:rsidR="008A192D"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63452C95">
              <w:rPr>
                <w:rStyle w:val="InstructionsTabelleberschrift"/>
                <w:rFonts w:ascii="Times New Roman" w:hAnsi="Times New Roman"/>
                <w:b w:val="0"/>
                <w:bCs w:val="0"/>
                <w:sz w:val="24"/>
                <w:u w:val="none"/>
                <w:lang w:val="en-US"/>
              </w:rPr>
              <w:t>Included</w:t>
            </w:r>
          </w:p>
          <w:p w14:paraId="201D7CDC" w14:textId="2A02F464" w:rsidR="00C12CCF"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763F32FC">
              <w:rPr>
                <w:rStyle w:val="InstructionsTabelleberschrift"/>
                <w:rFonts w:ascii="Times New Roman" w:hAnsi="Times New Roman"/>
                <w:b w:val="0"/>
                <w:bCs w:val="0"/>
                <w:sz w:val="24"/>
                <w:u w:val="none"/>
                <w:lang w:val="en-US"/>
              </w:rPr>
              <w:t>Excluded</w:t>
            </w:r>
          </w:p>
        </w:tc>
      </w:tr>
      <w:tr w:rsidR="00C12CCF" w:rsidRPr="00EC067D" w14:paraId="6F804664" w14:textId="77777777" w:rsidTr="763F32FC">
        <w:tc>
          <w:tcPr>
            <w:tcW w:w="1129" w:type="dxa"/>
          </w:tcPr>
          <w:p w14:paraId="32EBC373" w14:textId="4B5706BC" w:rsidR="00C12CCF" w:rsidRDefault="00C12CCF"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w:t>
            </w:r>
            <w:r w:rsidR="01890F03" w:rsidRPr="763F32FC">
              <w:rPr>
                <w:rStyle w:val="FormatvorlageInstructionsTabelleText"/>
                <w:rFonts w:ascii="Times New Roman" w:hAnsi="Times New Roman"/>
                <w:sz w:val="24"/>
              </w:rPr>
              <w:t>14</w:t>
            </w:r>
            <w:r w:rsidRPr="763F32FC">
              <w:rPr>
                <w:rStyle w:val="FormatvorlageInstructionsTabelleText"/>
                <w:rFonts w:ascii="Times New Roman" w:hAnsi="Times New Roman"/>
                <w:sz w:val="24"/>
              </w:rPr>
              <w:t>0</w:t>
            </w:r>
          </w:p>
        </w:tc>
        <w:tc>
          <w:tcPr>
            <w:tcW w:w="7620" w:type="dxa"/>
          </w:tcPr>
          <w:p w14:paraId="0CFDFC69" w14:textId="77777777" w:rsidR="00841CA8" w:rsidRDefault="00841CA8" w:rsidP="00E138D5">
            <w:pPr>
              <w:spacing w:before="0"/>
              <w:rPr>
                <w:rFonts w:ascii="Times New Roman" w:hAnsi="Times New Roman"/>
                <w:b/>
                <w:bCs/>
                <w:sz w:val="24"/>
                <w:u w:val="single"/>
              </w:rPr>
            </w:pPr>
            <w:r w:rsidRPr="00841CA8">
              <w:rPr>
                <w:rFonts w:ascii="Times New Roman" w:hAnsi="Times New Roman"/>
                <w:b/>
                <w:bCs/>
                <w:sz w:val="24"/>
                <w:u w:val="single"/>
              </w:rPr>
              <w:t xml:space="preserve">Non-performing exposures </w:t>
            </w:r>
          </w:p>
          <w:p w14:paraId="34535DAF" w14:textId="675EC6A3" w:rsidR="00E138D5" w:rsidRDefault="00E138D5" w:rsidP="0001573B">
            <w:pPr>
              <w:pStyle w:val="InstructionsText"/>
              <w:rPr>
                <w:rStyle w:val="InstructionsTabelleberschrift"/>
                <w:rFonts w:ascii="Times New Roman" w:hAnsi="Times New Roman"/>
                <w:b w:val="0"/>
                <w:sz w:val="24"/>
                <w:u w:val="none"/>
                <w:lang w:eastAsia="en-US"/>
              </w:rPr>
            </w:pPr>
            <w:r w:rsidRPr="00661595">
              <w:t xml:space="preserve">Institutions shall </w:t>
            </w:r>
            <w:r w:rsidR="003F20EC">
              <w:t xml:space="preserve">indicate whether </w:t>
            </w:r>
            <w:r w:rsidR="003F20EC" w:rsidRPr="00841D88">
              <w:t xml:space="preserve">non-performing exposures </w:t>
            </w:r>
            <w:r w:rsidR="00227017">
              <w:t xml:space="preserve">have </w:t>
            </w:r>
            <w:r w:rsidR="003F20EC" w:rsidRPr="00841D88">
              <w:t xml:space="preserve">been </w:t>
            </w:r>
            <w:r w:rsidR="00227017">
              <w:t>included</w:t>
            </w:r>
            <w:r w:rsidR="003F20EC" w:rsidRPr="00841D88">
              <w:t xml:space="preserve"> </w:t>
            </w:r>
            <w:r w:rsidR="002117E7">
              <w:t>in</w:t>
            </w:r>
            <w:r w:rsidR="003F20EC" w:rsidRPr="00841D88">
              <w:t xml:space="preserve"> the </w:t>
            </w:r>
            <w:r w:rsidR="00AE6CB8">
              <w:t>EVE</w:t>
            </w:r>
            <w:r w:rsidR="004105F7">
              <w:t>/NII</w:t>
            </w:r>
            <w:r w:rsidR="00AE6CB8">
              <w:t xml:space="preserve"> SOT:</w:t>
            </w:r>
          </w:p>
          <w:p w14:paraId="2AE7E06F" w14:textId="77777777" w:rsidR="008A192D"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63452C95">
              <w:rPr>
                <w:rStyle w:val="InstructionsTabelleberschrift"/>
                <w:rFonts w:ascii="Times New Roman" w:hAnsi="Times New Roman"/>
                <w:b w:val="0"/>
                <w:bCs w:val="0"/>
                <w:sz w:val="24"/>
                <w:u w:val="none"/>
                <w:lang w:val="en-US"/>
              </w:rPr>
              <w:t>Included</w:t>
            </w:r>
          </w:p>
          <w:p w14:paraId="19B5D385" w14:textId="78268FE8" w:rsidR="00C12CCF"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763F32FC">
              <w:rPr>
                <w:rStyle w:val="InstructionsTabelleberschrift"/>
                <w:rFonts w:ascii="Times New Roman" w:hAnsi="Times New Roman"/>
                <w:b w:val="0"/>
                <w:bCs w:val="0"/>
                <w:sz w:val="24"/>
                <w:u w:val="none"/>
                <w:lang w:val="en-US"/>
              </w:rPr>
              <w:t>Excluded</w:t>
            </w:r>
          </w:p>
        </w:tc>
      </w:tr>
      <w:tr w:rsidR="00C12CCF" w:rsidRPr="00EC067D" w14:paraId="5659F8D1" w14:textId="77777777" w:rsidTr="763F32FC">
        <w:tc>
          <w:tcPr>
            <w:tcW w:w="1129" w:type="dxa"/>
          </w:tcPr>
          <w:p w14:paraId="2719698F" w14:textId="6F4EA384" w:rsidR="00C12CCF" w:rsidRDefault="00C12CCF"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w:t>
            </w:r>
            <w:r w:rsidR="3EC8323D" w:rsidRPr="763F32FC">
              <w:rPr>
                <w:rStyle w:val="FormatvorlageInstructionsTabelleText"/>
                <w:rFonts w:ascii="Times New Roman" w:hAnsi="Times New Roman"/>
                <w:sz w:val="24"/>
              </w:rPr>
              <w:t>15</w:t>
            </w:r>
            <w:r w:rsidRPr="763F32FC">
              <w:rPr>
                <w:rStyle w:val="FormatvorlageInstructionsTabelleText"/>
                <w:rFonts w:ascii="Times New Roman" w:hAnsi="Times New Roman"/>
                <w:sz w:val="24"/>
              </w:rPr>
              <w:t>0</w:t>
            </w:r>
          </w:p>
        </w:tc>
        <w:tc>
          <w:tcPr>
            <w:tcW w:w="7620" w:type="dxa"/>
          </w:tcPr>
          <w:p w14:paraId="7E20A73B" w14:textId="36E3EE26" w:rsidR="00C53E68" w:rsidRDefault="00C53E68" w:rsidP="7569825D">
            <w:pPr>
              <w:spacing w:before="0"/>
              <w:rPr>
                <w:rFonts w:ascii="Times New Roman" w:hAnsi="Times New Roman"/>
                <w:b/>
                <w:bCs/>
                <w:sz w:val="24"/>
                <w:u w:val="single"/>
              </w:rPr>
            </w:pPr>
            <w:r w:rsidRPr="7569825D">
              <w:rPr>
                <w:rFonts w:ascii="Times New Roman" w:hAnsi="Times New Roman"/>
                <w:b/>
                <w:bCs/>
                <w:sz w:val="24"/>
                <w:u w:val="single"/>
              </w:rPr>
              <w:t xml:space="preserve">Fixed rate loan </w:t>
            </w:r>
            <w:r w:rsidR="1E09ACC6" w:rsidRPr="7569825D">
              <w:rPr>
                <w:rFonts w:ascii="Times New Roman" w:hAnsi="Times New Roman"/>
                <w:b/>
                <w:bCs/>
                <w:sz w:val="24"/>
                <w:u w:val="single"/>
              </w:rPr>
              <w:t>commitments</w:t>
            </w:r>
            <w:r w:rsidRPr="7569825D">
              <w:rPr>
                <w:rFonts w:ascii="Times New Roman" w:hAnsi="Times New Roman"/>
                <w:b/>
                <w:bCs/>
                <w:sz w:val="24"/>
                <w:u w:val="single"/>
              </w:rPr>
              <w:t xml:space="preserve"> </w:t>
            </w:r>
          </w:p>
          <w:p w14:paraId="1EC6CE29" w14:textId="727C7BB8" w:rsidR="00E138D5" w:rsidRDefault="00E138D5" w:rsidP="0001573B">
            <w:pPr>
              <w:pStyle w:val="InstructionsText"/>
              <w:rPr>
                <w:rStyle w:val="InstructionsTabelleberschrift"/>
                <w:rFonts w:ascii="Times New Roman" w:hAnsi="Times New Roman"/>
                <w:b w:val="0"/>
                <w:sz w:val="24"/>
                <w:u w:val="none"/>
                <w:lang w:eastAsia="en-US"/>
              </w:rPr>
            </w:pPr>
            <w:r w:rsidRPr="00661595">
              <w:t xml:space="preserve">Institutions shall </w:t>
            </w:r>
            <w:r w:rsidR="002117E7">
              <w:t xml:space="preserve">indicate whether </w:t>
            </w:r>
            <w:r w:rsidR="002117E7" w:rsidRPr="002117E7">
              <w:t xml:space="preserve">fixed rate loan commitments been </w:t>
            </w:r>
            <w:r w:rsidR="002117E7">
              <w:t>included</w:t>
            </w:r>
            <w:r w:rsidR="002117E7" w:rsidRPr="002117E7">
              <w:t xml:space="preserve"> </w:t>
            </w:r>
            <w:r w:rsidR="002117E7">
              <w:t>in</w:t>
            </w:r>
            <w:r w:rsidR="002117E7" w:rsidRPr="002117E7">
              <w:t xml:space="preserve"> the </w:t>
            </w:r>
            <w:r w:rsidR="004A01B7">
              <w:t>EVE/NII SOT:</w:t>
            </w:r>
          </w:p>
          <w:p w14:paraId="786511A5" w14:textId="77777777" w:rsidR="008A192D"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63452C95">
              <w:rPr>
                <w:rStyle w:val="InstructionsTabelleberschrift"/>
                <w:rFonts w:ascii="Times New Roman" w:hAnsi="Times New Roman"/>
                <w:b w:val="0"/>
                <w:bCs w:val="0"/>
                <w:sz w:val="24"/>
                <w:u w:val="none"/>
                <w:lang w:val="en-US"/>
              </w:rPr>
              <w:t>Included</w:t>
            </w:r>
          </w:p>
          <w:p w14:paraId="14F356EA" w14:textId="77B4D19A" w:rsidR="00C12CCF"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763F32FC">
              <w:rPr>
                <w:rStyle w:val="InstructionsTabelleberschrift"/>
                <w:rFonts w:ascii="Times New Roman" w:hAnsi="Times New Roman"/>
                <w:b w:val="0"/>
                <w:bCs w:val="0"/>
                <w:sz w:val="24"/>
                <w:u w:val="none"/>
                <w:lang w:val="en-US"/>
              </w:rPr>
              <w:t>Excluded</w:t>
            </w:r>
          </w:p>
        </w:tc>
      </w:tr>
      <w:tr w:rsidR="00C12CCF" w:rsidRPr="00EC067D" w14:paraId="5199326E" w14:textId="77777777" w:rsidTr="763F32FC">
        <w:tc>
          <w:tcPr>
            <w:tcW w:w="1129" w:type="dxa"/>
          </w:tcPr>
          <w:p w14:paraId="2D43B355" w14:textId="2E114DE7" w:rsidR="00C12CCF" w:rsidRDefault="00C12CCF"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01</w:t>
            </w:r>
            <w:r w:rsidR="43912540" w:rsidRPr="763F32FC">
              <w:rPr>
                <w:rStyle w:val="FormatvorlageInstructionsTabelleText"/>
                <w:rFonts w:ascii="Times New Roman" w:hAnsi="Times New Roman"/>
                <w:sz w:val="24"/>
              </w:rPr>
              <w:t>6</w:t>
            </w:r>
            <w:r w:rsidRPr="763F32FC">
              <w:rPr>
                <w:rStyle w:val="FormatvorlageInstructionsTabelleText"/>
                <w:rFonts w:ascii="Times New Roman" w:hAnsi="Times New Roman"/>
                <w:sz w:val="24"/>
              </w:rPr>
              <w:t>0</w:t>
            </w:r>
          </w:p>
        </w:tc>
        <w:tc>
          <w:tcPr>
            <w:tcW w:w="7620" w:type="dxa"/>
          </w:tcPr>
          <w:p w14:paraId="5110BF04" w14:textId="2067FB8B" w:rsidR="004567EB" w:rsidRDefault="004567EB" w:rsidP="00E138D5">
            <w:pPr>
              <w:spacing w:before="0"/>
              <w:rPr>
                <w:rFonts w:ascii="Times New Roman" w:hAnsi="Times New Roman"/>
                <w:b/>
                <w:bCs/>
                <w:sz w:val="24"/>
                <w:u w:val="single"/>
              </w:rPr>
            </w:pPr>
            <w:r w:rsidRPr="004567EB">
              <w:rPr>
                <w:rFonts w:ascii="Times New Roman" w:hAnsi="Times New Roman"/>
                <w:b/>
                <w:bCs/>
                <w:sz w:val="24"/>
                <w:u w:val="single"/>
              </w:rPr>
              <w:t xml:space="preserve">Risk of </w:t>
            </w:r>
            <w:r w:rsidR="00387647">
              <w:rPr>
                <w:rFonts w:ascii="Times New Roman" w:hAnsi="Times New Roman"/>
                <w:b/>
                <w:bCs/>
                <w:sz w:val="24"/>
                <w:u w:val="single"/>
              </w:rPr>
              <w:t>p</w:t>
            </w:r>
            <w:r w:rsidRPr="004567EB">
              <w:rPr>
                <w:rFonts w:ascii="Times New Roman" w:hAnsi="Times New Roman"/>
                <w:b/>
                <w:bCs/>
                <w:sz w:val="24"/>
                <w:u w:val="single"/>
              </w:rPr>
              <w:t xml:space="preserve">repayment </w:t>
            </w:r>
          </w:p>
          <w:p w14:paraId="42D03395" w14:textId="2CA3360F" w:rsidR="00E138D5" w:rsidRDefault="00E138D5" w:rsidP="0001573B">
            <w:pPr>
              <w:pStyle w:val="InstructionsText"/>
              <w:rPr>
                <w:rStyle w:val="InstructionsTabelleberschrift"/>
                <w:rFonts w:ascii="Times New Roman" w:hAnsi="Times New Roman"/>
                <w:b w:val="0"/>
                <w:bCs w:val="0"/>
                <w:sz w:val="24"/>
                <w:u w:val="none"/>
                <w:lang w:eastAsia="en-US"/>
              </w:rPr>
            </w:pPr>
            <w:r>
              <w:t xml:space="preserve">Institutions shall </w:t>
            </w:r>
            <w:r w:rsidR="00AF300C">
              <w:t>indicate whether</w:t>
            </w:r>
            <w:r w:rsidR="00494B90">
              <w:t xml:space="preserve"> the</w:t>
            </w:r>
            <w:r w:rsidR="00AF300C">
              <w:t xml:space="preserve"> risk of </w:t>
            </w:r>
            <w:r w:rsidR="4174A028">
              <w:t xml:space="preserve">retail </w:t>
            </w:r>
            <w:r w:rsidR="00387647">
              <w:t>p</w:t>
            </w:r>
            <w:r w:rsidR="00AF300C">
              <w:t xml:space="preserve">repayment </w:t>
            </w:r>
            <w:r w:rsidR="001D4D48">
              <w:t xml:space="preserve">has </w:t>
            </w:r>
            <w:r w:rsidR="00AF300C">
              <w:t xml:space="preserve">been </w:t>
            </w:r>
            <w:r w:rsidR="001D4D48">
              <w:t>included</w:t>
            </w:r>
            <w:r w:rsidR="00AF300C">
              <w:t xml:space="preserve"> </w:t>
            </w:r>
            <w:r w:rsidR="001D4D48">
              <w:t>in</w:t>
            </w:r>
            <w:r w:rsidR="00AF300C">
              <w:t xml:space="preserve"> the </w:t>
            </w:r>
            <w:r w:rsidR="007D185D">
              <w:t>EVE/NII SOT</w:t>
            </w:r>
            <w:r w:rsidR="00494B90">
              <w:t xml:space="preserve"> calculations</w:t>
            </w:r>
            <w:r w:rsidR="007D185D">
              <w:t>:</w:t>
            </w:r>
          </w:p>
          <w:p w14:paraId="049C644C" w14:textId="77777777" w:rsidR="008A192D"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63452C95">
              <w:rPr>
                <w:rStyle w:val="InstructionsTabelleberschrift"/>
                <w:rFonts w:ascii="Times New Roman" w:hAnsi="Times New Roman"/>
                <w:b w:val="0"/>
                <w:bCs w:val="0"/>
                <w:sz w:val="24"/>
                <w:u w:val="none"/>
                <w:lang w:val="en-US"/>
              </w:rPr>
              <w:t>Included</w:t>
            </w:r>
          </w:p>
          <w:p w14:paraId="19439AE0" w14:textId="76A4510D" w:rsidR="00C12CCF"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Pr="763F32FC">
              <w:rPr>
                <w:rStyle w:val="InstructionsTabelleberschrift"/>
                <w:rFonts w:ascii="Times New Roman" w:hAnsi="Times New Roman"/>
                <w:b w:val="0"/>
                <w:bCs w:val="0"/>
                <w:sz w:val="24"/>
                <w:u w:val="none"/>
                <w:lang w:val="en-US"/>
              </w:rPr>
              <w:t>Excluded</w:t>
            </w:r>
          </w:p>
        </w:tc>
      </w:tr>
      <w:tr w:rsidR="00C12CCF" w:rsidRPr="00EC067D" w14:paraId="4C1D220B" w14:textId="77777777" w:rsidTr="763F32FC">
        <w:tc>
          <w:tcPr>
            <w:tcW w:w="1129" w:type="dxa"/>
          </w:tcPr>
          <w:p w14:paraId="7D30827E" w14:textId="2E38F1CA" w:rsidR="00C12CCF" w:rsidRDefault="00C12CCF"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01</w:t>
            </w:r>
            <w:r w:rsidR="7F25B758" w:rsidRPr="763F32FC">
              <w:rPr>
                <w:rStyle w:val="FormatvorlageInstructionsTabelleText"/>
                <w:rFonts w:ascii="Times New Roman" w:hAnsi="Times New Roman"/>
                <w:sz w:val="24"/>
              </w:rPr>
              <w:t>7</w:t>
            </w:r>
            <w:r w:rsidRPr="763F32FC">
              <w:rPr>
                <w:rStyle w:val="FormatvorlageInstructionsTabelleText"/>
                <w:rFonts w:ascii="Times New Roman" w:hAnsi="Times New Roman"/>
                <w:sz w:val="24"/>
              </w:rPr>
              <w:t>0</w:t>
            </w:r>
          </w:p>
        </w:tc>
        <w:tc>
          <w:tcPr>
            <w:tcW w:w="7620" w:type="dxa"/>
          </w:tcPr>
          <w:p w14:paraId="24FB3F5E" w14:textId="7E7EDF0D" w:rsidR="006043A5" w:rsidRDefault="006043A5" w:rsidP="00E138D5">
            <w:pPr>
              <w:spacing w:before="0"/>
              <w:rPr>
                <w:rFonts w:ascii="Times New Roman" w:hAnsi="Times New Roman"/>
                <w:b/>
                <w:bCs/>
                <w:sz w:val="24"/>
                <w:u w:val="single"/>
              </w:rPr>
            </w:pPr>
            <w:r w:rsidRPr="006043A5">
              <w:rPr>
                <w:rFonts w:ascii="Times New Roman" w:hAnsi="Times New Roman"/>
                <w:b/>
                <w:bCs/>
                <w:sz w:val="24"/>
                <w:u w:val="single"/>
              </w:rPr>
              <w:t xml:space="preserve">Risk of early redemption </w:t>
            </w:r>
          </w:p>
          <w:p w14:paraId="67868C1F" w14:textId="0C5DACCD" w:rsidR="008478F8" w:rsidRDefault="008478F8" w:rsidP="0001573B">
            <w:pPr>
              <w:pStyle w:val="InstructionsText"/>
            </w:pPr>
            <w:r>
              <w:t>Institutions shall indicate whether</w:t>
            </w:r>
            <w:r w:rsidR="00494B90">
              <w:t xml:space="preserve"> the</w:t>
            </w:r>
            <w:r>
              <w:t xml:space="preserve"> risk of </w:t>
            </w:r>
            <w:r w:rsidR="194146A1">
              <w:t xml:space="preserve">retail </w:t>
            </w:r>
            <w:r>
              <w:t>early red</w:t>
            </w:r>
            <w:r w:rsidR="61318C56">
              <w:t>e</w:t>
            </w:r>
            <w:r>
              <w:t xml:space="preserve">mption has been included in the </w:t>
            </w:r>
            <w:r w:rsidR="00A62472">
              <w:t>EVE/NII SOT</w:t>
            </w:r>
            <w:r w:rsidR="00494B90">
              <w:t xml:space="preserve"> calculations</w:t>
            </w:r>
            <w:r w:rsidR="00A62472">
              <w:t>:</w:t>
            </w:r>
          </w:p>
          <w:p w14:paraId="17E090F3" w14:textId="79F5CB40" w:rsidR="00C12CCF"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1665CB09" w:rsidRPr="63452C95">
              <w:rPr>
                <w:rStyle w:val="InstructionsTabelleberschrift"/>
                <w:rFonts w:ascii="Times New Roman" w:hAnsi="Times New Roman"/>
                <w:b w:val="0"/>
                <w:bCs w:val="0"/>
                <w:sz w:val="24"/>
                <w:u w:val="none"/>
                <w:lang w:val="en-US"/>
              </w:rPr>
              <w:t>Included</w:t>
            </w:r>
          </w:p>
          <w:p w14:paraId="490B287D" w14:textId="0CA9B66D" w:rsidR="00C12CCF" w:rsidRPr="00E138D5" w:rsidRDefault="008A192D"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lang w:val="en-US"/>
              </w:rPr>
              <w:t xml:space="preserve">- </w:t>
            </w:r>
            <w:r w:rsidR="1665CB09" w:rsidRPr="763F32FC">
              <w:rPr>
                <w:rStyle w:val="InstructionsTabelleberschrift"/>
                <w:rFonts w:ascii="Times New Roman" w:hAnsi="Times New Roman"/>
                <w:b w:val="0"/>
                <w:bCs w:val="0"/>
                <w:sz w:val="24"/>
                <w:u w:val="none"/>
                <w:lang w:val="en-US"/>
              </w:rPr>
              <w:t>Excluded</w:t>
            </w:r>
          </w:p>
        </w:tc>
      </w:tr>
      <w:tr w:rsidR="00343C28" w:rsidRPr="00EC067D" w14:paraId="0AD7CFF7" w14:textId="77777777" w:rsidTr="763F32FC">
        <w:tc>
          <w:tcPr>
            <w:tcW w:w="1129" w:type="dxa"/>
          </w:tcPr>
          <w:p w14:paraId="51E55F8D" w14:textId="284EAFCF" w:rsidR="00343C28" w:rsidRPr="763F32FC" w:rsidRDefault="00343C28"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0180</w:t>
            </w:r>
          </w:p>
        </w:tc>
        <w:tc>
          <w:tcPr>
            <w:tcW w:w="7620" w:type="dxa"/>
          </w:tcPr>
          <w:p w14:paraId="0ED1DA2C" w14:textId="26163666" w:rsidR="00343C28" w:rsidRDefault="007A5DA9" w:rsidP="00E138D5">
            <w:pPr>
              <w:spacing w:before="0"/>
              <w:rPr>
                <w:rFonts w:ascii="Times New Roman" w:hAnsi="Times New Roman"/>
                <w:b/>
                <w:bCs/>
                <w:sz w:val="24"/>
                <w:u w:val="single"/>
              </w:rPr>
            </w:pPr>
            <w:r w:rsidRPr="007A5DA9">
              <w:rPr>
                <w:rFonts w:ascii="Times New Roman" w:hAnsi="Times New Roman"/>
                <w:b/>
                <w:bCs/>
                <w:sz w:val="24"/>
                <w:u w:val="single"/>
              </w:rPr>
              <w:t>General approach for NMD modelling</w:t>
            </w:r>
          </w:p>
          <w:p w14:paraId="77B7CA20" w14:textId="633B5127" w:rsidR="008857EC" w:rsidRDefault="007A5DA9" w:rsidP="00E138D5">
            <w:pPr>
              <w:spacing w:before="0"/>
              <w:rPr>
                <w:rFonts w:ascii="Times New Roman" w:hAnsi="Times New Roman"/>
                <w:sz w:val="24"/>
              </w:rPr>
            </w:pPr>
            <w:r>
              <w:rPr>
                <w:rFonts w:ascii="Times New Roman" w:hAnsi="Times New Roman"/>
                <w:sz w:val="24"/>
              </w:rPr>
              <w:t xml:space="preserve">Institutions shall </w:t>
            </w:r>
            <w:r w:rsidR="00774931">
              <w:rPr>
                <w:rFonts w:ascii="Times New Roman" w:hAnsi="Times New Roman"/>
                <w:sz w:val="24"/>
              </w:rPr>
              <w:t>indicate</w:t>
            </w:r>
            <w:r>
              <w:rPr>
                <w:rFonts w:ascii="Times New Roman" w:hAnsi="Times New Roman"/>
                <w:sz w:val="24"/>
              </w:rPr>
              <w:t xml:space="preserve"> the</w:t>
            </w:r>
            <w:r w:rsidRPr="001012EE">
              <w:rPr>
                <w:rFonts w:ascii="Times New Roman" w:hAnsi="Times New Roman"/>
                <w:sz w:val="24"/>
              </w:rPr>
              <w:t xml:space="preserve"> method used to determine the behavioural</w:t>
            </w:r>
            <w:r w:rsidR="008857EC">
              <w:rPr>
                <w:rFonts w:ascii="Times New Roman" w:hAnsi="Times New Roman"/>
                <w:sz w:val="24"/>
              </w:rPr>
              <w:t xml:space="preserve"> </w:t>
            </w:r>
            <w:r w:rsidRPr="001012EE">
              <w:rPr>
                <w:rFonts w:ascii="Times New Roman" w:hAnsi="Times New Roman"/>
                <w:sz w:val="24"/>
              </w:rPr>
              <w:t>repricing time of the NMDs</w:t>
            </w:r>
            <w:r w:rsidR="00CA3DAC">
              <w:rPr>
                <w:rFonts w:ascii="Times New Roman" w:hAnsi="Times New Roman"/>
                <w:sz w:val="24"/>
              </w:rPr>
              <w:t>:</w:t>
            </w:r>
            <w:r w:rsidRPr="001012EE">
              <w:rPr>
                <w:rFonts w:ascii="Times New Roman" w:hAnsi="Times New Roman"/>
                <w:sz w:val="24"/>
              </w:rPr>
              <w:t xml:space="preserve"> </w:t>
            </w:r>
          </w:p>
          <w:p w14:paraId="63BED8EC" w14:textId="66C1D5F9" w:rsidR="008857EC" w:rsidRPr="0023531F" w:rsidRDefault="008A192D" w:rsidP="0023531F">
            <w:pPr>
              <w:spacing w:before="0"/>
              <w:rPr>
                <w:rFonts w:ascii="Times New Roman" w:hAnsi="Times New Roman"/>
                <w:sz w:val="24"/>
              </w:rPr>
            </w:pPr>
            <w:r>
              <w:rPr>
                <w:rFonts w:ascii="Times New Roman" w:hAnsi="Times New Roman"/>
                <w:sz w:val="24"/>
              </w:rPr>
              <w:t xml:space="preserve">- </w:t>
            </w:r>
            <w:r w:rsidR="008857EC" w:rsidRPr="0023531F">
              <w:rPr>
                <w:rFonts w:ascii="Times New Roman" w:hAnsi="Times New Roman"/>
                <w:sz w:val="24"/>
              </w:rPr>
              <w:t>T</w:t>
            </w:r>
            <w:r w:rsidR="007A5DA9" w:rsidRPr="0023531F">
              <w:rPr>
                <w:rFonts w:ascii="Times New Roman" w:hAnsi="Times New Roman"/>
                <w:sz w:val="24"/>
              </w:rPr>
              <w:t>ime series model</w:t>
            </w:r>
            <w:r w:rsidR="00F577A8" w:rsidRPr="0023531F">
              <w:rPr>
                <w:rFonts w:ascii="Times New Roman" w:hAnsi="Times New Roman"/>
                <w:sz w:val="24"/>
              </w:rPr>
              <w:t xml:space="preserve"> (Basel/EBA Stable/non-stable/PTR approach)</w:t>
            </w:r>
          </w:p>
          <w:p w14:paraId="332AB750" w14:textId="1C151710" w:rsidR="008857EC" w:rsidRPr="0023531F" w:rsidRDefault="008A192D" w:rsidP="0023531F">
            <w:pPr>
              <w:spacing w:before="0"/>
              <w:rPr>
                <w:rFonts w:ascii="Times New Roman" w:hAnsi="Times New Roman"/>
                <w:sz w:val="24"/>
              </w:rPr>
            </w:pPr>
            <w:r>
              <w:rPr>
                <w:rFonts w:ascii="Times New Roman" w:hAnsi="Times New Roman"/>
                <w:sz w:val="24"/>
              </w:rPr>
              <w:t xml:space="preserve">- </w:t>
            </w:r>
            <w:r w:rsidR="008857EC" w:rsidRPr="0023531F">
              <w:rPr>
                <w:rFonts w:ascii="Times New Roman" w:hAnsi="Times New Roman"/>
                <w:sz w:val="24"/>
              </w:rPr>
              <w:t>Replication portfolio</w:t>
            </w:r>
          </w:p>
          <w:p w14:paraId="76311097" w14:textId="01A10294" w:rsidR="008857EC" w:rsidRPr="0023531F" w:rsidRDefault="008A192D" w:rsidP="0023531F">
            <w:pPr>
              <w:spacing w:before="0"/>
              <w:rPr>
                <w:rFonts w:ascii="Times New Roman" w:hAnsi="Times New Roman"/>
                <w:sz w:val="24"/>
              </w:rPr>
            </w:pPr>
            <w:r>
              <w:rPr>
                <w:rFonts w:ascii="Times New Roman" w:hAnsi="Times New Roman"/>
                <w:sz w:val="24"/>
              </w:rPr>
              <w:t xml:space="preserve">- </w:t>
            </w:r>
            <w:r w:rsidR="007A5DA9" w:rsidRPr="0023531F">
              <w:rPr>
                <w:rFonts w:ascii="Times New Roman" w:hAnsi="Times New Roman"/>
                <w:sz w:val="24"/>
              </w:rPr>
              <w:t>Economical models</w:t>
            </w:r>
            <w:r w:rsidR="00F577A8" w:rsidRPr="0023531F">
              <w:rPr>
                <w:rFonts w:ascii="Times New Roman" w:hAnsi="Times New Roman"/>
                <w:sz w:val="24"/>
              </w:rPr>
              <w:t xml:space="preserve"> (modelling financial wealth allocation to NMDs or alternative investments according to different market scenarios/economic factors)</w:t>
            </w:r>
          </w:p>
          <w:p w14:paraId="080A6466" w14:textId="6FEF8F8E" w:rsidR="008857EC" w:rsidRPr="0023531F" w:rsidRDefault="008A192D" w:rsidP="0023531F">
            <w:pPr>
              <w:spacing w:before="0"/>
              <w:rPr>
                <w:rFonts w:ascii="Times New Roman" w:hAnsi="Times New Roman"/>
                <w:sz w:val="24"/>
              </w:rPr>
            </w:pPr>
            <w:r>
              <w:rPr>
                <w:rFonts w:ascii="Times New Roman" w:hAnsi="Times New Roman"/>
                <w:sz w:val="24"/>
              </w:rPr>
              <w:t xml:space="preserve">- </w:t>
            </w:r>
            <w:r w:rsidR="008857EC" w:rsidRPr="0023531F">
              <w:rPr>
                <w:rFonts w:ascii="Times New Roman" w:hAnsi="Times New Roman"/>
                <w:sz w:val="24"/>
              </w:rPr>
              <w:t>E</w:t>
            </w:r>
            <w:r w:rsidR="007A5DA9" w:rsidRPr="0023531F">
              <w:rPr>
                <w:rFonts w:ascii="Times New Roman" w:hAnsi="Times New Roman"/>
                <w:sz w:val="24"/>
              </w:rPr>
              <w:t>xpert judgement</w:t>
            </w:r>
          </w:p>
          <w:p w14:paraId="678F986F" w14:textId="338C251A" w:rsidR="007A5DA9" w:rsidRPr="00C40D23" w:rsidRDefault="008A192D" w:rsidP="0023531F">
            <w:pPr>
              <w:spacing w:before="0"/>
              <w:rPr>
                <w:rFonts w:ascii="Times New Roman" w:hAnsi="Times New Roman"/>
                <w:sz w:val="24"/>
              </w:rPr>
            </w:pPr>
            <w:r>
              <w:rPr>
                <w:rFonts w:ascii="Times New Roman" w:hAnsi="Times New Roman"/>
                <w:sz w:val="24"/>
              </w:rPr>
              <w:t xml:space="preserve">- </w:t>
            </w:r>
            <w:r w:rsidR="008857EC" w:rsidRPr="00C40D23">
              <w:rPr>
                <w:rFonts w:ascii="Times New Roman" w:hAnsi="Times New Roman"/>
                <w:sz w:val="24"/>
              </w:rPr>
              <w:t>O</w:t>
            </w:r>
            <w:r w:rsidR="007A5DA9" w:rsidRPr="00C40D23">
              <w:rPr>
                <w:rFonts w:ascii="Times New Roman" w:hAnsi="Times New Roman"/>
                <w:sz w:val="24"/>
              </w:rPr>
              <w:t>ther</w:t>
            </w:r>
          </w:p>
        </w:tc>
      </w:tr>
      <w:tr w:rsidR="00B3451B" w:rsidRPr="00EC067D" w14:paraId="46309D17" w14:textId="77777777" w:rsidTr="763F32FC">
        <w:tc>
          <w:tcPr>
            <w:tcW w:w="1129" w:type="dxa"/>
          </w:tcPr>
          <w:p w14:paraId="178C8037" w14:textId="03375BE6" w:rsidR="00B3451B" w:rsidRDefault="00B3451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0190</w:t>
            </w:r>
          </w:p>
        </w:tc>
        <w:tc>
          <w:tcPr>
            <w:tcW w:w="7620" w:type="dxa"/>
          </w:tcPr>
          <w:p w14:paraId="11B9CE0D" w14:textId="543F5F75" w:rsidR="00B3451B" w:rsidRPr="001012EE" w:rsidRDefault="00B3451B" w:rsidP="00B3451B">
            <w:pPr>
              <w:spacing w:before="0"/>
              <w:rPr>
                <w:rFonts w:ascii="Times New Roman" w:hAnsi="Times New Roman"/>
                <w:sz w:val="24"/>
                <w:u w:val="single"/>
              </w:rPr>
            </w:pPr>
            <w:r w:rsidRPr="001012EE">
              <w:rPr>
                <w:rFonts w:ascii="Times New Roman" w:hAnsi="Times New Roman"/>
                <w:b/>
                <w:bCs/>
                <w:sz w:val="24"/>
                <w:u w:val="single"/>
              </w:rPr>
              <w:t xml:space="preserve">Identification of core </w:t>
            </w:r>
            <w:r w:rsidR="00D43CF8">
              <w:rPr>
                <w:rFonts w:ascii="Times New Roman" w:hAnsi="Times New Roman"/>
                <w:b/>
                <w:bCs/>
                <w:sz w:val="24"/>
                <w:u w:val="single"/>
              </w:rPr>
              <w:t>component</w:t>
            </w:r>
            <w:r w:rsidRPr="00F87D43">
              <w:rPr>
                <w:rFonts w:ascii="Times New Roman" w:hAnsi="Times New Roman"/>
                <w:b/>
                <w:bCs/>
                <w:sz w:val="24"/>
                <w:u w:val="single"/>
              </w:rPr>
              <w:t xml:space="preserve"> </w:t>
            </w:r>
            <w:r w:rsidRPr="001012EE">
              <w:rPr>
                <w:rFonts w:ascii="Times New Roman" w:hAnsi="Times New Roman"/>
                <w:b/>
                <w:bCs/>
                <w:sz w:val="24"/>
                <w:u w:val="single"/>
              </w:rPr>
              <w:t>NMD balances</w:t>
            </w:r>
            <w:r w:rsidRPr="001012EE">
              <w:rPr>
                <w:rFonts w:ascii="Times New Roman" w:hAnsi="Times New Roman"/>
                <w:sz w:val="24"/>
                <w:u w:val="single"/>
              </w:rPr>
              <w:t xml:space="preserve"> </w:t>
            </w:r>
          </w:p>
          <w:p w14:paraId="7B68425D" w14:textId="4786FDCB" w:rsidR="00EE6F88" w:rsidRDefault="00EE6F88" w:rsidP="00B3451B">
            <w:pPr>
              <w:spacing w:before="0"/>
              <w:rPr>
                <w:rFonts w:ascii="Times New Roman" w:hAnsi="Times New Roman"/>
                <w:sz w:val="24"/>
              </w:rPr>
            </w:pPr>
            <w:r>
              <w:rPr>
                <w:rFonts w:ascii="Times New Roman" w:hAnsi="Times New Roman"/>
                <w:sz w:val="24"/>
              </w:rPr>
              <w:t xml:space="preserve">Institution shall </w:t>
            </w:r>
            <w:r w:rsidR="00774931">
              <w:rPr>
                <w:rFonts w:ascii="Times New Roman" w:hAnsi="Times New Roman"/>
                <w:sz w:val="24"/>
              </w:rPr>
              <w:t>indicate</w:t>
            </w:r>
            <w:r>
              <w:rPr>
                <w:rFonts w:ascii="Times New Roman" w:hAnsi="Times New Roman"/>
                <w:sz w:val="24"/>
              </w:rPr>
              <w:t xml:space="preserve"> whether they face challenges in identifying NMD core balances unconditional to the IR scenario:</w:t>
            </w:r>
          </w:p>
          <w:p w14:paraId="405B5D9F" w14:textId="77777777" w:rsidR="008A192D" w:rsidRPr="00694CA0" w:rsidRDefault="008A192D" w:rsidP="0001573B">
            <w:pPr>
              <w:pStyle w:val="InstructionsText"/>
              <w:rPr>
                <w:rStyle w:val="InstructionsTabelleberschrift"/>
                <w:rFonts w:ascii="Times New Roman" w:hAnsi="Times New Roman"/>
                <w:b w:val="0"/>
                <w:bCs w:val="0"/>
                <w:sz w:val="24"/>
                <w:u w:val="none"/>
                <w:lang w:eastAsia="en-US"/>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Yes</w:t>
            </w:r>
          </w:p>
          <w:p w14:paraId="0C236ED0" w14:textId="77777777" w:rsidR="008A192D" w:rsidRPr="00694CA0" w:rsidRDefault="008A192D"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No</w:t>
            </w:r>
          </w:p>
          <w:p w14:paraId="041F774E" w14:textId="0F068477" w:rsidR="0096266F" w:rsidRPr="00C40D23" w:rsidRDefault="008A192D" w:rsidP="00466F09">
            <w:pPr>
              <w:spacing w:before="0"/>
              <w:rPr>
                <w:rFonts w:ascii="Times New Roman" w:hAnsi="Times New Roman"/>
              </w:rPr>
            </w:pPr>
            <w:r w:rsidRPr="008A192D">
              <w:rPr>
                <w:rStyle w:val="InstructionsTabelleberschrift"/>
                <w:rFonts w:ascii="Times New Roman" w:hAnsi="Times New Roman"/>
                <w:b w:val="0"/>
                <w:bCs w:val="0"/>
                <w:sz w:val="24"/>
                <w:u w:val="none"/>
                <w:lang w:val="en-US"/>
              </w:rPr>
              <w:t>- Not applicable</w:t>
            </w:r>
          </w:p>
        </w:tc>
      </w:tr>
      <w:tr w:rsidR="00B3451B" w:rsidRPr="00EC067D" w14:paraId="0AC7A101" w14:textId="77777777" w:rsidTr="763F32FC">
        <w:tc>
          <w:tcPr>
            <w:tcW w:w="1129" w:type="dxa"/>
          </w:tcPr>
          <w:p w14:paraId="52074635" w14:textId="572A5CB1" w:rsidR="00B3451B" w:rsidRDefault="00B3451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0200</w:t>
            </w:r>
          </w:p>
        </w:tc>
        <w:tc>
          <w:tcPr>
            <w:tcW w:w="7620" w:type="dxa"/>
          </w:tcPr>
          <w:p w14:paraId="0444DE63" w14:textId="743A7A9C" w:rsidR="00B3451B" w:rsidRPr="001012EE" w:rsidRDefault="00EE6F88" w:rsidP="00B3451B">
            <w:pPr>
              <w:spacing w:before="0"/>
              <w:rPr>
                <w:rFonts w:ascii="Times New Roman" w:hAnsi="Times New Roman"/>
                <w:b/>
                <w:bCs/>
                <w:sz w:val="24"/>
                <w:u w:val="single"/>
              </w:rPr>
            </w:pPr>
            <w:r w:rsidRPr="001012EE">
              <w:rPr>
                <w:rFonts w:ascii="Times New Roman" w:hAnsi="Times New Roman"/>
                <w:b/>
                <w:bCs/>
                <w:sz w:val="24"/>
                <w:u w:val="single"/>
              </w:rPr>
              <w:t>Relevant drivers for</w:t>
            </w:r>
            <w:r w:rsidR="00B3451B" w:rsidRPr="001012EE">
              <w:rPr>
                <w:rFonts w:ascii="Times New Roman" w:hAnsi="Times New Roman"/>
                <w:b/>
                <w:bCs/>
                <w:sz w:val="24"/>
                <w:u w:val="single"/>
              </w:rPr>
              <w:t xml:space="preserve"> NMD balances</w:t>
            </w:r>
          </w:p>
          <w:p w14:paraId="7C1D4AB3" w14:textId="027E9701" w:rsidR="00B3451B" w:rsidRPr="00B3451B" w:rsidRDefault="00EE6F88" w:rsidP="00B3451B">
            <w:pPr>
              <w:spacing w:before="0"/>
              <w:rPr>
                <w:rFonts w:ascii="Times New Roman" w:hAnsi="Times New Roman"/>
                <w:b/>
                <w:bCs/>
                <w:sz w:val="24"/>
                <w:u w:val="single"/>
              </w:rPr>
            </w:pPr>
            <w:r>
              <w:rPr>
                <w:rFonts w:ascii="Times New Roman" w:hAnsi="Times New Roman"/>
                <w:sz w:val="24"/>
              </w:rPr>
              <w:t>Institutions shall list the</w:t>
            </w:r>
            <w:r w:rsidR="00B3451B" w:rsidRPr="001012EE">
              <w:rPr>
                <w:rFonts w:ascii="Times New Roman" w:hAnsi="Times New Roman"/>
                <w:sz w:val="24"/>
              </w:rPr>
              <w:t xml:space="preserve"> name</w:t>
            </w:r>
            <w:r>
              <w:rPr>
                <w:rFonts w:ascii="Times New Roman" w:hAnsi="Times New Roman"/>
                <w:sz w:val="24"/>
              </w:rPr>
              <w:t>/s of</w:t>
            </w:r>
            <w:r w:rsidR="00B3451B" w:rsidRPr="001012EE">
              <w:rPr>
                <w:rFonts w:ascii="Times New Roman" w:hAnsi="Times New Roman"/>
                <w:sz w:val="24"/>
              </w:rPr>
              <w:t xml:space="preserve"> the relevant driver</w:t>
            </w:r>
            <w:r>
              <w:rPr>
                <w:rFonts w:ascii="Times New Roman" w:hAnsi="Times New Roman"/>
                <w:sz w:val="24"/>
              </w:rPr>
              <w:t>/</w:t>
            </w:r>
            <w:r w:rsidR="00B3451B" w:rsidRPr="001012EE">
              <w:rPr>
                <w:rFonts w:ascii="Times New Roman" w:hAnsi="Times New Roman"/>
                <w:sz w:val="24"/>
              </w:rPr>
              <w:t xml:space="preserve">s used to identify core balances. </w:t>
            </w:r>
          </w:p>
        </w:tc>
      </w:tr>
      <w:tr w:rsidR="00B3451B" w:rsidRPr="00EC067D" w14:paraId="7E64C4CA" w14:textId="77777777" w:rsidTr="763F32FC">
        <w:tc>
          <w:tcPr>
            <w:tcW w:w="1129" w:type="dxa"/>
          </w:tcPr>
          <w:p w14:paraId="48F8F1A7" w14:textId="27235DE7" w:rsidR="00B3451B" w:rsidRDefault="00B3451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0210</w:t>
            </w:r>
          </w:p>
        </w:tc>
        <w:tc>
          <w:tcPr>
            <w:tcW w:w="7620" w:type="dxa"/>
          </w:tcPr>
          <w:p w14:paraId="1E9D3972" w14:textId="5F50B09E" w:rsidR="00B3451B" w:rsidRPr="001012EE" w:rsidRDefault="00B3451B" w:rsidP="00B3451B">
            <w:pPr>
              <w:spacing w:before="0"/>
              <w:rPr>
                <w:rFonts w:ascii="Times New Roman" w:hAnsi="Times New Roman"/>
                <w:b/>
                <w:bCs/>
                <w:sz w:val="24"/>
                <w:u w:val="single"/>
              </w:rPr>
            </w:pPr>
            <w:r w:rsidRPr="001012EE">
              <w:rPr>
                <w:rFonts w:ascii="Times New Roman" w:hAnsi="Times New Roman"/>
                <w:b/>
                <w:bCs/>
                <w:sz w:val="24"/>
                <w:u w:val="single"/>
              </w:rPr>
              <w:t xml:space="preserve">NMD core </w:t>
            </w:r>
            <w:r w:rsidR="00484070">
              <w:rPr>
                <w:rFonts w:ascii="Times New Roman" w:hAnsi="Times New Roman"/>
                <w:b/>
                <w:bCs/>
                <w:sz w:val="24"/>
                <w:u w:val="single"/>
              </w:rPr>
              <w:t xml:space="preserve">component </w:t>
            </w:r>
            <w:r w:rsidRPr="001012EE">
              <w:rPr>
                <w:rFonts w:ascii="Times New Roman" w:hAnsi="Times New Roman"/>
                <w:b/>
                <w:bCs/>
                <w:sz w:val="24"/>
                <w:u w:val="single"/>
              </w:rPr>
              <w:t xml:space="preserve">balances (slotting of core </w:t>
            </w:r>
            <w:r w:rsidR="008B187E">
              <w:rPr>
                <w:rFonts w:ascii="Times New Roman" w:hAnsi="Times New Roman"/>
                <w:b/>
                <w:bCs/>
                <w:sz w:val="24"/>
                <w:u w:val="single"/>
              </w:rPr>
              <w:t>component</w:t>
            </w:r>
            <w:r w:rsidRPr="00F87D43">
              <w:rPr>
                <w:rFonts w:ascii="Times New Roman" w:hAnsi="Times New Roman"/>
                <w:b/>
                <w:bCs/>
                <w:sz w:val="24"/>
                <w:u w:val="single"/>
              </w:rPr>
              <w:t xml:space="preserve"> </w:t>
            </w:r>
            <w:r w:rsidRPr="001012EE">
              <w:rPr>
                <w:rFonts w:ascii="Times New Roman" w:hAnsi="Times New Roman"/>
                <w:b/>
                <w:bCs/>
                <w:sz w:val="24"/>
                <w:u w:val="single"/>
              </w:rPr>
              <w:t>balances)</w:t>
            </w:r>
          </w:p>
          <w:p w14:paraId="26774FB2" w14:textId="0373CBFE" w:rsidR="00EE6F88" w:rsidRDefault="00EE6F88" w:rsidP="00B3451B">
            <w:pPr>
              <w:spacing w:before="0"/>
              <w:rPr>
                <w:rFonts w:ascii="Times New Roman" w:hAnsi="Times New Roman"/>
                <w:sz w:val="24"/>
              </w:rPr>
            </w:pPr>
            <w:r>
              <w:rPr>
                <w:rFonts w:ascii="Times New Roman" w:hAnsi="Times New Roman"/>
                <w:sz w:val="24"/>
              </w:rPr>
              <w:t xml:space="preserve">Institutions shall </w:t>
            </w:r>
            <w:r w:rsidR="00774931">
              <w:rPr>
                <w:rFonts w:ascii="Times New Roman" w:hAnsi="Times New Roman"/>
                <w:sz w:val="24"/>
              </w:rPr>
              <w:t>indicate</w:t>
            </w:r>
            <w:r>
              <w:rPr>
                <w:rFonts w:ascii="Times New Roman" w:hAnsi="Times New Roman"/>
                <w:sz w:val="24"/>
              </w:rPr>
              <w:t xml:space="preserve"> how they allocate NMD</w:t>
            </w:r>
            <w:r w:rsidR="002C3C97">
              <w:rPr>
                <w:rFonts w:ascii="Times New Roman" w:hAnsi="Times New Roman"/>
                <w:sz w:val="24"/>
              </w:rPr>
              <w:t xml:space="preserve"> core</w:t>
            </w:r>
            <w:r>
              <w:rPr>
                <w:rFonts w:ascii="Times New Roman" w:hAnsi="Times New Roman"/>
                <w:sz w:val="24"/>
              </w:rPr>
              <w:t xml:space="preserve"> balances:</w:t>
            </w:r>
          </w:p>
          <w:p w14:paraId="5AED92C8" w14:textId="6F172A8D" w:rsidR="00EE6F88" w:rsidRPr="00D92403" w:rsidRDefault="008A192D" w:rsidP="00D92403">
            <w:pPr>
              <w:spacing w:before="0"/>
              <w:rPr>
                <w:rFonts w:ascii="Times New Roman" w:hAnsi="Times New Roman"/>
                <w:b/>
                <w:bCs/>
                <w:sz w:val="24"/>
                <w:u w:val="single"/>
              </w:rPr>
            </w:pPr>
            <w:r>
              <w:rPr>
                <w:rFonts w:ascii="Times New Roman" w:hAnsi="Times New Roman"/>
                <w:sz w:val="24"/>
              </w:rPr>
              <w:t xml:space="preserve">- </w:t>
            </w:r>
            <w:r w:rsidR="00EE6F88" w:rsidRPr="00D92403">
              <w:rPr>
                <w:rFonts w:ascii="Times New Roman" w:hAnsi="Times New Roman"/>
                <w:sz w:val="24"/>
              </w:rPr>
              <w:t xml:space="preserve">All core balances </w:t>
            </w:r>
            <w:r w:rsidR="00B3451B" w:rsidRPr="00D92403">
              <w:rPr>
                <w:rFonts w:ascii="Times New Roman" w:hAnsi="Times New Roman"/>
                <w:sz w:val="24"/>
              </w:rPr>
              <w:t xml:space="preserve">allocated in </w:t>
            </w:r>
            <w:r w:rsidR="002C3C97" w:rsidRPr="00D92403">
              <w:rPr>
                <w:rFonts w:ascii="Times New Roman" w:hAnsi="Times New Roman"/>
                <w:sz w:val="24"/>
              </w:rPr>
              <w:t xml:space="preserve">only </w:t>
            </w:r>
            <w:r w:rsidR="00B3451B" w:rsidRPr="00D92403">
              <w:rPr>
                <w:rFonts w:ascii="Times New Roman" w:hAnsi="Times New Roman"/>
                <w:sz w:val="24"/>
              </w:rPr>
              <w:t>one repricing tenor</w:t>
            </w:r>
            <w:r w:rsidR="00EE6F88" w:rsidRPr="00D92403">
              <w:rPr>
                <w:rFonts w:ascii="Times New Roman" w:hAnsi="Times New Roman"/>
                <w:sz w:val="24"/>
              </w:rPr>
              <w:t>.</w:t>
            </w:r>
          </w:p>
          <w:p w14:paraId="115B80B1" w14:textId="10B9DE2A" w:rsidR="00B3451B" w:rsidRPr="00C40D23" w:rsidRDefault="008A192D" w:rsidP="00D92403">
            <w:pPr>
              <w:spacing w:before="0"/>
              <w:rPr>
                <w:rFonts w:ascii="Times New Roman" w:hAnsi="Times New Roman"/>
                <w:b/>
                <w:u w:val="single"/>
              </w:rPr>
            </w:pPr>
            <w:r>
              <w:rPr>
                <w:rFonts w:ascii="Times New Roman" w:hAnsi="Times New Roman"/>
                <w:sz w:val="24"/>
              </w:rPr>
              <w:t xml:space="preserve">- </w:t>
            </w:r>
            <w:r w:rsidR="00EE6F88" w:rsidRPr="00D92403">
              <w:rPr>
                <w:rFonts w:ascii="Times New Roman" w:hAnsi="Times New Roman"/>
                <w:sz w:val="24"/>
              </w:rPr>
              <w:t>C</w:t>
            </w:r>
            <w:r w:rsidR="00B3451B" w:rsidRPr="00D92403">
              <w:rPr>
                <w:rFonts w:ascii="Times New Roman" w:hAnsi="Times New Roman"/>
                <w:sz w:val="24"/>
              </w:rPr>
              <w:t xml:space="preserve">ore balances allocated </w:t>
            </w:r>
            <w:r w:rsidR="002C3C97" w:rsidRPr="00D92403">
              <w:rPr>
                <w:rFonts w:ascii="Times New Roman" w:hAnsi="Times New Roman"/>
                <w:sz w:val="24"/>
              </w:rPr>
              <w:t xml:space="preserve">in </w:t>
            </w:r>
            <w:r w:rsidR="00B3451B" w:rsidRPr="00D92403">
              <w:rPr>
                <w:rFonts w:ascii="Times New Roman" w:hAnsi="Times New Roman"/>
                <w:sz w:val="24"/>
              </w:rPr>
              <w:t xml:space="preserve">different repricing </w:t>
            </w:r>
            <w:r w:rsidR="00B3451B" w:rsidRPr="00C40D23">
              <w:rPr>
                <w:rFonts w:ascii="Times New Roman" w:hAnsi="Times New Roman"/>
                <w:sz w:val="24"/>
              </w:rPr>
              <w:t>tenors</w:t>
            </w:r>
            <w:r w:rsidR="00EE6F88" w:rsidRPr="00C40D23">
              <w:rPr>
                <w:rFonts w:ascii="Times New Roman" w:hAnsi="Times New Roman"/>
                <w:sz w:val="24"/>
              </w:rPr>
              <w:t>.</w:t>
            </w:r>
          </w:p>
        </w:tc>
      </w:tr>
      <w:tr w:rsidR="00B3451B" w:rsidRPr="00EC067D" w14:paraId="793FE408" w14:textId="77777777" w:rsidTr="763F32FC">
        <w:tc>
          <w:tcPr>
            <w:tcW w:w="1129" w:type="dxa"/>
          </w:tcPr>
          <w:p w14:paraId="09DC633C" w14:textId="6BD27C76" w:rsidR="00B3451B" w:rsidRDefault="00B3451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0220</w:t>
            </w:r>
          </w:p>
        </w:tc>
        <w:tc>
          <w:tcPr>
            <w:tcW w:w="7620" w:type="dxa"/>
          </w:tcPr>
          <w:p w14:paraId="1BD693EB" w14:textId="14614877" w:rsidR="00B3451B" w:rsidRPr="001012EE" w:rsidRDefault="00B3451B" w:rsidP="00B3451B">
            <w:pPr>
              <w:spacing w:before="0"/>
              <w:rPr>
                <w:rFonts w:ascii="Times New Roman" w:hAnsi="Times New Roman"/>
                <w:b/>
                <w:bCs/>
                <w:sz w:val="24"/>
                <w:u w:val="single"/>
              </w:rPr>
            </w:pPr>
            <w:r w:rsidRPr="001012EE">
              <w:rPr>
                <w:rFonts w:ascii="Times New Roman" w:hAnsi="Times New Roman"/>
                <w:b/>
                <w:bCs/>
                <w:sz w:val="24"/>
                <w:u w:val="single"/>
              </w:rPr>
              <w:t>5-year NMD repricing cap</w:t>
            </w:r>
            <w:r w:rsidR="00B63A2F">
              <w:rPr>
                <w:rFonts w:ascii="Times New Roman" w:hAnsi="Times New Roman"/>
                <w:b/>
                <w:bCs/>
                <w:sz w:val="24"/>
                <w:u w:val="single"/>
              </w:rPr>
              <w:t xml:space="preserve"> on IRRBB risk management</w:t>
            </w:r>
          </w:p>
          <w:p w14:paraId="188A8A54" w14:textId="00BAF5AA" w:rsidR="00B3451B" w:rsidRDefault="00EE6F88" w:rsidP="00EE6F88">
            <w:pPr>
              <w:spacing w:before="0"/>
              <w:rPr>
                <w:rFonts w:ascii="Times New Roman" w:hAnsi="Times New Roman"/>
                <w:sz w:val="24"/>
              </w:rPr>
            </w:pPr>
            <w:r>
              <w:rPr>
                <w:rFonts w:ascii="Times New Roman" w:hAnsi="Times New Roman"/>
                <w:sz w:val="24"/>
              </w:rPr>
              <w:t xml:space="preserve">Institutions shall </w:t>
            </w:r>
            <w:r w:rsidR="00774931">
              <w:rPr>
                <w:rFonts w:ascii="Times New Roman" w:hAnsi="Times New Roman"/>
                <w:sz w:val="24"/>
              </w:rPr>
              <w:t>indicate</w:t>
            </w:r>
            <w:r>
              <w:rPr>
                <w:rFonts w:ascii="Times New Roman" w:hAnsi="Times New Roman"/>
                <w:sz w:val="24"/>
              </w:rPr>
              <w:t xml:space="preserve"> whether </w:t>
            </w:r>
            <w:r w:rsidR="00B3451B" w:rsidRPr="001012EE">
              <w:rPr>
                <w:rFonts w:ascii="Times New Roman" w:hAnsi="Times New Roman"/>
                <w:sz w:val="24"/>
              </w:rPr>
              <w:t xml:space="preserve">any unintended impact </w:t>
            </w:r>
            <w:r w:rsidR="00CD2D7A">
              <w:rPr>
                <w:rFonts w:ascii="Times New Roman" w:hAnsi="Times New Roman"/>
                <w:sz w:val="24"/>
              </w:rPr>
              <w:t xml:space="preserve">is </w:t>
            </w:r>
            <w:r w:rsidR="00846C16">
              <w:rPr>
                <w:rFonts w:ascii="Times New Roman" w:hAnsi="Times New Roman"/>
                <w:sz w:val="24"/>
              </w:rPr>
              <w:t xml:space="preserve">observed </w:t>
            </w:r>
            <w:r w:rsidR="00B3451B" w:rsidRPr="001012EE">
              <w:rPr>
                <w:rFonts w:ascii="Times New Roman" w:hAnsi="Times New Roman"/>
                <w:sz w:val="24"/>
              </w:rPr>
              <w:t xml:space="preserve">in terms of IRRBB risk management and hedging strategies, </w:t>
            </w:r>
            <w:r w:rsidR="00846C16">
              <w:rPr>
                <w:rFonts w:ascii="Times New Roman" w:hAnsi="Times New Roman"/>
                <w:sz w:val="24"/>
              </w:rPr>
              <w:t>due to</w:t>
            </w:r>
            <w:r w:rsidR="00387647">
              <w:rPr>
                <w:rFonts w:ascii="Times New Roman" w:hAnsi="Times New Roman"/>
                <w:sz w:val="24"/>
              </w:rPr>
              <w:t xml:space="preserve"> the</w:t>
            </w:r>
            <w:r w:rsidR="00B3451B" w:rsidRPr="001012EE">
              <w:rPr>
                <w:rFonts w:ascii="Times New Roman" w:hAnsi="Times New Roman"/>
                <w:sz w:val="24"/>
              </w:rPr>
              <w:t xml:space="preserve"> 5-year repricing cap in the </w:t>
            </w:r>
            <w:r w:rsidR="00846C16">
              <w:rPr>
                <w:rFonts w:ascii="Times New Roman" w:hAnsi="Times New Roman"/>
                <w:sz w:val="24"/>
              </w:rPr>
              <w:t>IRRBB</w:t>
            </w:r>
            <w:r w:rsidR="00CD2D7A">
              <w:rPr>
                <w:rFonts w:ascii="Times New Roman" w:hAnsi="Times New Roman"/>
                <w:sz w:val="24"/>
              </w:rPr>
              <w:t xml:space="preserve"> </w:t>
            </w:r>
            <w:r w:rsidR="00B3451B" w:rsidRPr="001012EE">
              <w:rPr>
                <w:rFonts w:ascii="Times New Roman" w:hAnsi="Times New Roman"/>
                <w:sz w:val="24"/>
              </w:rPr>
              <w:t>IMS</w:t>
            </w:r>
            <w:r w:rsidR="00CD2D7A">
              <w:rPr>
                <w:rFonts w:ascii="Times New Roman" w:hAnsi="Times New Roman"/>
                <w:sz w:val="24"/>
              </w:rPr>
              <w:t>:</w:t>
            </w:r>
          </w:p>
          <w:p w14:paraId="6B092AAE" w14:textId="77777777" w:rsidR="008A192D" w:rsidRPr="00694CA0" w:rsidRDefault="008A192D" w:rsidP="0001573B">
            <w:pPr>
              <w:pStyle w:val="InstructionsText"/>
              <w:rPr>
                <w:rStyle w:val="InstructionsTabelleberschrift"/>
                <w:rFonts w:ascii="Times New Roman" w:hAnsi="Times New Roman"/>
                <w:b w:val="0"/>
                <w:bCs w:val="0"/>
                <w:sz w:val="24"/>
                <w:u w:val="none"/>
                <w:lang w:eastAsia="en-US"/>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Yes</w:t>
            </w:r>
          </w:p>
          <w:p w14:paraId="59B74C58" w14:textId="77777777" w:rsidR="008A192D" w:rsidRPr="00694CA0" w:rsidRDefault="008A192D"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No</w:t>
            </w:r>
          </w:p>
          <w:p w14:paraId="66D7A0C7" w14:textId="2F932B9B" w:rsidR="00CD2D7A" w:rsidRPr="00C40D23" w:rsidRDefault="008A192D" w:rsidP="00466F09">
            <w:pPr>
              <w:spacing w:before="0"/>
              <w:rPr>
                <w:rFonts w:ascii="Times New Roman" w:hAnsi="Times New Roman"/>
              </w:rPr>
            </w:pPr>
            <w:r w:rsidRPr="008A192D">
              <w:rPr>
                <w:rStyle w:val="InstructionsTabelleberschrift"/>
                <w:rFonts w:ascii="Times New Roman" w:hAnsi="Times New Roman"/>
                <w:b w:val="0"/>
                <w:bCs w:val="0"/>
                <w:sz w:val="24"/>
                <w:u w:val="none"/>
                <w:lang w:val="en-US"/>
              </w:rPr>
              <w:t>- Not applicable</w:t>
            </w:r>
          </w:p>
        </w:tc>
      </w:tr>
      <w:tr w:rsidR="00B3451B" w:rsidRPr="00EC067D" w14:paraId="000798D2" w14:textId="77777777" w:rsidTr="763F32FC">
        <w:tc>
          <w:tcPr>
            <w:tcW w:w="1129" w:type="dxa"/>
          </w:tcPr>
          <w:p w14:paraId="231BFCC5" w14:textId="1A03F6AA" w:rsidR="00B3451B" w:rsidRDefault="00B3451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0230</w:t>
            </w:r>
          </w:p>
        </w:tc>
        <w:tc>
          <w:tcPr>
            <w:tcW w:w="7620" w:type="dxa"/>
          </w:tcPr>
          <w:p w14:paraId="7C54CEED" w14:textId="77777777" w:rsidR="00B3451B" w:rsidRPr="001012EE" w:rsidRDefault="00B3451B" w:rsidP="00B3451B">
            <w:pPr>
              <w:spacing w:before="0"/>
              <w:rPr>
                <w:rFonts w:ascii="Times New Roman" w:hAnsi="Times New Roman"/>
                <w:b/>
                <w:bCs/>
                <w:sz w:val="24"/>
                <w:u w:val="single"/>
              </w:rPr>
            </w:pPr>
            <w:r w:rsidRPr="001012EE">
              <w:rPr>
                <w:rFonts w:ascii="Times New Roman" w:hAnsi="Times New Roman"/>
                <w:b/>
                <w:bCs/>
                <w:sz w:val="24"/>
                <w:u w:val="single"/>
              </w:rPr>
              <w:t>Exemptions to the 5-year NMD repricing cap</w:t>
            </w:r>
          </w:p>
          <w:p w14:paraId="2B9A88F2" w14:textId="75C94D59" w:rsidR="00B3451B" w:rsidRDefault="00CD2D7A" w:rsidP="00B3451B">
            <w:pPr>
              <w:spacing w:before="0"/>
              <w:rPr>
                <w:rFonts w:ascii="Times New Roman" w:hAnsi="Times New Roman"/>
                <w:sz w:val="24"/>
              </w:rPr>
            </w:pPr>
            <w:r>
              <w:rPr>
                <w:rFonts w:ascii="Times New Roman" w:hAnsi="Times New Roman"/>
                <w:sz w:val="24"/>
              </w:rPr>
              <w:t xml:space="preserve">Institutions shall </w:t>
            </w:r>
            <w:r w:rsidR="00774931">
              <w:rPr>
                <w:rFonts w:ascii="Times New Roman" w:hAnsi="Times New Roman"/>
                <w:sz w:val="24"/>
              </w:rPr>
              <w:t>indicate</w:t>
            </w:r>
            <w:r>
              <w:rPr>
                <w:rFonts w:ascii="Times New Roman" w:hAnsi="Times New Roman"/>
                <w:sz w:val="24"/>
              </w:rPr>
              <w:t xml:space="preserve"> whether </w:t>
            </w:r>
            <w:r w:rsidR="00222C60">
              <w:rPr>
                <w:rFonts w:ascii="Times New Roman" w:hAnsi="Times New Roman"/>
                <w:sz w:val="24"/>
              </w:rPr>
              <w:t xml:space="preserve">they </w:t>
            </w:r>
            <w:r w:rsidR="00B3451B" w:rsidRPr="001012EE">
              <w:rPr>
                <w:rFonts w:ascii="Times New Roman" w:hAnsi="Times New Roman"/>
                <w:sz w:val="24"/>
              </w:rPr>
              <w:t xml:space="preserve">use the exemptions to the 5-year repricing cap </w:t>
            </w:r>
            <w:r>
              <w:rPr>
                <w:rFonts w:ascii="Times New Roman" w:hAnsi="Times New Roman"/>
                <w:sz w:val="24"/>
              </w:rPr>
              <w:t xml:space="preserve">for any of their IRRBB </w:t>
            </w:r>
            <w:r w:rsidR="00B3451B" w:rsidRPr="001012EE">
              <w:rPr>
                <w:rFonts w:ascii="Times New Roman" w:hAnsi="Times New Roman"/>
                <w:sz w:val="24"/>
              </w:rPr>
              <w:t>product</w:t>
            </w:r>
            <w:r>
              <w:rPr>
                <w:rFonts w:ascii="Times New Roman" w:hAnsi="Times New Roman"/>
                <w:sz w:val="24"/>
              </w:rPr>
              <w:t>s:</w:t>
            </w:r>
          </w:p>
          <w:p w14:paraId="1A4C2114" w14:textId="77777777" w:rsidR="008A192D" w:rsidRPr="00694CA0" w:rsidRDefault="008A192D" w:rsidP="0001573B">
            <w:pPr>
              <w:pStyle w:val="InstructionsText"/>
              <w:rPr>
                <w:rStyle w:val="InstructionsTabelleberschrift"/>
                <w:rFonts w:ascii="Times New Roman" w:hAnsi="Times New Roman"/>
                <w:b w:val="0"/>
                <w:bCs w:val="0"/>
                <w:sz w:val="24"/>
                <w:u w:val="none"/>
                <w:lang w:eastAsia="en-US"/>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Yes</w:t>
            </w:r>
          </w:p>
          <w:p w14:paraId="759DBDD3" w14:textId="77777777" w:rsidR="008A192D" w:rsidRPr="00694CA0" w:rsidRDefault="008A192D"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No</w:t>
            </w:r>
          </w:p>
          <w:p w14:paraId="03BCE0C5" w14:textId="68389EBB" w:rsidR="00CD2D7A" w:rsidRPr="00C40D23" w:rsidRDefault="008A192D" w:rsidP="00466F09">
            <w:pPr>
              <w:spacing w:before="0"/>
              <w:rPr>
                <w:rFonts w:ascii="Times New Roman" w:hAnsi="Times New Roman"/>
              </w:rPr>
            </w:pPr>
            <w:r w:rsidRPr="008A192D">
              <w:rPr>
                <w:rStyle w:val="InstructionsTabelleberschrift"/>
                <w:rFonts w:ascii="Times New Roman" w:hAnsi="Times New Roman"/>
                <w:b w:val="0"/>
                <w:bCs w:val="0"/>
                <w:sz w:val="24"/>
                <w:u w:val="none"/>
                <w:lang w:val="en-US"/>
              </w:rPr>
              <w:t>- Not applicable</w:t>
            </w:r>
          </w:p>
        </w:tc>
      </w:tr>
      <w:tr w:rsidR="00B3451B" w:rsidRPr="00EC067D" w14:paraId="640FEDD7" w14:textId="77777777" w:rsidTr="763F32FC">
        <w:tc>
          <w:tcPr>
            <w:tcW w:w="1129" w:type="dxa"/>
          </w:tcPr>
          <w:p w14:paraId="3E7E6D0E" w14:textId="5FCC1AC1" w:rsidR="00B3451B" w:rsidRDefault="00B3451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0240</w:t>
            </w:r>
          </w:p>
        </w:tc>
        <w:tc>
          <w:tcPr>
            <w:tcW w:w="7620" w:type="dxa"/>
          </w:tcPr>
          <w:p w14:paraId="7177E094" w14:textId="1488F142" w:rsidR="00B3451B" w:rsidRPr="001012EE" w:rsidRDefault="00B3451B" w:rsidP="00B3451B">
            <w:pPr>
              <w:spacing w:before="0"/>
              <w:rPr>
                <w:rFonts w:ascii="Times New Roman" w:hAnsi="Times New Roman"/>
                <w:b/>
                <w:bCs/>
                <w:sz w:val="24"/>
                <w:u w:val="single"/>
              </w:rPr>
            </w:pPr>
            <w:r w:rsidRPr="001012EE">
              <w:rPr>
                <w:rFonts w:ascii="Times New Roman" w:hAnsi="Times New Roman"/>
                <w:b/>
                <w:bCs/>
                <w:sz w:val="24"/>
                <w:u w:val="single"/>
              </w:rPr>
              <w:t>Modelling of operational NMDs</w:t>
            </w:r>
            <w:r w:rsidR="00E8174D">
              <w:rPr>
                <w:rFonts w:ascii="Times New Roman" w:hAnsi="Times New Roman"/>
                <w:b/>
                <w:bCs/>
                <w:sz w:val="24"/>
                <w:u w:val="single"/>
              </w:rPr>
              <w:t xml:space="preserve"> from financial customers</w:t>
            </w:r>
          </w:p>
          <w:p w14:paraId="016808F6" w14:textId="5C5B369D" w:rsidR="00CD2D7A" w:rsidRDefault="00CD2D7A" w:rsidP="00B3451B">
            <w:pPr>
              <w:spacing w:before="0"/>
              <w:rPr>
                <w:rFonts w:ascii="Times New Roman" w:hAnsi="Times New Roman"/>
                <w:sz w:val="24"/>
              </w:rPr>
            </w:pPr>
            <w:r>
              <w:rPr>
                <w:rFonts w:ascii="Times New Roman" w:hAnsi="Times New Roman"/>
                <w:sz w:val="24"/>
              </w:rPr>
              <w:t xml:space="preserve">Institutions shall </w:t>
            </w:r>
            <w:r w:rsidR="00774931">
              <w:rPr>
                <w:rFonts w:ascii="Times New Roman" w:hAnsi="Times New Roman"/>
                <w:sz w:val="24"/>
              </w:rPr>
              <w:t>indicate</w:t>
            </w:r>
            <w:r>
              <w:rPr>
                <w:rFonts w:ascii="Times New Roman" w:hAnsi="Times New Roman"/>
                <w:sz w:val="24"/>
              </w:rPr>
              <w:t xml:space="preserve"> whether NMD</w:t>
            </w:r>
            <w:r w:rsidRPr="00CD2D7A">
              <w:rPr>
                <w:rFonts w:ascii="Times New Roman" w:hAnsi="Times New Roman"/>
                <w:sz w:val="24"/>
              </w:rPr>
              <w:t>s from financial customers</w:t>
            </w:r>
            <w:r w:rsidR="00E8174D">
              <w:rPr>
                <w:rFonts w:ascii="Times New Roman" w:hAnsi="Times New Roman"/>
                <w:sz w:val="24"/>
              </w:rPr>
              <w:t xml:space="preserve"> classified as </w:t>
            </w:r>
            <w:r w:rsidRPr="00CD2D7A">
              <w:rPr>
                <w:rFonts w:ascii="Times New Roman" w:hAnsi="Times New Roman"/>
                <w:sz w:val="24"/>
              </w:rPr>
              <w:t>operational deposits</w:t>
            </w:r>
            <w:r w:rsidR="00104498">
              <w:rPr>
                <w:rFonts w:ascii="Times New Roman" w:hAnsi="Times New Roman"/>
                <w:sz w:val="24"/>
              </w:rPr>
              <w:t>,</w:t>
            </w:r>
            <w:r w:rsidR="00E8174D">
              <w:rPr>
                <w:rFonts w:ascii="Times New Roman" w:hAnsi="Times New Roman"/>
                <w:sz w:val="24"/>
              </w:rPr>
              <w:t xml:space="preserve"> for which</w:t>
            </w:r>
            <w:r w:rsidRPr="00CD2D7A">
              <w:rPr>
                <w:rFonts w:ascii="Times New Roman" w:hAnsi="Times New Roman"/>
                <w:sz w:val="24"/>
              </w:rPr>
              <w:t xml:space="preserve"> Article 27(1)(a) </w:t>
            </w:r>
            <w:r w:rsidR="00774931">
              <w:rPr>
                <w:rFonts w:ascii="Times New Roman" w:hAnsi="Times New Roman"/>
                <w:sz w:val="24"/>
              </w:rPr>
              <w:t>of the</w:t>
            </w:r>
            <w:r w:rsidRPr="00CD2D7A">
              <w:rPr>
                <w:rFonts w:ascii="Times New Roman" w:hAnsi="Times New Roman"/>
                <w:sz w:val="24"/>
              </w:rPr>
              <w:t xml:space="preserve"> LCR Delegated Regulation</w:t>
            </w:r>
            <w:r w:rsidR="00E8174D">
              <w:rPr>
                <w:rFonts w:ascii="Times New Roman" w:hAnsi="Times New Roman"/>
                <w:sz w:val="24"/>
              </w:rPr>
              <w:t xml:space="preserve"> applies</w:t>
            </w:r>
            <w:r w:rsidR="00104498">
              <w:rPr>
                <w:rFonts w:ascii="Times New Roman" w:hAnsi="Times New Roman"/>
                <w:sz w:val="24"/>
              </w:rPr>
              <w:t>,</w:t>
            </w:r>
            <w:r>
              <w:rPr>
                <w:rFonts w:ascii="Times New Roman" w:hAnsi="Times New Roman"/>
                <w:sz w:val="24"/>
              </w:rPr>
              <w:t xml:space="preserve"> are</w:t>
            </w:r>
            <w:r w:rsidRPr="00CD2D7A">
              <w:rPr>
                <w:rFonts w:ascii="Times New Roman" w:hAnsi="Times New Roman"/>
                <w:sz w:val="24"/>
              </w:rPr>
              <w:t xml:space="preserve"> subject to behavioural modelling</w:t>
            </w:r>
            <w:r>
              <w:rPr>
                <w:rFonts w:ascii="Times New Roman" w:hAnsi="Times New Roman"/>
                <w:sz w:val="24"/>
              </w:rPr>
              <w:t>:</w:t>
            </w:r>
          </w:p>
          <w:p w14:paraId="66706F43" w14:textId="77777777" w:rsidR="008A192D" w:rsidRPr="00694CA0" w:rsidRDefault="008A192D" w:rsidP="0001573B">
            <w:pPr>
              <w:pStyle w:val="InstructionsText"/>
              <w:rPr>
                <w:rStyle w:val="InstructionsTabelleberschrift"/>
                <w:rFonts w:ascii="Times New Roman" w:hAnsi="Times New Roman"/>
                <w:b w:val="0"/>
                <w:bCs w:val="0"/>
                <w:sz w:val="24"/>
                <w:u w:val="none"/>
                <w:lang w:eastAsia="en-US"/>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Yes</w:t>
            </w:r>
          </w:p>
          <w:p w14:paraId="026950A9" w14:textId="77777777" w:rsidR="008A192D" w:rsidRPr="00694CA0" w:rsidRDefault="008A192D"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No</w:t>
            </w:r>
          </w:p>
          <w:p w14:paraId="132A97D8" w14:textId="3D18420A" w:rsidR="00B3451B" w:rsidRPr="00C40D23" w:rsidRDefault="008A192D" w:rsidP="00466F09">
            <w:pPr>
              <w:spacing w:before="0"/>
              <w:rPr>
                <w:rFonts w:ascii="Times New Roman" w:hAnsi="Times New Roman"/>
              </w:rPr>
            </w:pPr>
            <w:r w:rsidRPr="008A192D">
              <w:rPr>
                <w:rStyle w:val="InstructionsTabelleberschrift"/>
                <w:rFonts w:ascii="Times New Roman" w:hAnsi="Times New Roman"/>
                <w:b w:val="0"/>
                <w:bCs w:val="0"/>
                <w:sz w:val="24"/>
                <w:u w:val="none"/>
                <w:lang w:val="en-US"/>
              </w:rPr>
              <w:t>- Not applicable</w:t>
            </w:r>
          </w:p>
        </w:tc>
      </w:tr>
      <w:tr w:rsidR="00B3451B" w:rsidRPr="00EC067D" w14:paraId="73931E62" w14:textId="77777777" w:rsidTr="763F32FC">
        <w:tc>
          <w:tcPr>
            <w:tcW w:w="1129" w:type="dxa"/>
          </w:tcPr>
          <w:p w14:paraId="0BA17B70" w14:textId="732BF3CF" w:rsidR="00B3451B" w:rsidRDefault="00B3451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w:t>
            </w:r>
            <w:r w:rsidR="005F088A">
              <w:rPr>
                <w:rStyle w:val="FormatvorlageInstructionsTabelleText"/>
                <w:rFonts w:ascii="Times New Roman" w:hAnsi="Times New Roman"/>
                <w:sz w:val="24"/>
              </w:rPr>
              <w:t>5</w:t>
            </w:r>
            <w:r>
              <w:rPr>
                <w:rStyle w:val="FormatvorlageInstructionsTabelleText"/>
                <w:rFonts w:ascii="Times New Roman" w:hAnsi="Times New Roman"/>
                <w:sz w:val="24"/>
              </w:rPr>
              <w:t>0</w:t>
            </w:r>
          </w:p>
        </w:tc>
        <w:tc>
          <w:tcPr>
            <w:tcW w:w="7620" w:type="dxa"/>
          </w:tcPr>
          <w:p w14:paraId="16F3972E" w14:textId="68C6CD62" w:rsidR="00EE6F88" w:rsidRPr="001012EE" w:rsidRDefault="00EE6F88" w:rsidP="00B3451B">
            <w:pPr>
              <w:spacing w:before="0"/>
              <w:rPr>
                <w:rFonts w:ascii="Times New Roman" w:hAnsi="Times New Roman"/>
                <w:b/>
                <w:bCs/>
                <w:sz w:val="24"/>
                <w:u w:val="single"/>
              </w:rPr>
            </w:pPr>
            <w:r w:rsidRPr="001012EE">
              <w:rPr>
                <w:rFonts w:ascii="Times New Roman" w:hAnsi="Times New Roman"/>
                <w:b/>
                <w:bCs/>
                <w:sz w:val="24"/>
                <w:u w:val="single"/>
              </w:rPr>
              <w:t>Changes in balance sheet structure due to interest rates</w:t>
            </w:r>
          </w:p>
          <w:p w14:paraId="1B01EB73" w14:textId="45302EF2" w:rsidR="008B3953" w:rsidRDefault="00B3451B" w:rsidP="008B3953">
            <w:pPr>
              <w:spacing w:before="0"/>
              <w:rPr>
                <w:rFonts w:ascii="Times New Roman" w:hAnsi="Times New Roman"/>
                <w:sz w:val="24"/>
              </w:rPr>
            </w:pPr>
            <w:r w:rsidRPr="001012EE">
              <w:rPr>
                <w:rFonts w:ascii="Times New Roman" w:hAnsi="Times New Roman"/>
                <w:sz w:val="24"/>
              </w:rPr>
              <w:t>In</w:t>
            </w:r>
            <w:r w:rsidR="00CB2C9F">
              <w:rPr>
                <w:rFonts w:ascii="Times New Roman" w:hAnsi="Times New Roman"/>
                <w:sz w:val="24"/>
              </w:rPr>
              <w:t>stitutions</w:t>
            </w:r>
            <w:r w:rsidRPr="001012EE">
              <w:rPr>
                <w:rFonts w:ascii="Times New Roman" w:hAnsi="Times New Roman"/>
                <w:sz w:val="24"/>
              </w:rPr>
              <w:t xml:space="preserve"> </w:t>
            </w:r>
            <w:r w:rsidR="00CB2C9F">
              <w:rPr>
                <w:rFonts w:ascii="Times New Roman" w:hAnsi="Times New Roman"/>
                <w:sz w:val="24"/>
              </w:rPr>
              <w:t xml:space="preserve">shall </w:t>
            </w:r>
            <w:r w:rsidR="006E61E4">
              <w:rPr>
                <w:rFonts w:ascii="Times New Roman" w:hAnsi="Times New Roman"/>
                <w:sz w:val="24"/>
              </w:rPr>
              <w:t xml:space="preserve">indicate </w:t>
            </w:r>
            <w:r w:rsidR="00CB2C9F">
              <w:rPr>
                <w:rFonts w:ascii="Times New Roman" w:hAnsi="Times New Roman"/>
                <w:sz w:val="24"/>
              </w:rPr>
              <w:t>the changes performed in their balance sheet structure</w:t>
            </w:r>
            <w:r w:rsidR="00237517">
              <w:rPr>
                <w:rFonts w:ascii="Times New Roman" w:hAnsi="Times New Roman"/>
                <w:sz w:val="24"/>
              </w:rPr>
              <w:t xml:space="preserve"> since the last reporting on IRRBB</w:t>
            </w:r>
            <w:r w:rsidR="008B3953">
              <w:rPr>
                <w:rFonts w:ascii="Times New Roman" w:hAnsi="Times New Roman"/>
                <w:sz w:val="24"/>
              </w:rPr>
              <w:t>:</w:t>
            </w:r>
            <w:r w:rsidRPr="001012EE">
              <w:rPr>
                <w:rFonts w:ascii="Times New Roman" w:hAnsi="Times New Roman"/>
                <w:sz w:val="24"/>
              </w:rPr>
              <w:t xml:space="preserve"> </w:t>
            </w:r>
          </w:p>
          <w:p w14:paraId="55D34979" w14:textId="089B3B06" w:rsidR="008B3953" w:rsidRPr="00C84442" w:rsidRDefault="00694CA0" w:rsidP="00C84442">
            <w:pPr>
              <w:spacing w:before="0"/>
              <w:rPr>
                <w:rFonts w:ascii="Times New Roman" w:hAnsi="Times New Roman"/>
                <w:sz w:val="24"/>
              </w:rPr>
            </w:pPr>
            <w:r>
              <w:rPr>
                <w:rFonts w:ascii="Times New Roman" w:hAnsi="Times New Roman"/>
                <w:sz w:val="24"/>
              </w:rPr>
              <w:t xml:space="preserve">- </w:t>
            </w:r>
            <w:r w:rsidR="008B3953">
              <w:rPr>
                <w:rFonts w:ascii="Times New Roman" w:hAnsi="Times New Roman"/>
                <w:sz w:val="24"/>
              </w:rPr>
              <w:t>R</w:t>
            </w:r>
            <w:r w:rsidR="00B3451B" w:rsidRPr="001012EE">
              <w:rPr>
                <w:rFonts w:ascii="Times New Roman" w:hAnsi="Times New Roman"/>
                <w:sz w:val="24"/>
              </w:rPr>
              <w:t>educ</w:t>
            </w:r>
            <w:r w:rsidR="00237517">
              <w:rPr>
                <w:rFonts w:ascii="Times New Roman" w:hAnsi="Times New Roman"/>
                <w:sz w:val="24"/>
              </w:rPr>
              <w:t>tion of</w:t>
            </w:r>
            <w:r w:rsidR="00B3451B" w:rsidRPr="001012EE">
              <w:rPr>
                <w:rFonts w:ascii="Times New Roman" w:hAnsi="Times New Roman"/>
                <w:sz w:val="24"/>
              </w:rPr>
              <w:t xml:space="preserve"> the duration gap between asset/liabilities </w:t>
            </w:r>
            <w:r w:rsidR="008B3953">
              <w:rPr>
                <w:rFonts w:ascii="Times New Roman" w:hAnsi="Times New Roman"/>
                <w:sz w:val="24"/>
              </w:rPr>
              <w:t xml:space="preserve">by </w:t>
            </w:r>
            <w:r w:rsidR="00B3451B" w:rsidRPr="001012EE">
              <w:rPr>
                <w:rFonts w:ascii="Times New Roman" w:hAnsi="Times New Roman"/>
                <w:sz w:val="24"/>
              </w:rPr>
              <w:t>reducing the duration of the asset</w:t>
            </w:r>
            <w:r w:rsidR="008B3953">
              <w:rPr>
                <w:rFonts w:ascii="Times New Roman" w:hAnsi="Times New Roman"/>
                <w:sz w:val="24"/>
              </w:rPr>
              <w:t>.</w:t>
            </w:r>
          </w:p>
          <w:p w14:paraId="694D4FF0" w14:textId="28B79D3F" w:rsidR="008B3953" w:rsidRPr="00C84442" w:rsidRDefault="00694CA0" w:rsidP="00C84442">
            <w:pPr>
              <w:spacing w:before="0"/>
              <w:rPr>
                <w:rFonts w:ascii="Times New Roman" w:hAnsi="Times New Roman"/>
                <w:sz w:val="24"/>
              </w:rPr>
            </w:pPr>
            <w:r>
              <w:rPr>
                <w:rFonts w:ascii="Times New Roman" w:hAnsi="Times New Roman"/>
                <w:sz w:val="24"/>
              </w:rPr>
              <w:t xml:space="preserve">- </w:t>
            </w:r>
            <w:r w:rsidR="008B3953">
              <w:rPr>
                <w:rFonts w:ascii="Times New Roman" w:hAnsi="Times New Roman"/>
                <w:sz w:val="24"/>
              </w:rPr>
              <w:t>R</w:t>
            </w:r>
            <w:r w:rsidR="008B3953" w:rsidRPr="004172DB">
              <w:rPr>
                <w:rFonts w:ascii="Times New Roman" w:hAnsi="Times New Roman"/>
                <w:sz w:val="24"/>
              </w:rPr>
              <w:t>educ</w:t>
            </w:r>
            <w:r w:rsidR="00237517">
              <w:rPr>
                <w:rFonts w:ascii="Times New Roman" w:hAnsi="Times New Roman"/>
                <w:sz w:val="24"/>
              </w:rPr>
              <w:t>tion of</w:t>
            </w:r>
            <w:r w:rsidR="008B3953" w:rsidRPr="004172DB">
              <w:rPr>
                <w:rFonts w:ascii="Times New Roman" w:hAnsi="Times New Roman"/>
                <w:sz w:val="24"/>
              </w:rPr>
              <w:t xml:space="preserve"> the duration gap between asset/liabilities </w:t>
            </w:r>
            <w:r w:rsidR="008B3953">
              <w:rPr>
                <w:rFonts w:ascii="Times New Roman" w:hAnsi="Times New Roman"/>
                <w:sz w:val="24"/>
              </w:rPr>
              <w:t xml:space="preserve">by </w:t>
            </w:r>
            <w:r w:rsidR="008B3953" w:rsidRPr="004172DB">
              <w:rPr>
                <w:rFonts w:ascii="Times New Roman" w:hAnsi="Times New Roman"/>
                <w:sz w:val="24"/>
              </w:rPr>
              <w:t>increasing the duration of liabilities</w:t>
            </w:r>
            <w:r w:rsidR="008B3953">
              <w:rPr>
                <w:rFonts w:ascii="Times New Roman" w:hAnsi="Times New Roman"/>
                <w:sz w:val="24"/>
              </w:rPr>
              <w:t>.</w:t>
            </w:r>
          </w:p>
          <w:p w14:paraId="374D8D69" w14:textId="792A3289" w:rsidR="008B3953" w:rsidRPr="00C84442" w:rsidRDefault="00694CA0" w:rsidP="00C84442">
            <w:pPr>
              <w:spacing w:before="0"/>
              <w:rPr>
                <w:rFonts w:ascii="Times New Roman" w:hAnsi="Times New Roman"/>
                <w:sz w:val="24"/>
              </w:rPr>
            </w:pPr>
            <w:r>
              <w:rPr>
                <w:rFonts w:ascii="Times New Roman" w:hAnsi="Times New Roman"/>
                <w:sz w:val="24"/>
              </w:rPr>
              <w:t xml:space="preserve">- </w:t>
            </w:r>
            <w:r w:rsidR="008B3953">
              <w:rPr>
                <w:rFonts w:ascii="Times New Roman" w:hAnsi="Times New Roman"/>
                <w:sz w:val="24"/>
              </w:rPr>
              <w:t>R</w:t>
            </w:r>
            <w:r w:rsidR="008B3953" w:rsidRPr="004172DB">
              <w:rPr>
                <w:rFonts w:ascii="Times New Roman" w:hAnsi="Times New Roman"/>
                <w:sz w:val="24"/>
              </w:rPr>
              <w:t>educ</w:t>
            </w:r>
            <w:r w:rsidR="00237517">
              <w:rPr>
                <w:rFonts w:ascii="Times New Roman" w:hAnsi="Times New Roman"/>
                <w:sz w:val="24"/>
              </w:rPr>
              <w:t>tion of</w:t>
            </w:r>
            <w:r w:rsidR="008B3953" w:rsidRPr="004172DB">
              <w:rPr>
                <w:rFonts w:ascii="Times New Roman" w:hAnsi="Times New Roman"/>
                <w:sz w:val="24"/>
              </w:rPr>
              <w:t xml:space="preserve"> the duration gap between asset/liabilities </w:t>
            </w:r>
            <w:r w:rsidR="008B3953">
              <w:rPr>
                <w:rFonts w:ascii="Times New Roman" w:hAnsi="Times New Roman"/>
                <w:sz w:val="24"/>
              </w:rPr>
              <w:t xml:space="preserve">by </w:t>
            </w:r>
            <w:r w:rsidR="008B3953" w:rsidRPr="004172DB">
              <w:rPr>
                <w:rFonts w:ascii="Times New Roman" w:hAnsi="Times New Roman"/>
                <w:sz w:val="24"/>
              </w:rPr>
              <w:t>reducing the duration of the asset and increasing the duration of liabilities</w:t>
            </w:r>
            <w:r w:rsidR="008B3953">
              <w:rPr>
                <w:rFonts w:ascii="Times New Roman" w:hAnsi="Times New Roman"/>
                <w:sz w:val="24"/>
              </w:rPr>
              <w:t>.</w:t>
            </w:r>
          </w:p>
          <w:p w14:paraId="57D61254" w14:textId="501D54FE" w:rsidR="00B3451B" w:rsidRPr="00C84442" w:rsidRDefault="00694CA0" w:rsidP="00C84442">
            <w:pPr>
              <w:spacing w:before="0"/>
              <w:rPr>
                <w:rFonts w:ascii="Times New Roman" w:hAnsi="Times New Roman"/>
                <w:sz w:val="24"/>
              </w:rPr>
            </w:pPr>
            <w:r>
              <w:rPr>
                <w:rFonts w:ascii="Times New Roman" w:hAnsi="Times New Roman"/>
                <w:sz w:val="24"/>
              </w:rPr>
              <w:t xml:space="preserve">- </w:t>
            </w:r>
            <w:r w:rsidR="008B3953">
              <w:rPr>
                <w:rFonts w:ascii="Times New Roman" w:hAnsi="Times New Roman"/>
                <w:sz w:val="24"/>
              </w:rPr>
              <w:t>I</w:t>
            </w:r>
            <w:r w:rsidR="00B3451B" w:rsidRPr="001012EE">
              <w:rPr>
                <w:rFonts w:ascii="Times New Roman" w:hAnsi="Times New Roman"/>
                <w:sz w:val="24"/>
              </w:rPr>
              <w:t>ncrease</w:t>
            </w:r>
            <w:r w:rsidR="00237517">
              <w:rPr>
                <w:rFonts w:ascii="Times New Roman" w:hAnsi="Times New Roman"/>
                <w:sz w:val="24"/>
              </w:rPr>
              <w:t xml:space="preserve"> of</w:t>
            </w:r>
            <w:r w:rsidR="00B3451B" w:rsidRPr="001012EE">
              <w:rPr>
                <w:rFonts w:ascii="Times New Roman" w:hAnsi="Times New Roman"/>
                <w:sz w:val="24"/>
              </w:rPr>
              <w:t xml:space="preserve"> the duration gap </w:t>
            </w:r>
            <w:r w:rsidR="008B3953">
              <w:rPr>
                <w:rFonts w:ascii="Times New Roman" w:hAnsi="Times New Roman"/>
                <w:sz w:val="24"/>
              </w:rPr>
              <w:t>by i</w:t>
            </w:r>
            <w:r w:rsidR="00B3451B" w:rsidRPr="001012EE">
              <w:rPr>
                <w:rFonts w:ascii="Times New Roman" w:hAnsi="Times New Roman"/>
                <w:sz w:val="24"/>
              </w:rPr>
              <w:t>ncreasing the duration of assets.</w:t>
            </w:r>
          </w:p>
          <w:p w14:paraId="6BEBC9EB" w14:textId="20DAFBD3" w:rsidR="008B3953" w:rsidRPr="00C84442" w:rsidRDefault="00694CA0" w:rsidP="00C84442">
            <w:pPr>
              <w:spacing w:before="0"/>
              <w:rPr>
                <w:rFonts w:ascii="Times New Roman" w:hAnsi="Times New Roman"/>
                <w:sz w:val="24"/>
              </w:rPr>
            </w:pPr>
            <w:r>
              <w:rPr>
                <w:rFonts w:ascii="Times New Roman" w:hAnsi="Times New Roman"/>
                <w:sz w:val="24"/>
              </w:rPr>
              <w:t xml:space="preserve">- </w:t>
            </w:r>
            <w:r w:rsidR="008B3953">
              <w:rPr>
                <w:rFonts w:ascii="Times New Roman" w:hAnsi="Times New Roman"/>
                <w:sz w:val="24"/>
              </w:rPr>
              <w:t>I</w:t>
            </w:r>
            <w:r w:rsidR="008B3953" w:rsidRPr="004172DB">
              <w:rPr>
                <w:rFonts w:ascii="Times New Roman" w:hAnsi="Times New Roman"/>
                <w:sz w:val="24"/>
              </w:rPr>
              <w:t>ncrease</w:t>
            </w:r>
            <w:r w:rsidR="00237517">
              <w:rPr>
                <w:rFonts w:ascii="Times New Roman" w:hAnsi="Times New Roman"/>
                <w:sz w:val="24"/>
              </w:rPr>
              <w:t xml:space="preserve"> of</w:t>
            </w:r>
            <w:r w:rsidR="008B3953" w:rsidRPr="004172DB">
              <w:rPr>
                <w:rFonts w:ascii="Times New Roman" w:hAnsi="Times New Roman"/>
                <w:sz w:val="24"/>
              </w:rPr>
              <w:t xml:space="preserve"> the duration gap </w:t>
            </w:r>
            <w:r w:rsidR="008B3953">
              <w:rPr>
                <w:rFonts w:ascii="Times New Roman" w:hAnsi="Times New Roman"/>
                <w:sz w:val="24"/>
              </w:rPr>
              <w:t xml:space="preserve">by </w:t>
            </w:r>
            <w:r w:rsidR="008B3953" w:rsidRPr="004172DB">
              <w:rPr>
                <w:rFonts w:ascii="Times New Roman" w:hAnsi="Times New Roman"/>
                <w:sz w:val="24"/>
              </w:rPr>
              <w:t>reducing the duration of liabilities</w:t>
            </w:r>
          </w:p>
          <w:p w14:paraId="4D0929BD" w14:textId="4756A9AF" w:rsidR="008B3953" w:rsidRPr="00C84442" w:rsidRDefault="00694CA0" w:rsidP="00C84442">
            <w:pPr>
              <w:spacing w:before="0"/>
              <w:rPr>
                <w:rFonts w:ascii="Times New Roman" w:hAnsi="Times New Roman"/>
                <w:b/>
                <w:bCs/>
                <w:sz w:val="24"/>
                <w:u w:val="single"/>
              </w:rPr>
            </w:pPr>
            <w:r>
              <w:rPr>
                <w:rFonts w:ascii="Times New Roman" w:hAnsi="Times New Roman"/>
                <w:sz w:val="24"/>
              </w:rPr>
              <w:t xml:space="preserve">- </w:t>
            </w:r>
            <w:r w:rsidR="008B3953" w:rsidRPr="00C84442">
              <w:rPr>
                <w:rFonts w:ascii="Times New Roman" w:hAnsi="Times New Roman"/>
                <w:sz w:val="24"/>
              </w:rPr>
              <w:t>Increase</w:t>
            </w:r>
            <w:r w:rsidR="00237517" w:rsidRPr="00C84442">
              <w:rPr>
                <w:rFonts w:ascii="Times New Roman" w:hAnsi="Times New Roman"/>
                <w:sz w:val="24"/>
              </w:rPr>
              <w:t xml:space="preserve"> of</w:t>
            </w:r>
            <w:r w:rsidR="008B3953" w:rsidRPr="00C84442">
              <w:rPr>
                <w:rFonts w:ascii="Times New Roman" w:hAnsi="Times New Roman"/>
                <w:sz w:val="24"/>
              </w:rPr>
              <w:t xml:space="preserve"> the duration gap by increasing the duration of assets and reducing the duration of liabilities.</w:t>
            </w:r>
          </w:p>
        </w:tc>
      </w:tr>
      <w:tr w:rsidR="00B3451B" w:rsidRPr="00EC067D" w14:paraId="218435CB" w14:textId="77777777" w:rsidTr="763F32FC">
        <w:tc>
          <w:tcPr>
            <w:tcW w:w="1129" w:type="dxa"/>
          </w:tcPr>
          <w:p w14:paraId="6E0196ED" w14:textId="6D16DEF7" w:rsidR="00B3451B" w:rsidRDefault="00B3451B"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w:t>
            </w:r>
            <w:r w:rsidR="005F088A">
              <w:rPr>
                <w:rStyle w:val="FormatvorlageInstructionsTabelleText"/>
                <w:rFonts w:ascii="Times New Roman" w:hAnsi="Times New Roman"/>
                <w:sz w:val="24"/>
              </w:rPr>
              <w:t>6</w:t>
            </w:r>
            <w:r>
              <w:rPr>
                <w:rStyle w:val="FormatvorlageInstructionsTabelleText"/>
                <w:rFonts w:ascii="Times New Roman" w:hAnsi="Times New Roman"/>
                <w:sz w:val="24"/>
              </w:rPr>
              <w:t>0</w:t>
            </w:r>
          </w:p>
        </w:tc>
        <w:tc>
          <w:tcPr>
            <w:tcW w:w="7620" w:type="dxa"/>
          </w:tcPr>
          <w:p w14:paraId="4FFDB841" w14:textId="71F7EA4E" w:rsidR="00EE6F88" w:rsidRPr="001012EE" w:rsidRDefault="00EE6F88" w:rsidP="00B3451B">
            <w:pPr>
              <w:spacing w:before="0"/>
              <w:rPr>
                <w:rFonts w:ascii="Times New Roman" w:hAnsi="Times New Roman"/>
                <w:b/>
                <w:bCs/>
                <w:sz w:val="24"/>
                <w:u w:val="single"/>
              </w:rPr>
            </w:pPr>
            <w:r w:rsidRPr="001012EE">
              <w:rPr>
                <w:rFonts w:ascii="Times New Roman" w:hAnsi="Times New Roman"/>
                <w:b/>
                <w:bCs/>
                <w:sz w:val="24"/>
                <w:u w:val="single"/>
              </w:rPr>
              <w:t>IRRBB mitigation and hedging strategies</w:t>
            </w:r>
            <w:r w:rsidR="008B3953" w:rsidRPr="001012EE">
              <w:rPr>
                <w:rFonts w:ascii="Times New Roman" w:hAnsi="Times New Roman"/>
                <w:b/>
                <w:bCs/>
                <w:sz w:val="24"/>
                <w:u w:val="single"/>
              </w:rPr>
              <w:t xml:space="preserve"> (EVE)</w:t>
            </w:r>
          </w:p>
          <w:p w14:paraId="6516422C" w14:textId="7B47B9BC" w:rsidR="008B3953" w:rsidRDefault="00B3451B" w:rsidP="008B3953">
            <w:pPr>
              <w:spacing w:before="0"/>
              <w:rPr>
                <w:rFonts w:ascii="Times New Roman" w:hAnsi="Times New Roman"/>
                <w:sz w:val="24"/>
              </w:rPr>
            </w:pPr>
            <w:r w:rsidRPr="001012EE">
              <w:rPr>
                <w:rFonts w:ascii="Times New Roman" w:hAnsi="Times New Roman"/>
                <w:sz w:val="24"/>
              </w:rPr>
              <w:t>In</w:t>
            </w:r>
            <w:r w:rsidR="00CB2C9F">
              <w:rPr>
                <w:rFonts w:ascii="Times New Roman" w:hAnsi="Times New Roman"/>
                <w:sz w:val="24"/>
              </w:rPr>
              <w:t>stitutions</w:t>
            </w:r>
            <w:r w:rsidR="008B3953">
              <w:rPr>
                <w:rFonts w:ascii="Times New Roman" w:hAnsi="Times New Roman"/>
                <w:sz w:val="24"/>
              </w:rPr>
              <w:t xml:space="preserve"> shall </w:t>
            </w:r>
            <w:r w:rsidR="006E61E4">
              <w:rPr>
                <w:rFonts w:ascii="Times New Roman" w:hAnsi="Times New Roman"/>
                <w:sz w:val="24"/>
              </w:rPr>
              <w:t>indicate</w:t>
            </w:r>
            <w:r w:rsidR="008B3953">
              <w:rPr>
                <w:rFonts w:ascii="Times New Roman" w:hAnsi="Times New Roman"/>
                <w:sz w:val="24"/>
              </w:rPr>
              <w:t xml:space="preserve"> whether they expect to </w:t>
            </w:r>
            <w:r w:rsidRPr="001012EE">
              <w:rPr>
                <w:rFonts w:ascii="Times New Roman" w:hAnsi="Times New Roman"/>
                <w:sz w:val="24"/>
              </w:rPr>
              <w:t>develop changes in</w:t>
            </w:r>
            <w:r w:rsidR="008B3953">
              <w:rPr>
                <w:rFonts w:ascii="Times New Roman" w:hAnsi="Times New Roman"/>
                <w:sz w:val="24"/>
              </w:rPr>
              <w:t xml:space="preserve"> their</w:t>
            </w:r>
            <w:r w:rsidRPr="001012EE">
              <w:rPr>
                <w:rFonts w:ascii="Times New Roman" w:hAnsi="Times New Roman"/>
                <w:sz w:val="24"/>
              </w:rPr>
              <w:t xml:space="preserve"> IRR mitigation</w:t>
            </w:r>
            <w:r w:rsidR="008B3953">
              <w:rPr>
                <w:rFonts w:ascii="Times New Roman" w:hAnsi="Times New Roman"/>
                <w:sz w:val="24"/>
              </w:rPr>
              <w:t xml:space="preserve"> and </w:t>
            </w:r>
            <w:r w:rsidRPr="001012EE">
              <w:rPr>
                <w:rFonts w:ascii="Times New Roman" w:hAnsi="Times New Roman"/>
                <w:sz w:val="24"/>
              </w:rPr>
              <w:t>hedging strategies</w:t>
            </w:r>
            <w:r w:rsidR="008B3953">
              <w:rPr>
                <w:rFonts w:ascii="Times New Roman" w:hAnsi="Times New Roman"/>
                <w:sz w:val="24"/>
              </w:rPr>
              <w:t xml:space="preserve"> </w:t>
            </w:r>
            <w:r w:rsidR="008B3953" w:rsidRPr="008B3953">
              <w:rPr>
                <w:rFonts w:ascii="Times New Roman" w:hAnsi="Times New Roman"/>
                <w:sz w:val="24"/>
              </w:rPr>
              <w:t>in</w:t>
            </w:r>
            <w:r w:rsidR="008B3953">
              <w:rPr>
                <w:rFonts w:ascii="Times New Roman" w:hAnsi="Times New Roman"/>
                <w:sz w:val="24"/>
              </w:rPr>
              <w:t xml:space="preserve"> any of the scenarios foreseen in</w:t>
            </w:r>
            <w:r w:rsidR="008B3953" w:rsidRPr="008B3953">
              <w:rPr>
                <w:rFonts w:ascii="Times New Roman" w:hAnsi="Times New Roman"/>
                <w:sz w:val="24"/>
              </w:rPr>
              <w:t xml:space="preserve"> the EBA </w:t>
            </w:r>
            <w:r w:rsidR="008B3953" w:rsidRPr="00466F09">
              <w:rPr>
                <w:rFonts w:ascii="Times New Roman" w:hAnsi="Times New Roman"/>
                <w:sz w:val="24"/>
                <w:highlight w:val="lightGray"/>
              </w:rPr>
              <w:t xml:space="preserve">RTS on </w:t>
            </w:r>
            <w:r w:rsidR="008B3953" w:rsidRPr="000F5488">
              <w:rPr>
                <w:rFonts w:ascii="Times New Roman" w:hAnsi="Times New Roman"/>
                <w:sz w:val="24"/>
                <w:highlight w:val="lightGray"/>
              </w:rPr>
              <w:t>SOT</w:t>
            </w:r>
            <w:r w:rsidR="00F466A7" w:rsidRPr="000F5488">
              <w:rPr>
                <w:rFonts w:ascii="Times New Roman" w:hAnsi="Times New Roman"/>
                <w:sz w:val="24"/>
                <w:highlight w:val="lightGray"/>
              </w:rPr>
              <w:t xml:space="preserve"> for EVE</w:t>
            </w:r>
            <w:r w:rsidR="008B3953">
              <w:rPr>
                <w:rFonts w:ascii="Times New Roman" w:hAnsi="Times New Roman"/>
                <w:sz w:val="24"/>
              </w:rPr>
              <w:t>:</w:t>
            </w:r>
          </w:p>
          <w:p w14:paraId="0F1BB673" w14:textId="1D314438" w:rsidR="00F466A7" w:rsidRPr="00C84442" w:rsidRDefault="00694CA0" w:rsidP="00C84442">
            <w:pPr>
              <w:spacing w:before="0"/>
              <w:rPr>
                <w:rFonts w:ascii="Times New Roman" w:hAnsi="Times New Roman"/>
                <w:sz w:val="24"/>
              </w:rPr>
            </w:pPr>
            <w:r>
              <w:rPr>
                <w:rFonts w:ascii="Times New Roman" w:hAnsi="Times New Roman"/>
                <w:sz w:val="24"/>
              </w:rPr>
              <w:t>-</w:t>
            </w:r>
            <w:r w:rsidR="00F466A7" w:rsidRPr="00C84442">
              <w:rPr>
                <w:rFonts w:ascii="Times New Roman" w:hAnsi="Times New Roman"/>
                <w:sz w:val="24"/>
              </w:rPr>
              <w:t xml:space="preserve"> Parallel shock up</w:t>
            </w:r>
            <w:r w:rsidR="007668FF" w:rsidRPr="00C84442">
              <w:rPr>
                <w:rFonts w:ascii="Times New Roman" w:hAnsi="Times New Roman"/>
                <w:sz w:val="24"/>
              </w:rPr>
              <w:t>.</w:t>
            </w:r>
          </w:p>
          <w:p w14:paraId="353314E6" w14:textId="2B08917C" w:rsidR="00F466A7" w:rsidRPr="00C84442" w:rsidRDefault="00694CA0" w:rsidP="00C84442">
            <w:pPr>
              <w:spacing w:before="0"/>
              <w:rPr>
                <w:rFonts w:ascii="Times New Roman" w:hAnsi="Times New Roman"/>
                <w:sz w:val="24"/>
              </w:rPr>
            </w:pPr>
            <w:r>
              <w:rPr>
                <w:rFonts w:ascii="Times New Roman" w:hAnsi="Times New Roman"/>
                <w:sz w:val="24"/>
              </w:rPr>
              <w:t>-</w:t>
            </w:r>
            <w:r w:rsidR="00F466A7" w:rsidRPr="00C84442">
              <w:rPr>
                <w:rFonts w:ascii="Times New Roman" w:hAnsi="Times New Roman"/>
                <w:sz w:val="24"/>
              </w:rPr>
              <w:t xml:space="preserve"> Parallel shock down</w:t>
            </w:r>
            <w:r w:rsidR="007668FF" w:rsidRPr="00C84442">
              <w:rPr>
                <w:rFonts w:ascii="Times New Roman" w:hAnsi="Times New Roman"/>
                <w:sz w:val="24"/>
              </w:rPr>
              <w:t>.</w:t>
            </w:r>
          </w:p>
          <w:p w14:paraId="03B57B19" w14:textId="7E7E4251" w:rsidR="00F466A7" w:rsidRPr="00C84442" w:rsidRDefault="00694CA0" w:rsidP="00C84442">
            <w:pPr>
              <w:spacing w:before="0"/>
              <w:rPr>
                <w:rFonts w:ascii="Times New Roman" w:hAnsi="Times New Roman"/>
                <w:sz w:val="24"/>
              </w:rPr>
            </w:pPr>
            <w:r>
              <w:rPr>
                <w:rFonts w:ascii="Times New Roman" w:hAnsi="Times New Roman"/>
                <w:sz w:val="24"/>
              </w:rPr>
              <w:t>-</w:t>
            </w:r>
            <w:r w:rsidR="00F466A7" w:rsidRPr="00C84442">
              <w:rPr>
                <w:rFonts w:ascii="Times New Roman" w:hAnsi="Times New Roman"/>
                <w:sz w:val="24"/>
              </w:rPr>
              <w:t xml:space="preserve"> Steepener shock</w:t>
            </w:r>
            <w:r w:rsidR="007668FF" w:rsidRPr="00C84442">
              <w:rPr>
                <w:rFonts w:ascii="Times New Roman" w:hAnsi="Times New Roman"/>
                <w:sz w:val="24"/>
              </w:rPr>
              <w:t>.</w:t>
            </w:r>
          </w:p>
          <w:p w14:paraId="644022C1" w14:textId="733F63E7" w:rsidR="00F466A7" w:rsidRPr="00C84442" w:rsidRDefault="00694CA0" w:rsidP="00C84442">
            <w:pPr>
              <w:spacing w:before="0"/>
              <w:rPr>
                <w:rFonts w:ascii="Times New Roman" w:hAnsi="Times New Roman"/>
                <w:sz w:val="24"/>
              </w:rPr>
            </w:pPr>
            <w:r>
              <w:rPr>
                <w:rFonts w:ascii="Times New Roman" w:hAnsi="Times New Roman"/>
                <w:sz w:val="24"/>
              </w:rPr>
              <w:t>-</w:t>
            </w:r>
            <w:r w:rsidR="00F466A7" w:rsidRPr="00C84442">
              <w:rPr>
                <w:rFonts w:ascii="Times New Roman" w:hAnsi="Times New Roman"/>
                <w:sz w:val="24"/>
              </w:rPr>
              <w:t xml:space="preserve"> Flattener shock</w:t>
            </w:r>
            <w:r w:rsidR="007668FF" w:rsidRPr="00C84442">
              <w:rPr>
                <w:rFonts w:ascii="Times New Roman" w:hAnsi="Times New Roman"/>
                <w:sz w:val="24"/>
              </w:rPr>
              <w:t>.</w:t>
            </w:r>
          </w:p>
          <w:p w14:paraId="0B823A8E" w14:textId="10412EBC" w:rsidR="00F466A7" w:rsidRPr="00C84442" w:rsidRDefault="00694CA0" w:rsidP="00C84442">
            <w:pPr>
              <w:spacing w:before="0"/>
              <w:rPr>
                <w:rFonts w:ascii="Times New Roman" w:hAnsi="Times New Roman"/>
                <w:sz w:val="24"/>
              </w:rPr>
            </w:pPr>
            <w:r>
              <w:rPr>
                <w:rFonts w:ascii="Times New Roman" w:hAnsi="Times New Roman"/>
                <w:sz w:val="24"/>
              </w:rPr>
              <w:t xml:space="preserve">- </w:t>
            </w:r>
            <w:r w:rsidR="00F466A7" w:rsidRPr="00C84442">
              <w:rPr>
                <w:rFonts w:ascii="Times New Roman" w:hAnsi="Times New Roman"/>
                <w:sz w:val="24"/>
              </w:rPr>
              <w:t>Short rates shock up</w:t>
            </w:r>
            <w:r w:rsidR="007668FF" w:rsidRPr="00C84442">
              <w:rPr>
                <w:rFonts w:ascii="Times New Roman" w:hAnsi="Times New Roman"/>
                <w:sz w:val="24"/>
              </w:rPr>
              <w:t>.</w:t>
            </w:r>
          </w:p>
          <w:p w14:paraId="4E07EFB8" w14:textId="2FAAA3EF" w:rsidR="00F466A7" w:rsidRPr="00C84442" w:rsidRDefault="00694CA0" w:rsidP="00C84442">
            <w:pPr>
              <w:spacing w:before="0"/>
              <w:rPr>
                <w:rFonts w:ascii="Times New Roman" w:hAnsi="Times New Roman"/>
                <w:b/>
                <w:bCs/>
                <w:sz w:val="24"/>
                <w:u w:val="single"/>
              </w:rPr>
            </w:pPr>
            <w:r>
              <w:rPr>
                <w:rFonts w:ascii="Times New Roman" w:hAnsi="Times New Roman"/>
                <w:sz w:val="24"/>
              </w:rPr>
              <w:t xml:space="preserve">- </w:t>
            </w:r>
            <w:r w:rsidR="00F466A7" w:rsidRPr="00C84442">
              <w:rPr>
                <w:rFonts w:ascii="Times New Roman" w:hAnsi="Times New Roman"/>
                <w:sz w:val="24"/>
              </w:rPr>
              <w:t>Short rates shock down</w:t>
            </w:r>
            <w:r w:rsidR="007668FF" w:rsidRPr="00C84442">
              <w:rPr>
                <w:rFonts w:ascii="Times New Roman" w:hAnsi="Times New Roman"/>
                <w:sz w:val="24"/>
              </w:rPr>
              <w:t>.</w:t>
            </w:r>
          </w:p>
        </w:tc>
      </w:tr>
      <w:tr w:rsidR="00F466A7" w:rsidRPr="00EC067D" w14:paraId="532A6946" w14:textId="77777777" w:rsidTr="763F32FC">
        <w:tc>
          <w:tcPr>
            <w:tcW w:w="1129" w:type="dxa"/>
          </w:tcPr>
          <w:p w14:paraId="3EAC5854" w14:textId="247A16AB" w:rsidR="00F466A7" w:rsidRDefault="00F466A7"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0270</w:t>
            </w:r>
          </w:p>
        </w:tc>
        <w:tc>
          <w:tcPr>
            <w:tcW w:w="7620" w:type="dxa"/>
          </w:tcPr>
          <w:p w14:paraId="423E008D" w14:textId="4EE4B888" w:rsidR="00F466A7" w:rsidRPr="001012EE" w:rsidRDefault="00F466A7" w:rsidP="00F466A7">
            <w:pPr>
              <w:spacing w:before="0"/>
              <w:rPr>
                <w:rFonts w:ascii="Times New Roman" w:hAnsi="Times New Roman"/>
                <w:b/>
                <w:bCs/>
                <w:sz w:val="24"/>
                <w:u w:val="single"/>
              </w:rPr>
            </w:pPr>
            <w:r w:rsidRPr="001012EE">
              <w:rPr>
                <w:rFonts w:ascii="Times New Roman" w:hAnsi="Times New Roman"/>
                <w:b/>
                <w:bCs/>
                <w:sz w:val="24"/>
                <w:u w:val="single"/>
              </w:rPr>
              <w:t>IRRBB mitigation and hedging strategies (NII)</w:t>
            </w:r>
          </w:p>
          <w:p w14:paraId="5FA7EE52" w14:textId="4080CDBA" w:rsidR="00F466A7" w:rsidRDefault="00F466A7" w:rsidP="00F466A7">
            <w:pPr>
              <w:spacing w:before="0"/>
              <w:rPr>
                <w:rFonts w:ascii="Times New Roman" w:hAnsi="Times New Roman"/>
                <w:sz w:val="24"/>
              </w:rPr>
            </w:pPr>
            <w:r w:rsidRPr="004172DB">
              <w:rPr>
                <w:rFonts w:ascii="Times New Roman" w:hAnsi="Times New Roman"/>
                <w:sz w:val="24"/>
              </w:rPr>
              <w:t>In</w:t>
            </w:r>
            <w:r>
              <w:rPr>
                <w:rFonts w:ascii="Times New Roman" w:hAnsi="Times New Roman"/>
                <w:sz w:val="24"/>
              </w:rPr>
              <w:t xml:space="preserve">stitutions shall </w:t>
            </w:r>
            <w:r w:rsidR="006E61E4">
              <w:rPr>
                <w:rFonts w:ascii="Times New Roman" w:hAnsi="Times New Roman"/>
                <w:sz w:val="24"/>
              </w:rPr>
              <w:t>indicate</w:t>
            </w:r>
            <w:r>
              <w:rPr>
                <w:rFonts w:ascii="Times New Roman" w:hAnsi="Times New Roman"/>
                <w:sz w:val="24"/>
              </w:rPr>
              <w:t xml:space="preserve"> whether they expect to </w:t>
            </w:r>
            <w:r w:rsidRPr="004172DB">
              <w:rPr>
                <w:rFonts w:ascii="Times New Roman" w:hAnsi="Times New Roman"/>
                <w:sz w:val="24"/>
              </w:rPr>
              <w:t>develop changes in</w:t>
            </w:r>
            <w:r>
              <w:rPr>
                <w:rFonts w:ascii="Times New Roman" w:hAnsi="Times New Roman"/>
                <w:sz w:val="24"/>
              </w:rPr>
              <w:t xml:space="preserve"> their</w:t>
            </w:r>
            <w:r w:rsidRPr="004172DB">
              <w:rPr>
                <w:rFonts w:ascii="Times New Roman" w:hAnsi="Times New Roman"/>
                <w:sz w:val="24"/>
              </w:rPr>
              <w:t xml:space="preserve"> IRR mitigation</w:t>
            </w:r>
            <w:r>
              <w:rPr>
                <w:rFonts w:ascii="Times New Roman" w:hAnsi="Times New Roman"/>
                <w:sz w:val="24"/>
              </w:rPr>
              <w:t xml:space="preserve"> and </w:t>
            </w:r>
            <w:r w:rsidRPr="004172DB">
              <w:rPr>
                <w:rFonts w:ascii="Times New Roman" w:hAnsi="Times New Roman"/>
                <w:sz w:val="24"/>
              </w:rPr>
              <w:t>hedging strategies</w:t>
            </w:r>
            <w:r>
              <w:rPr>
                <w:rFonts w:ascii="Times New Roman" w:hAnsi="Times New Roman"/>
                <w:sz w:val="24"/>
              </w:rPr>
              <w:t xml:space="preserve"> </w:t>
            </w:r>
            <w:r w:rsidRPr="008B3953">
              <w:rPr>
                <w:rFonts w:ascii="Times New Roman" w:hAnsi="Times New Roman"/>
                <w:sz w:val="24"/>
              </w:rPr>
              <w:t>in</w:t>
            </w:r>
            <w:r>
              <w:rPr>
                <w:rFonts w:ascii="Times New Roman" w:hAnsi="Times New Roman"/>
                <w:sz w:val="24"/>
              </w:rPr>
              <w:t xml:space="preserve"> any of the scenarios foreseen in</w:t>
            </w:r>
            <w:r w:rsidRPr="008B3953">
              <w:rPr>
                <w:rFonts w:ascii="Times New Roman" w:hAnsi="Times New Roman"/>
                <w:sz w:val="24"/>
              </w:rPr>
              <w:t xml:space="preserve"> the </w:t>
            </w:r>
            <w:r w:rsidRPr="00490A70">
              <w:rPr>
                <w:rFonts w:ascii="Times New Roman" w:hAnsi="Times New Roman"/>
                <w:sz w:val="24"/>
                <w:highlight w:val="lightGray"/>
              </w:rPr>
              <w:t xml:space="preserve">EBA RTS on </w:t>
            </w:r>
            <w:r w:rsidRPr="00C20CE0">
              <w:rPr>
                <w:rFonts w:ascii="Times New Roman" w:hAnsi="Times New Roman"/>
                <w:sz w:val="24"/>
                <w:highlight w:val="lightGray"/>
              </w:rPr>
              <w:t xml:space="preserve">SOT </w:t>
            </w:r>
            <w:r w:rsidRPr="000F5488">
              <w:rPr>
                <w:rFonts w:ascii="Times New Roman" w:hAnsi="Times New Roman"/>
                <w:sz w:val="24"/>
                <w:highlight w:val="lightGray"/>
              </w:rPr>
              <w:t>for NII</w:t>
            </w:r>
            <w:r>
              <w:rPr>
                <w:rFonts w:ascii="Times New Roman" w:hAnsi="Times New Roman"/>
                <w:sz w:val="24"/>
              </w:rPr>
              <w:t>:</w:t>
            </w:r>
          </w:p>
          <w:p w14:paraId="2683288C" w14:textId="6CE8B1D2" w:rsidR="00F466A7" w:rsidRPr="00C84442" w:rsidRDefault="00694CA0" w:rsidP="00C84442">
            <w:pPr>
              <w:spacing w:before="0"/>
              <w:rPr>
                <w:rFonts w:ascii="Times New Roman" w:hAnsi="Times New Roman"/>
                <w:sz w:val="24"/>
              </w:rPr>
            </w:pPr>
            <w:r>
              <w:rPr>
                <w:rFonts w:ascii="Times New Roman" w:hAnsi="Times New Roman"/>
                <w:sz w:val="24"/>
              </w:rPr>
              <w:t>-</w:t>
            </w:r>
            <w:r w:rsidR="00F466A7" w:rsidRPr="00C84442">
              <w:rPr>
                <w:rFonts w:ascii="Times New Roman" w:hAnsi="Times New Roman"/>
                <w:sz w:val="24"/>
              </w:rPr>
              <w:t xml:space="preserve"> Parallel shock up</w:t>
            </w:r>
            <w:r w:rsidR="007668FF" w:rsidRPr="00C84442">
              <w:rPr>
                <w:rFonts w:ascii="Times New Roman" w:hAnsi="Times New Roman"/>
                <w:sz w:val="24"/>
              </w:rPr>
              <w:t>.</w:t>
            </w:r>
          </w:p>
          <w:p w14:paraId="74C56115" w14:textId="7D7142B2" w:rsidR="00F466A7" w:rsidRPr="00C84442" w:rsidRDefault="00694CA0" w:rsidP="00C84442">
            <w:pPr>
              <w:spacing w:before="0"/>
              <w:rPr>
                <w:rFonts w:ascii="Times New Roman" w:hAnsi="Times New Roman"/>
                <w:sz w:val="24"/>
              </w:rPr>
            </w:pPr>
            <w:r>
              <w:rPr>
                <w:rFonts w:ascii="Times New Roman" w:hAnsi="Times New Roman"/>
                <w:sz w:val="24"/>
              </w:rPr>
              <w:t>-</w:t>
            </w:r>
            <w:r w:rsidR="00F466A7" w:rsidRPr="00C84442">
              <w:rPr>
                <w:rFonts w:ascii="Times New Roman" w:hAnsi="Times New Roman"/>
                <w:sz w:val="24"/>
              </w:rPr>
              <w:t xml:space="preserve"> Parallel shock down</w:t>
            </w:r>
            <w:r w:rsidR="007668FF" w:rsidRPr="00C84442">
              <w:rPr>
                <w:rFonts w:ascii="Times New Roman" w:hAnsi="Times New Roman"/>
                <w:sz w:val="24"/>
              </w:rPr>
              <w:t>.</w:t>
            </w:r>
          </w:p>
        </w:tc>
      </w:tr>
      <w:tr w:rsidR="00831F72" w:rsidRPr="00EC067D" w14:paraId="0AE292E1" w14:textId="77777777" w:rsidTr="763F32FC">
        <w:tc>
          <w:tcPr>
            <w:tcW w:w="1129" w:type="dxa"/>
          </w:tcPr>
          <w:p w14:paraId="37E0D940" w14:textId="089C8BDE" w:rsidR="00831F72" w:rsidRDefault="00831F72"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0280</w:t>
            </w:r>
          </w:p>
        </w:tc>
        <w:tc>
          <w:tcPr>
            <w:tcW w:w="7620" w:type="dxa"/>
          </w:tcPr>
          <w:p w14:paraId="78AE75FF" w14:textId="22A0F2CD" w:rsidR="00831F72" w:rsidRDefault="00831F72" w:rsidP="00831F72">
            <w:pPr>
              <w:spacing w:before="0"/>
              <w:rPr>
                <w:rFonts w:ascii="Times New Roman" w:hAnsi="Times New Roman"/>
                <w:b/>
                <w:bCs/>
                <w:sz w:val="24"/>
                <w:u w:val="single"/>
              </w:rPr>
            </w:pPr>
            <w:r w:rsidRPr="004427C3">
              <w:rPr>
                <w:rFonts w:ascii="Times New Roman" w:hAnsi="Times New Roman"/>
                <w:b/>
                <w:bCs/>
                <w:sz w:val="24"/>
                <w:u w:val="single"/>
              </w:rPr>
              <w:t>SOT on NII risk measure under the IMS Approach - PTR of Retail Term deposits</w:t>
            </w:r>
          </w:p>
          <w:p w14:paraId="41C954DD" w14:textId="7C2E9459" w:rsidR="00831F72" w:rsidRDefault="00831F72" w:rsidP="00831F72">
            <w:pPr>
              <w:spacing w:before="0"/>
              <w:rPr>
                <w:rFonts w:ascii="Times New Roman" w:hAnsi="Times New Roman"/>
                <w:sz w:val="24"/>
              </w:rPr>
            </w:pPr>
            <w:r>
              <w:rPr>
                <w:rFonts w:ascii="Times New Roman" w:hAnsi="Times New Roman"/>
                <w:sz w:val="24"/>
              </w:rPr>
              <w:t xml:space="preserve">Institutions shall </w:t>
            </w:r>
            <w:r w:rsidR="00F02F15">
              <w:rPr>
                <w:rFonts w:ascii="Times New Roman" w:hAnsi="Times New Roman"/>
                <w:sz w:val="24"/>
              </w:rPr>
              <w:t xml:space="preserve">indicate </w:t>
            </w:r>
            <w:r>
              <w:rPr>
                <w:rFonts w:ascii="Times New Roman" w:hAnsi="Times New Roman"/>
                <w:sz w:val="24"/>
              </w:rPr>
              <w:t>whether they</w:t>
            </w:r>
            <w:r w:rsidRPr="004427C3">
              <w:rPr>
                <w:rFonts w:ascii="Times New Roman" w:hAnsi="Times New Roman"/>
                <w:sz w:val="24"/>
              </w:rPr>
              <w:t xml:space="preserve"> pass through 100% of market </w:t>
            </w:r>
            <w:r w:rsidR="00F27AEC">
              <w:rPr>
                <w:rFonts w:ascii="Times New Roman" w:hAnsi="Times New Roman"/>
                <w:sz w:val="24"/>
              </w:rPr>
              <w:t>interest rates</w:t>
            </w:r>
            <w:r w:rsidRPr="004427C3">
              <w:rPr>
                <w:rFonts w:ascii="Times New Roman" w:hAnsi="Times New Roman"/>
                <w:sz w:val="24"/>
              </w:rPr>
              <w:t xml:space="preserve"> changes to the retail term deposits repricing after their maturity under the parallel +200 IR scenario</w:t>
            </w:r>
            <w:r>
              <w:rPr>
                <w:rFonts w:ascii="Times New Roman" w:hAnsi="Times New Roman"/>
                <w:sz w:val="24"/>
              </w:rPr>
              <w:t>:</w:t>
            </w:r>
            <w:r w:rsidRPr="004427C3">
              <w:rPr>
                <w:rFonts w:ascii="Times New Roman" w:hAnsi="Times New Roman"/>
                <w:sz w:val="24"/>
              </w:rPr>
              <w:t xml:space="preserve"> </w:t>
            </w:r>
          </w:p>
          <w:p w14:paraId="59547F70" w14:textId="77777777" w:rsidR="00694CA0" w:rsidRPr="00694CA0" w:rsidRDefault="00694CA0" w:rsidP="0001573B">
            <w:pPr>
              <w:pStyle w:val="InstructionsText"/>
              <w:rPr>
                <w:rStyle w:val="InstructionsTabelleberschrift"/>
                <w:rFonts w:ascii="Times New Roman" w:hAnsi="Times New Roman"/>
                <w:b w:val="0"/>
                <w:bCs w:val="0"/>
                <w:sz w:val="24"/>
                <w:u w:val="none"/>
                <w:lang w:eastAsia="en-US"/>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Yes</w:t>
            </w:r>
          </w:p>
          <w:p w14:paraId="19A9CCCC" w14:textId="77777777" w:rsidR="00694CA0" w:rsidRPr="00694CA0" w:rsidRDefault="00694CA0"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No</w:t>
            </w:r>
          </w:p>
          <w:p w14:paraId="47FB330F" w14:textId="60C8F456" w:rsidR="00831F72" w:rsidRPr="00B84DD1" w:rsidRDefault="00694CA0" w:rsidP="00466F09">
            <w:pPr>
              <w:spacing w:before="0"/>
              <w:rPr>
                <w:b/>
                <w:bCs/>
                <w:u w:val="single"/>
              </w:rPr>
            </w:pPr>
            <w:r w:rsidRPr="00694CA0">
              <w:rPr>
                <w:rStyle w:val="InstructionsTabelleberschrift"/>
                <w:rFonts w:ascii="Times New Roman" w:hAnsi="Times New Roman"/>
                <w:b w:val="0"/>
                <w:bCs w:val="0"/>
                <w:sz w:val="24"/>
                <w:u w:val="none"/>
                <w:lang w:val="en-US"/>
              </w:rPr>
              <w:t>- Not applicable</w:t>
            </w:r>
          </w:p>
        </w:tc>
      </w:tr>
      <w:tr w:rsidR="00831F72" w:rsidRPr="00EC067D" w14:paraId="0CE0F7C9" w14:textId="77777777" w:rsidTr="763F32FC">
        <w:tc>
          <w:tcPr>
            <w:tcW w:w="1129" w:type="dxa"/>
          </w:tcPr>
          <w:p w14:paraId="6B5FECF5" w14:textId="6F8280B6" w:rsidR="00831F72" w:rsidRDefault="00831F72"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0290</w:t>
            </w:r>
          </w:p>
        </w:tc>
        <w:tc>
          <w:tcPr>
            <w:tcW w:w="7620" w:type="dxa"/>
          </w:tcPr>
          <w:p w14:paraId="7C90BC0D" w14:textId="6C766439" w:rsidR="00831F72" w:rsidRDefault="00831F72" w:rsidP="00831F72">
            <w:pPr>
              <w:spacing w:before="0"/>
              <w:rPr>
                <w:rFonts w:ascii="Times New Roman" w:hAnsi="Times New Roman"/>
                <w:b/>
                <w:bCs/>
                <w:sz w:val="24"/>
                <w:u w:val="single"/>
              </w:rPr>
            </w:pPr>
            <w:r w:rsidRPr="00E72E80">
              <w:rPr>
                <w:rFonts w:ascii="Times New Roman" w:hAnsi="Times New Roman"/>
                <w:b/>
                <w:bCs/>
                <w:sz w:val="24"/>
                <w:u w:val="single"/>
              </w:rPr>
              <w:t>SOT on NII risk measure under the IMS Approach - PTR of Fixed Retail Loans</w:t>
            </w:r>
          </w:p>
          <w:p w14:paraId="2EAF0973" w14:textId="21FE0269" w:rsidR="002A07FE" w:rsidRDefault="002A07FE" w:rsidP="00831F72">
            <w:pPr>
              <w:spacing w:before="0"/>
              <w:rPr>
                <w:rFonts w:ascii="Times New Roman" w:hAnsi="Times New Roman"/>
                <w:sz w:val="24"/>
              </w:rPr>
            </w:pPr>
            <w:r>
              <w:rPr>
                <w:rFonts w:ascii="Times New Roman" w:hAnsi="Times New Roman"/>
                <w:sz w:val="24"/>
              </w:rPr>
              <w:t xml:space="preserve">Institutions shall </w:t>
            </w:r>
            <w:r w:rsidR="00F02F15">
              <w:rPr>
                <w:rFonts w:ascii="Times New Roman" w:hAnsi="Times New Roman"/>
                <w:sz w:val="24"/>
              </w:rPr>
              <w:t xml:space="preserve">indicate </w:t>
            </w:r>
            <w:r>
              <w:rPr>
                <w:rFonts w:ascii="Times New Roman" w:hAnsi="Times New Roman"/>
                <w:sz w:val="24"/>
              </w:rPr>
              <w:t xml:space="preserve">whether they </w:t>
            </w:r>
            <w:r w:rsidR="00831F72" w:rsidRPr="00E72E80">
              <w:rPr>
                <w:rFonts w:ascii="Times New Roman" w:hAnsi="Times New Roman"/>
                <w:sz w:val="24"/>
              </w:rPr>
              <w:t xml:space="preserve">pass through 100% of market </w:t>
            </w:r>
            <w:r w:rsidR="00F27AEC">
              <w:rPr>
                <w:rFonts w:ascii="Times New Roman" w:hAnsi="Times New Roman"/>
                <w:sz w:val="24"/>
              </w:rPr>
              <w:t>interest rate</w:t>
            </w:r>
            <w:r w:rsidR="00831F72" w:rsidRPr="00E72E80">
              <w:rPr>
                <w:rFonts w:ascii="Times New Roman" w:hAnsi="Times New Roman"/>
                <w:sz w:val="24"/>
              </w:rPr>
              <w:t xml:space="preserve"> changes to the retail fixed loans repricing after their maturity under the parallel +200 IR scenario</w:t>
            </w:r>
            <w:r>
              <w:rPr>
                <w:rFonts w:ascii="Times New Roman" w:hAnsi="Times New Roman"/>
                <w:sz w:val="24"/>
              </w:rPr>
              <w:t>:</w:t>
            </w:r>
            <w:r w:rsidR="00831F72" w:rsidRPr="00E72E80">
              <w:rPr>
                <w:rFonts w:ascii="Times New Roman" w:hAnsi="Times New Roman"/>
                <w:sz w:val="24"/>
              </w:rPr>
              <w:t xml:space="preserve"> </w:t>
            </w:r>
          </w:p>
          <w:p w14:paraId="71DBAFC7" w14:textId="77777777" w:rsidR="00694CA0" w:rsidRPr="00694CA0" w:rsidRDefault="00694CA0" w:rsidP="0001573B">
            <w:pPr>
              <w:pStyle w:val="InstructionsText"/>
              <w:rPr>
                <w:rStyle w:val="InstructionsTabelleberschrift"/>
                <w:rFonts w:ascii="Times New Roman" w:hAnsi="Times New Roman"/>
                <w:b w:val="0"/>
                <w:bCs w:val="0"/>
                <w:sz w:val="24"/>
                <w:u w:val="none"/>
                <w:lang w:eastAsia="en-US"/>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Yes</w:t>
            </w:r>
          </w:p>
          <w:p w14:paraId="13F351DE" w14:textId="77777777" w:rsidR="00694CA0" w:rsidRPr="00694CA0" w:rsidRDefault="00694CA0"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No</w:t>
            </w:r>
          </w:p>
          <w:p w14:paraId="5A1258AE" w14:textId="3C940914" w:rsidR="00831F72" w:rsidRPr="00B84DD1" w:rsidRDefault="00694CA0" w:rsidP="00466F09">
            <w:pPr>
              <w:spacing w:before="0"/>
            </w:pPr>
            <w:r w:rsidRPr="00694CA0">
              <w:rPr>
                <w:rStyle w:val="InstructionsTabelleberschrift"/>
                <w:rFonts w:ascii="Times New Roman" w:hAnsi="Times New Roman"/>
                <w:b w:val="0"/>
                <w:bCs w:val="0"/>
                <w:sz w:val="24"/>
                <w:u w:val="none"/>
                <w:lang w:val="en-US"/>
              </w:rPr>
              <w:t>- Not applicable</w:t>
            </w:r>
          </w:p>
        </w:tc>
      </w:tr>
      <w:tr w:rsidR="00D23E14" w:rsidRPr="00EC067D" w14:paraId="3B602049" w14:textId="77777777" w:rsidTr="763F32FC">
        <w:tc>
          <w:tcPr>
            <w:tcW w:w="1129" w:type="dxa"/>
          </w:tcPr>
          <w:p w14:paraId="7B5D50F2" w14:textId="748605D2" w:rsidR="00D23E14" w:rsidRDefault="00D23E1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0300</w:t>
            </w:r>
          </w:p>
        </w:tc>
        <w:tc>
          <w:tcPr>
            <w:tcW w:w="7620" w:type="dxa"/>
          </w:tcPr>
          <w:p w14:paraId="7FF4CAFC" w14:textId="77777777" w:rsidR="00D23E14" w:rsidRDefault="00DE58BB" w:rsidP="00831F72">
            <w:pPr>
              <w:spacing w:before="0"/>
              <w:rPr>
                <w:rFonts w:ascii="Times New Roman" w:hAnsi="Times New Roman"/>
                <w:b/>
                <w:bCs/>
                <w:sz w:val="24"/>
                <w:u w:val="single"/>
              </w:rPr>
            </w:pPr>
            <w:r>
              <w:rPr>
                <w:rFonts w:ascii="Times New Roman" w:hAnsi="Times New Roman"/>
                <w:b/>
                <w:bCs/>
                <w:sz w:val="24"/>
                <w:u w:val="single"/>
              </w:rPr>
              <w:t>Basis risk</w:t>
            </w:r>
          </w:p>
          <w:p w14:paraId="6E9C9674" w14:textId="28AF3529" w:rsidR="00DE58BB" w:rsidRDefault="00DE58BB" w:rsidP="00831F72">
            <w:pPr>
              <w:spacing w:before="0"/>
              <w:rPr>
                <w:rFonts w:ascii="Times New Roman" w:hAnsi="Times New Roman"/>
                <w:sz w:val="24"/>
              </w:rPr>
            </w:pPr>
            <w:r>
              <w:rPr>
                <w:rFonts w:ascii="Times New Roman" w:hAnsi="Times New Roman"/>
                <w:sz w:val="24"/>
              </w:rPr>
              <w:t xml:space="preserve">Institutions shall </w:t>
            </w:r>
            <w:r w:rsidR="007668FF">
              <w:rPr>
                <w:rFonts w:ascii="Times New Roman" w:hAnsi="Times New Roman"/>
                <w:sz w:val="24"/>
              </w:rPr>
              <w:t xml:space="preserve">indicate </w:t>
            </w:r>
            <w:r>
              <w:rPr>
                <w:rFonts w:ascii="Times New Roman" w:hAnsi="Times New Roman"/>
                <w:sz w:val="24"/>
              </w:rPr>
              <w:t xml:space="preserve">whether they </w:t>
            </w:r>
            <w:r w:rsidRPr="00DE58BB">
              <w:rPr>
                <w:rFonts w:ascii="Times New Roman" w:hAnsi="Times New Roman"/>
                <w:sz w:val="24"/>
              </w:rPr>
              <w:t>consider basis risk to be material</w:t>
            </w:r>
            <w:r>
              <w:rPr>
                <w:rFonts w:ascii="Times New Roman" w:hAnsi="Times New Roman"/>
                <w:sz w:val="24"/>
              </w:rPr>
              <w:t>:</w:t>
            </w:r>
            <w:r w:rsidRPr="00DE58BB">
              <w:rPr>
                <w:rFonts w:ascii="Times New Roman" w:hAnsi="Times New Roman"/>
                <w:sz w:val="24"/>
              </w:rPr>
              <w:t xml:space="preserve"> </w:t>
            </w:r>
          </w:p>
          <w:p w14:paraId="1D01F903" w14:textId="77777777" w:rsidR="00694CA0" w:rsidRPr="00694CA0" w:rsidRDefault="00694CA0" w:rsidP="0001573B">
            <w:pPr>
              <w:pStyle w:val="InstructionsText"/>
              <w:rPr>
                <w:rStyle w:val="InstructionsTabelleberschrift"/>
                <w:rFonts w:ascii="Times New Roman" w:hAnsi="Times New Roman"/>
                <w:b w:val="0"/>
                <w:bCs w:val="0"/>
                <w:sz w:val="24"/>
                <w:u w:val="none"/>
                <w:lang w:eastAsia="en-US"/>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Yes</w:t>
            </w:r>
          </w:p>
          <w:p w14:paraId="6FBAAE4C" w14:textId="77777777" w:rsidR="00694CA0" w:rsidRPr="00694CA0" w:rsidRDefault="00694CA0"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No</w:t>
            </w:r>
          </w:p>
          <w:p w14:paraId="45F74D5F" w14:textId="7EACE160" w:rsidR="00DE58BB" w:rsidRPr="00B84DD1" w:rsidRDefault="00694CA0" w:rsidP="00466F09">
            <w:pPr>
              <w:spacing w:before="0"/>
            </w:pPr>
            <w:r w:rsidRPr="00694CA0">
              <w:rPr>
                <w:rStyle w:val="InstructionsTabelleberschrift"/>
                <w:rFonts w:ascii="Times New Roman" w:hAnsi="Times New Roman"/>
                <w:b w:val="0"/>
                <w:bCs w:val="0"/>
                <w:sz w:val="24"/>
                <w:u w:val="none"/>
                <w:lang w:val="en-US"/>
              </w:rPr>
              <w:t>- Not applicable</w:t>
            </w:r>
          </w:p>
        </w:tc>
      </w:tr>
      <w:tr w:rsidR="00D23E14" w:rsidRPr="00EC067D" w14:paraId="5E0618BC" w14:textId="77777777" w:rsidTr="763F32FC">
        <w:tc>
          <w:tcPr>
            <w:tcW w:w="1129" w:type="dxa"/>
          </w:tcPr>
          <w:p w14:paraId="6D05D7E7" w14:textId="143F0C8F" w:rsidR="00D23E14" w:rsidRDefault="00D23E14"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0310</w:t>
            </w:r>
          </w:p>
        </w:tc>
        <w:tc>
          <w:tcPr>
            <w:tcW w:w="7620" w:type="dxa"/>
          </w:tcPr>
          <w:p w14:paraId="7065C1C7" w14:textId="77916181" w:rsidR="00213C4A" w:rsidRDefault="00213C4A" w:rsidP="00213C4A">
            <w:pPr>
              <w:spacing w:before="0"/>
              <w:rPr>
                <w:rFonts w:ascii="Times New Roman" w:hAnsi="Times New Roman"/>
                <w:b/>
                <w:bCs/>
                <w:sz w:val="24"/>
                <w:u w:val="single"/>
              </w:rPr>
            </w:pPr>
            <w:r>
              <w:rPr>
                <w:rFonts w:ascii="Times New Roman" w:hAnsi="Times New Roman"/>
                <w:b/>
                <w:bCs/>
                <w:sz w:val="24"/>
                <w:u w:val="single"/>
              </w:rPr>
              <w:t>CSRBB</w:t>
            </w:r>
          </w:p>
          <w:p w14:paraId="2E5544DE" w14:textId="1F6F2F49" w:rsidR="0000410C" w:rsidRDefault="0000410C" w:rsidP="00831F72">
            <w:pPr>
              <w:spacing w:before="0"/>
              <w:rPr>
                <w:rFonts w:ascii="Times New Roman" w:hAnsi="Times New Roman"/>
                <w:sz w:val="24"/>
              </w:rPr>
            </w:pPr>
            <w:r>
              <w:rPr>
                <w:rFonts w:ascii="Times New Roman" w:hAnsi="Times New Roman"/>
                <w:sz w:val="24"/>
              </w:rPr>
              <w:t xml:space="preserve">Institutions shall </w:t>
            </w:r>
            <w:r w:rsidR="00D5531B">
              <w:rPr>
                <w:rFonts w:ascii="Times New Roman" w:hAnsi="Times New Roman"/>
                <w:sz w:val="24"/>
              </w:rPr>
              <w:t>refer</w:t>
            </w:r>
            <w:r w:rsidR="007A6ECD">
              <w:rPr>
                <w:rFonts w:ascii="Times New Roman" w:hAnsi="Times New Roman"/>
                <w:sz w:val="24"/>
              </w:rPr>
              <w:t xml:space="preserve"> </w:t>
            </w:r>
            <w:r>
              <w:rPr>
                <w:rFonts w:ascii="Times New Roman" w:hAnsi="Times New Roman"/>
                <w:sz w:val="24"/>
              </w:rPr>
              <w:t xml:space="preserve">whether they </w:t>
            </w:r>
            <w:r w:rsidR="005551F9">
              <w:rPr>
                <w:rFonts w:ascii="Times New Roman" w:hAnsi="Times New Roman"/>
                <w:sz w:val="24"/>
              </w:rPr>
              <w:t xml:space="preserve">considered </w:t>
            </w:r>
            <w:r w:rsidRPr="0000410C">
              <w:rPr>
                <w:rFonts w:ascii="Times New Roman" w:hAnsi="Times New Roman"/>
                <w:sz w:val="24"/>
              </w:rPr>
              <w:t>a different perimeter of instruments subject to the CSRBB for the NII and EVE metric</w:t>
            </w:r>
            <w:r>
              <w:rPr>
                <w:rFonts w:ascii="Times New Roman" w:hAnsi="Times New Roman"/>
                <w:sz w:val="24"/>
              </w:rPr>
              <w:t>s:</w:t>
            </w:r>
          </w:p>
          <w:p w14:paraId="50023EB7" w14:textId="77777777" w:rsidR="00694CA0" w:rsidRPr="00694CA0" w:rsidRDefault="00694CA0" w:rsidP="0001573B">
            <w:pPr>
              <w:pStyle w:val="InstructionsText"/>
              <w:rPr>
                <w:rStyle w:val="InstructionsTabelleberschrift"/>
                <w:rFonts w:ascii="Times New Roman" w:hAnsi="Times New Roman"/>
                <w:b w:val="0"/>
                <w:bCs w:val="0"/>
                <w:sz w:val="24"/>
                <w:u w:val="none"/>
                <w:lang w:eastAsia="en-US"/>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Yes</w:t>
            </w:r>
          </w:p>
          <w:p w14:paraId="012CE02E" w14:textId="77777777" w:rsidR="00694CA0" w:rsidRPr="00694CA0" w:rsidRDefault="00694CA0"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No</w:t>
            </w:r>
          </w:p>
          <w:p w14:paraId="1438B1B5" w14:textId="6F6364AE" w:rsidR="0000410C" w:rsidRPr="00B84DD1" w:rsidRDefault="00694CA0" w:rsidP="00466F09">
            <w:pPr>
              <w:spacing w:before="0"/>
            </w:pPr>
            <w:r w:rsidRPr="00694CA0">
              <w:rPr>
                <w:rStyle w:val="InstructionsTabelleberschrift"/>
                <w:rFonts w:ascii="Times New Roman" w:hAnsi="Times New Roman"/>
                <w:b w:val="0"/>
                <w:bCs w:val="0"/>
                <w:sz w:val="24"/>
                <w:u w:val="none"/>
                <w:lang w:val="en-US"/>
              </w:rPr>
              <w:t>- Not applicable</w:t>
            </w:r>
          </w:p>
        </w:tc>
      </w:tr>
      <w:tr w:rsidR="00831F72" w:rsidRPr="00EC067D" w14:paraId="1BDCDE63" w14:textId="77777777" w:rsidTr="763F32FC">
        <w:tc>
          <w:tcPr>
            <w:tcW w:w="1129" w:type="dxa"/>
          </w:tcPr>
          <w:p w14:paraId="6C3568C5" w14:textId="15541633" w:rsidR="00831F72" w:rsidRDefault="00831F72"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w:t>
            </w:r>
            <w:r w:rsidR="0000410C">
              <w:rPr>
                <w:rStyle w:val="FormatvorlageInstructionsTabelleText"/>
                <w:rFonts w:ascii="Times New Roman" w:hAnsi="Times New Roman"/>
                <w:sz w:val="24"/>
              </w:rPr>
              <w:t>32</w:t>
            </w:r>
            <w:r w:rsidRPr="763F32FC">
              <w:rPr>
                <w:rStyle w:val="FormatvorlageInstructionsTabelleText"/>
                <w:rFonts w:ascii="Times New Roman" w:hAnsi="Times New Roman"/>
                <w:sz w:val="24"/>
              </w:rPr>
              <w:t>0</w:t>
            </w:r>
          </w:p>
        </w:tc>
        <w:tc>
          <w:tcPr>
            <w:tcW w:w="7620" w:type="dxa"/>
          </w:tcPr>
          <w:p w14:paraId="58014394" w14:textId="4E31E255" w:rsidR="00831F72" w:rsidRDefault="00831F72" w:rsidP="0001573B">
            <w:pPr>
              <w:pStyle w:val="InstructionsText"/>
              <w:rPr>
                <w:rStyle w:val="InstructionsTabelleberschrift"/>
                <w:rFonts w:ascii="Times New Roman" w:hAnsi="Times New Roman"/>
                <w:sz w:val="24"/>
              </w:rPr>
            </w:pPr>
            <w:r w:rsidRPr="0056494B">
              <w:rPr>
                <w:rStyle w:val="InstructionsTabelleberschrift"/>
                <w:rFonts w:ascii="Times New Roman" w:hAnsi="Times New Roman"/>
                <w:sz w:val="24"/>
              </w:rPr>
              <w:t>Risk-free yield curve (discounting</w:t>
            </w:r>
            <w:r>
              <w:rPr>
                <w:rStyle w:val="InstructionsTabelleberschrift"/>
                <w:rFonts w:ascii="Times New Roman" w:hAnsi="Times New Roman"/>
                <w:sz w:val="24"/>
              </w:rPr>
              <w:t xml:space="preserve"> in EVE SOT</w:t>
            </w:r>
            <w:r w:rsidRPr="0056494B">
              <w:rPr>
                <w:rStyle w:val="InstructionsTabelleberschrift"/>
                <w:rFonts w:ascii="Times New Roman" w:hAnsi="Times New Roman"/>
                <w:sz w:val="24"/>
              </w:rPr>
              <w:t>)</w:t>
            </w:r>
            <w:r w:rsidRPr="0056494B" w:rsidDel="0056494B">
              <w:rPr>
                <w:rStyle w:val="InstructionsTabelleberschrift"/>
                <w:rFonts w:ascii="Times New Roman" w:hAnsi="Times New Roman"/>
                <w:sz w:val="24"/>
              </w:rPr>
              <w:t xml:space="preserve"> </w:t>
            </w:r>
          </w:p>
          <w:p w14:paraId="438A61E7" w14:textId="60AC80CB" w:rsidR="00831F72" w:rsidRDefault="00831F72" w:rsidP="0001573B">
            <w:pPr>
              <w:pStyle w:val="InstructionsText"/>
            </w:pPr>
            <w:r w:rsidRPr="00661595">
              <w:t xml:space="preserve">Institutions shall report </w:t>
            </w:r>
            <w:r>
              <w:t xml:space="preserve">the </w:t>
            </w:r>
            <w:r w:rsidRPr="00B86E03">
              <w:t xml:space="preserve">risk-free yield curve </w:t>
            </w:r>
            <w:r>
              <w:t xml:space="preserve">that </w:t>
            </w:r>
            <w:r w:rsidRPr="00B86E03">
              <w:t>have been used for di</w:t>
            </w:r>
            <w:r>
              <w:t>s</w:t>
            </w:r>
            <w:r w:rsidRPr="00B86E03">
              <w:t xml:space="preserve">counting </w:t>
            </w:r>
            <w:r>
              <w:t xml:space="preserve">in accordance with Article 4(m) of the </w:t>
            </w:r>
            <w:r w:rsidRPr="00EE5ABE">
              <w:rPr>
                <w:rStyle w:val="FormatvorlageInstructionsTabelleText"/>
                <w:rFonts w:ascii="Times New Roman" w:hAnsi="Times New Roman"/>
                <w:bCs w:val="0"/>
                <w:sz w:val="24"/>
                <w:highlight w:val="lightGray"/>
              </w:rPr>
              <w:t>EBA RTS on S</w:t>
            </w:r>
            <w:r>
              <w:rPr>
                <w:rStyle w:val="FormatvorlageInstructionsTabelleText"/>
                <w:rFonts w:ascii="Times New Roman" w:hAnsi="Times New Roman"/>
                <w:bCs w:val="0"/>
                <w:sz w:val="24"/>
                <w:highlight w:val="lightGray"/>
              </w:rPr>
              <w:t>OT</w:t>
            </w:r>
            <w:r>
              <w:t>:</w:t>
            </w:r>
          </w:p>
          <w:p w14:paraId="1C07B050" w14:textId="23A59112" w:rsidR="00831F72" w:rsidRPr="00694CA0" w:rsidRDefault="00694CA0" w:rsidP="0001573B">
            <w:pPr>
              <w:pStyle w:val="InstructionsText"/>
              <w:rPr>
                <w:rStyle w:val="InstructionsTabelleberschrift"/>
                <w:rFonts w:ascii="Times New Roman" w:hAnsi="Times New Roman"/>
                <w:b w:val="0"/>
                <w:bCs w:val="0"/>
                <w:sz w:val="24"/>
                <w:u w:val="none"/>
                <w:lang w:eastAsia="en-US"/>
              </w:rPr>
            </w:pPr>
            <w:r>
              <w:rPr>
                <w:rStyle w:val="InstructionsTabelleberschrift"/>
                <w:rFonts w:ascii="Times New Roman" w:hAnsi="Times New Roman"/>
                <w:b w:val="0"/>
                <w:bCs w:val="0"/>
                <w:sz w:val="24"/>
                <w:u w:val="none"/>
              </w:rPr>
              <w:t xml:space="preserve">- </w:t>
            </w:r>
            <w:r w:rsidR="00831F72" w:rsidRPr="63452C95">
              <w:rPr>
                <w:rStyle w:val="InstructionsTabelleberschrift"/>
                <w:rFonts w:ascii="Times New Roman" w:hAnsi="Times New Roman"/>
                <w:b w:val="0"/>
                <w:bCs w:val="0"/>
                <w:sz w:val="24"/>
                <w:u w:val="none"/>
              </w:rPr>
              <w:t xml:space="preserve">Interbank </w:t>
            </w:r>
            <w:r w:rsidR="00831F72" w:rsidRPr="00694CA0">
              <w:rPr>
                <w:rStyle w:val="InstructionsTabelleberschrift"/>
                <w:rFonts w:ascii="Times New Roman" w:hAnsi="Times New Roman"/>
                <w:b w:val="0"/>
                <w:bCs w:val="0"/>
                <w:sz w:val="24"/>
                <w:u w:val="none"/>
              </w:rPr>
              <w:t>secured</w:t>
            </w:r>
            <w:r w:rsidR="007668FF" w:rsidRPr="00694CA0">
              <w:rPr>
                <w:rStyle w:val="InstructionsTabelleberschrift"/>
                <w:rFonts w:ascii="Times New Roman" w:hAnsi="Times New Roman"/>
                <w:b w:val="0"/>
                <w:bCs w:val="0"/>
                <w:sz w:val="24"/>
                <w:u w:val="none"/>
              </w:rPr>
              <w:t>.</w:t>
            </w:r>
          </w:p>
          <w:p w14:paraId="452A2398" w14:textId="08653F16" w:rsidR="00831F72" w:rsidRPr="00694CA0" w:rsidRDefault="00694CA0"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Interbank unsecured overnight</w:t>
            </w:r>
            <w:r w:rsidR="007668FF" w:rsidRPr="00694CA0">
              <w:rPr>
                <w:rStyle w:val="InstructionsTabelleberschrift"/>
                <w:rFonts w:ascii="Times New Roman" w:hAnsi="Times New Roman"/>
                <w:b w:val="0"/>
                <w:bCs w:val="0"/>
                <w:sz w:val="24"/>
                <w:u w:val="none"/>
              </w:rPr>
              <w:t>.</w:t>
            </w:r>
          </w:p>
          <w:p w14:paraId="7CC5BD45" w14:textId="7599C8C4" w:rsidR="00831F72" w:rsidRPr="00694CA0" w:rsidRDefault="00694CA0"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Interbank unsecured term</w:t>
            </w:r>
            <w:r w:rsidR="007668FF" w:rsidRPr="00694CA0">
              <w:rPr>
                <w:rStyle w:val="InstructionsTabelleberschrift"/>
                <w:rFonts w:ascii="Times New Roman" w:hAnsi="Times New Roman"/>
                <w:b w:val="0"/>
                <w:bCs w:val="0"/>
                <w:sz w:val="24"/>
                <w:u w:val="none"/>
              </w:rPr>
              <w:t>.</w:t>
            </w:r>
          </w:p>
          <w:p w14:paraId="46113D77" w14:textId="2F65A9EF" w:rsidR="00831F72" w:rsidRPr="00694CA0" w:rsidRDefault="00694CA0"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Sovereign curve</w:t>
            </w:r>
            <w:r w:rsidR="007668FF" w:rsidRPr="00694CA0">
              <w:rPr>
                <w:rStyle w:val="InstructionsTabelleberschrift"/>
                <w:rFonts w:ascii="Times New Roman" w:hAnsi="Times New Roman"/>
                <w:b w:val="0"/>
                <w:bCs w:val="0"/>
                <w:sz w:val="24"/>
                <w:u w:val="none"/>
              </w:rPr>
              <w:t>.</w:t>
            </w:r>
          </w:p>
          <w:p w14:paraId="01B618A9" w14:textId="1E217861" w:rsidR="00831F72" w:rsidRPr="00694CA0" w:rsidRDefault="00694CA0"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Product specific curve</w:t>
            </w:r>
            <w:r w:rsidR="007668FF" w:rsidRPr="00694CA0">
              <w:rPr>
                <w:rStyle w:val="InstructionsTabelleberschrift"/>
                <w:rFonts w:ascii="Times New Roman" w:hAnsi="Times New Roman"/>
                <w:b w:val="0"/>
                <w:bCs w:val="0"/>
                <w:sz w:val="24"/>
                <w:u w:val="none"/>
              </w:rPr>
              <w:t>.</w:t>
            </w:r>
          </w:p>
          <w:p w14:paraId="5E68E7CE" w14:textId="7E1874E1" w:rsidR="00F41077" w:rsidRPr="00694CA0" w:rsidRDefault="00694CA0"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Entity specific curve</w:t>
            </w:r>
            <w:r w:rsidR="007668FF" w:rsidRPr="00694CA0">
              <w:rPr>
                <w:rStyle w:val="InstructionsTabelleberschrift"/>
                <w:rFonts w:ascii="Times New Roman" w:hAnsi="Times New Roman"/>
                <w:b w:val="0"/>
                <w:bCs w:val="0"/>
                <w:sz w:val="24"/>
                <w:u w:val="none"/>
              </w:rPr>
              <w:t>.</w:t>
            </w:r>
          </w:p>
          <w:p w14:paraId="3CE0EC7A" w14:textId="435608B0" w:rsidR="00831F72" w:rsidRPr="006C4FB6" w:rsidRDefault="00694CA0" w:rsidP="0001573B">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Other</w:t>
            </w:r>
            <w:r w:rsidR="007668FF" w:rsidRPr="00694CA0">
              <w:rPr>
                <w:rStyle w:val="InstructionsTabelleberschrift"/>
                <w:rFonts w:ascii="Times New Roman" w:hAnsi="Times New Roman"/>
                <w:b w:val="0"/>
                <w:bCs w:val="0"/>
                <w:sz w:val="24"/>
                <w:u w:val="none"/>
              </w:rPr>
              <w:t>.</w:t>
            </w:r>
          </w:p>
        </w:tc>
      </w:tr>
      <w:tr w:rsidR="00831F72" w:rsidRPr="00EC067D" w14:paraId="0D032E3B" w14:textId="77777777" w:rsidTr="763F32FC">
        <w:tc>
          <w:tcPr>
            <w:tcW w:w="1129" w:type="dxa"/>
          </w:tcPr>
          <w:p w14:paraId="1D5E6175" w14:textId="55E46B5B" w:rsidR="00831F72" w:rsidRPr="763F32FC" w:rsidRDefault="00831F72" w:rsidP="0001573B">
            <w:pPr>
              <w:pStyle w:val="InstructionsText"/>
              <w:rPr>
                <w:rStyle w:val="FormatvorlageInstructionsTabelleText"/>
                <w:rFonts w:ascii="Times New Roman" w:hAnsi="Times New Roman"/>
                <w:sz w:val="24"/>
                <w:lang w:eastAsia="en-US"/>
              </w:rPr>
            </w:pPr>
            <w:r>
              <w:rPr>
                <w:rStyle w:val="FormatvorlageInstructionsTabelleText"/>
                <w:rFonts w:ascii="Times New Roman" w:hAnsi="Times New Roman"/>
                <w:sz w:val="24"/>
              </w:rPr>
              <w:t>0</w:t>
            </w:r>
            <w:r w:rsidR="00611DFE">
              <w:rPr>
                <w:rStyle w:val="FormatvorlageInstructionsTabelleText"/>
                <w:rFonts w:ascii="Times New Roman" w:hAnsi="Times New Roman"/>
                <w:sz w:val="24"/>
              </w:rPr>
              <w:t>33</w:t>
            </w:r>
            <w:r>
              <w:rPr>
                <w:rStyle w:val="FormatvorlageInstructionsTabelleText"/>
                <w:rFonts w:ascii="Times New Roman" w:hAnsi="Times New Roman"/>
                <w:sz w:val="24"/>
              </w:rPr>
              <w:t>0</w:t>
            </w:r>
          </w:p>
        </w:tc>
        <w:tc>
          <w:tcPr>
            <w:tcW w:w="7620" w:type="dxa"/>
          </w:tcPr>
          <w:p w14:paraId="39EBEB8B" w14:textId="06081CF4" w:rsidR="00831F72" w:rsidRPr="00985F4C" w:rsidRDefault="00831F72" w:rsidP="0001573B">
            <w:pPr>
              <w:pStyle w:val="InstructionsText"/>
              <w:rPr>
                <w:rStyle w:val="InstructionsTabelleberschrift"/>
                <w:rFonts w:ascii="Times New Roman" w:hAnsi="Times New Roman"/>
                <w:sz w:val="24"/>
              </w:rPr>
            </w:pPr>
            <w:r w:rsidRPr="00985F4C">
              <w:rPr>
                <w:rStyle w:val="InstructionsTabelleberschrift"/>
                <w:rFonts w:ascii="Times New Roman" w:hAnsi="Times New Roman"/>
                <w:sz w:val="24"/>
              </w:rPr>
              <w:t>Risk-free yield curve (internal risk measures of EVE)</w:t>
            </w:r>
          </w:p>
          <w:p w14:paraId="17F84D95" w14:textId="01917E40" w:rsidR="00831F72" w:rsidRPr="00985F4C" w:rsidRDefault="00831F72" w:rsidP="0001573B">
            <w:pPr>
              <w:pStyle w:val="InstructionsText"/>
            </w:pPr>
            <w:r w:rsidRPr="00985F4C">
              <w:t>Institutions shall report the risk-free yield curve that have been used for internal purposes for discounting the internal risk measure of EV</w:t>
            </w:r>
            <w:r w:rsidR="007668FF">
              <w:t>E</w:t>
            </w:r>
            <w:r w:rsidRPr="00985F4C">
              <w:t>:</w:t>
            </w:r>
          </w:p>
          <w:p w14:paraId="2BC51B81" w14:textId="75F1C599" w:rsidR="00831F72" w:rsidRPr="00694CA0" w:rsidRDefault="00694CA0" w:rsidP="0001573B">
            <w:pPr>
              <w:pStyle w:val="InstructionsText"/>
              <w:rPr>
                <w:rStyle w:val="InstructionsTabelleberschrift"/>
                <w:rFonts w:ascii="Times New Roman" w:hAnsi="Times New Roman"/>
                <w:b w:val="0"/>
                <w:bCs w:val="0"/>
                <w:sz w:val="24"/>
                <w:u w:val="none"/>
                <w:lang w:eastAsia="en-US"/>
              </w:rPr>
            </w:pPr>
            <w:r>
              <w:rPr>
                <w:rStyle w:val="InstructionsTabelleberschrift"/>
                <w:rFonts w:ascii="Times New Roman" w:hAnsi="Times New Roman"/>
                <w:b w:val="0"/>
                <w:bCs w:val="0"/>
                <w:sz w:val="24"/>
                <w:u w:val="none"/>
              </w:rPr>
              <w:t xml:space="preserve">- </w:t>
            </w:r>
            <w:r w:rsidR="00831F72" w:rsidRPr="00985F4C">
              <w:rPr>
                <w:rStyle w:val="InstructionsTabelleberschrift"/>
                <w:rFonts w:ascii="Times New Roman" w:hAnsi="Times New Roman"/>
                <w:b w:val="0"/>
                <w:bCs w:val="0"/>
                <w:sz w:val="24"/>
                <w:u w:val="none"/>
              </w:rPr>
              <w:t xml:space="preserve">Interbank </w:t>
            </w:r>
            <w:r w:rsidR="00831F72" w:rsidRPr="00694CA0">
              <w:rPr>
                <w:rStyle w:val="InstructionsTabelleberschrift"/>
                <w:rFonts w:ascii="Times New Roman" w:hAnsi="Times New Roman"/>
                <w:b w:val="0"/>
                <w:bCs w:val="0"/>
                <w:sz w:val="24"/>
                <w:u w:val="none"/>
              </w:rPr>
              <w:t>secured</w:t>
            </w:r>
            <w:r w:rsidR="007668FF" w:rsidRPr="00694CA0">
              <w:rPr>
                <w:rStyle w:val="InstructionsTabelleberschrift"/>
                <w:rFonts w:ascii="Times New Roman" w:hAnsi="Times New Roman"/>
                <w:b w:val="0"/>
                <w:bCs w:val="0"/>
                <w:sz w:val="24"/>
                <w:u w:val="none"/>
              </w:rPr>
              <w:t>.</w:t>
            </w:r>
          </w:p>
          <w:p w14:paraId="43BCFD8D" w14:textId="630186D4" w:rsidR="00831F72" w:rsidRPr="00694CA0" w:rsidRDefault="00694CA0" w:rsidP="0001573B">
            <w:pPr>
              <w:pStyle w:val="InstructionsText"/>
              <w:rPr>
                <w:rStyle w:val="InstructionsTabelleberschrift"/>
                <w:rFonts w:ascii="Times New Roman" w:hAnsi="Times New Roman"/>
                <w:b w:val="0"/>
                <w:bCs w:val="0"/>
                <w:sz w:val="24"/>
                <w:u w:val="none"/>
              </w:rPr>
            </w:pPr>
            <w:r w:rsidRPr="00694CA0">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Interbank unsecured overnight</w:t>
            </w:r>
            <w:r w:rsidR="007668FF" w:rsidRPr="00694CA0">
              <w:rPr>
                <w:rStyle w:val="InstructionsTabelleberschrift"/>
                <w:rFonts w:ascii="Times New Roman" w:hAnsi="Times New Roman"/>
                <w:b w:val="0"/>
                <w:bCs w:val="0"/>
                <w:sz w:val="24"/>
                <w:u w:val="none"/>
              </w:rPr>
              <w:t>.</w:t>
            </w:r>
          </w:p>
          <w:p w14:paraId="4457F452" w14:textId="58AD54A2" w:rsidR="00831F72" w:rsidRPr="00694CA0" w:rsidRDefault="00694CA0" w:rsidP="0001573B">
            <w:pPr>
              <w:pStyle w:val="InstructionsText"/>
              <w:rPr>
                <w:rStyle w:val="InstructionsTabelleberschrift"/>
                <w:rFonts w:ascii="Times New Roman" w:hAnsi="Times New Roman"/>
                <w:b w:val="0"/>
                <w:bCs w:val="0"/>
                <w:sz w:val="24"/>
                <w:u w:val="none"/>
              </w:rPr>
            </w:pPr>
            <w:r w:rsidRPr="00694CA0">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Interbank unsecured term</w:t>
            </w:r>
            <w:r w:rsidR="007668FF" w:rsidRPr="00694CA0">
              <w:rPr>
                <w:rStyle w:val="InstructionsTabelleberschrift"/>
                <w:rFonts w:ascii="Times New Roman" w:hAnsi="Times New Roman"/>
                <w:b w:val="0"/>
                <w:bCs w:val="0"/>
                <w:sz w:val="24"/>
                <w:u w:val="none"/>
              </w:rPr>
              <w:t>.</w:t>
            </w:r>
          </w:p>
          <w:p w14:paraId="7D44CF6B" w14:textId="009CFED3" w:rsidR="00831F72" w:rsidRPr="00694CA0" w:rsidRDefault="00694CA0" w:rsidP="0001573B">
            <w:pPr>
              <w:pStyle w:val="InstructionsText"/>
              <w:rPr>
                <w:rStyle w:val="InstructionsTabelleberschrift"/>
                <w:rFonts w:ascii="Times New Roman" w:hAnsi="Times New Roman"/>
                <w:b w:val="0"/>
                <w:bCs w:val="0"/>
                <w:sz w:val="24"/>
                <w:u w:val="none"/>
              </w:rPr>
            </w:pPr>
            <w:r w:rsidRPr="00694CA0">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Sovereign curve</w:t>
            </w:r>
            <w:r w:rsidR="007668FF" w:rsidRPr="00694CA0">
              <w:rPr>
                <w:rStyle w:val="InstructionsTabelleberschrift"/>
                <w:rFonts w:ascii="Times New Roman" w:hAnsi="Times New Roman"/>
                <w:b w:val="0"/>
                <w:bCs w:val="0"/>
                <w:sz w:val="24"/>
                <w:u w:val="none"/>
              </w:rPr>
              <w:t>.</w:t>
            </w:r>
          </w:p>
          <w:p w14:paraId="53D62FB6" w14:textId="2E98C0A8" w:rsidR="00831F72" w:rsidRPr="00694CA0" w:rsidRDefault="00694CA0" w:rsidP="0001573B">
            <w:pPr>
              <w:pStyle w:val="InstructionsText"/>
              <w:rPr>
                <w:rStyle w:val="InstructionsTabelleberschrift"/>
                <w:rFonts w:ascii="Times New Roman" w:hAnsi="Times New Roman"/>
                <w:b w:val="0"/>
                <w:bCs w:val="0"/>
                <w:sz w:val="24"/>
                <w:u w:val="none"/>
              </w:rPr>
            </w:pPr>
            <w:r w:rsidRPr="00694CA0">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Product specific curve</w:t>
            </w:r>
            <w:r w:rsidR="007668FF" w:rsidRPr="00694CA0">
              <w:rPr>
                <w:rStyle w:val="InstructionsTabelleberschrift"/>
                <w:rFonts w:ascii="Times New Roman" w:hAnsi="Times New Roman"/>
                <w:b w:val="0"/>
                <w:bCs w:val="0"/>
                <w:sz w:val="24"/>
                <w:u w:val="none"/>
              </w:rPr>
              <w:t>.</w:t>
            </w:r>
          </w:p>
          <w:p w14:paraId="5AF12C10" w14:textId="5D4AA708" w:rsidR="00831F72" w:rsidRPr="00694CA0" w:rsidRDefault="00694CA0" w:rsidP="0001573B">
            <w:pPr>
              <w:pStyle w:val="InstructionsText"/>
              <w:rPr>
                <w:rStyle w:val="InstructionsTabelleberschrift"/>
                <w:rFonts w:ascii="Times New Roman" w:hAnsi="Times New Roman"/>
                <w:b w:val="0"/>
                <w:bCs w:val="0"/>
                <w:sz w:val="24"/>
                <w:u w:val="none"/>
              </w:rPr>
            </w:pPr>
            <w:r w:rsidRPr="00694CA0">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Entity specific curve</w:t>
            </w:r>
            <w:r w:rsidR="007668FF" w:rsidRPr="00694CA0">
              <w:rPr>
                <w:rStyle w:val="InstructionsTabelleberschrift"/>
                <w:rFonts w:ascii="Times New Roman" w:hAnsi="Times New Roman"/>
                <w:b w:val="0"/>
                <w:bCs w:val="0"/>
                <w:sz w:val="24"/>
                <w:u w:val="none"/>
              </w:rPr>
              <w:t>.</w:t>
            </w:r>
          </w:p>
          <w:p w14:paraId="48CD74B5" w14:textId="1CE83FB7" w:rsidR="00831F72" w:rsidRPr="0056494B" w:rsidRDefault="00694CA0" w:rsidP="0001573B">
            <w:pPr>
              <w:pStyle w:val="InstructionsText"/>
              <w:rPr>
                <w:rStyle w:val="InstructionsTabelleberschrift"/>
                <w:rFonts w:ascii="Times New Roman" w:hAnsi="Times New Roman"/>
                <w:sz w:val="24"/>
              </w:rPr>
            </w:pPr>
            <w:r w:rsidRPr="00694CA0">
              <w:rPr>
                <w:rStyle w:val="InstructionsTabelleberschrift"/>
                <w:rFonts w:ascii="Times New Roman" w:hAnsi="Times New Roman"/>
                <w:b w:val="0"/>
                <w:bCs w:val="0"/>
                <w:sz w:val="24"/>
                <w:u w:val="none"/>
              </w:rPr>
              <w:t xml:space="preserve">- </w:t>
            </w:r>
            <w:r w:rsidR="00831F72" w:rsidRPr="00694CA0">
              <w:rPr>
                <w:rStyle w:val="InstructionsTabelleberschrift"/>
                <w:rFonts w:ascii="Times New Roman" w:hAnsi="Times New Roman"/>
                <w:b w:val="0"/>
                <w:bCs w:val="0"/>
                <w:sz w:val="24"/>
                <w:u w:val="none"/>
              </w:rPr>
              <w:t>Other</w:t>
            </w:r>
            <w:r w:rsidR="007668FF" w:rsidRPr="00694CA0">
              <w:rPr>
                <w:rStyle w:val="InstructionsTabelleberschrift"/>
                <w:rFonts w:ascii="Times New Roman" w:hAnsi="Times New Roman"/>
                <w:b w:val="0"/>
                <w:bCs w:val="0"/>
                <w:sz w:val="24"/>
                <w:u w:val="none"/>
              </w:rPr>
              <w:t>.</w:t>
            </w:r>
          </w:p>
        </w:tc>
      </w:tr>
      <w:tr w:rsidR="00831F72" w:rsidRPr="00EC067D" w14:paraId="6BE31A4F" w14:textId="77777777" w:rsidTr="763F32FC">
        <w:tc>
          <w:tcPr>
            <w:tcW w:w="1129" w:type="dxa"/>
          </w:tcPr>
          <w:p w14:paraId="6879B5FB" w14:textId="36F7712E" w:rsidR="00831F72" w:rsidDel="00DD0AD0" w:rsidRDefault="00831F72"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w:t>
            </w:r>
            <w:r>
              <w:rPr>
                <w:rStyle w:val="FormatvorlageInstructionsTabelleText"/>
                <w:rFonts w:ascii="Times New Roman" w:hAnsi="Times New Roman"/>
                <w:sz w:val="24"/>
              </w:rPr>
              <w:t>3</w:t>
            </w:r>
            <w:r w:rsidR="00611DFE">
              <w:rPr>
                <w:rStyle w:val="FormatvorlageInstructionsTabelleText"/>
                <w:rFonts w:ascii="Times New Roman" w:hAnsi="Times New Roman"/>
                <w:sz w:val="24"/>
              </w:rPr>
              <w:t>4</w:t>
            </w:r>
            <w:r w:rsidRPr="763F32FC">
              <w:rPr>
                <w:rStyle w:val="FormatvorlageInstructionsTabelleText"/>
                <w:rFonts w:ascii="Times New Roman" w:hAnsi="Times New Roman"/>
                <w:sz w:val="24"/>
              </w:rPr>
              <w:t>0</w:t>
            </w:r>
          </w:p>
        </w:tc>
        <w:tc>
          <w:tcPr>
            <w:tcW w:w="7620" w:type="dxa"/>
          </w:tcPr>
          <w:p w14:paraId="1E8B815B" w14:textId="51D83114" w:rsidR="00831F72" w:rsidRPr="00C12CCF" w:rsidRDefault="00831F72" w:rsidP="007C3E83">
            <w:pPr>
              <w:spacing w:before="0"/>
              <w:rPr>
                <w:rStyle w:val="InstructionsTabelleberschrift"/>
                <w:rFonts w:ascii="Times New Roman" w:hAnsi="Times New Roman"/>
                <w:sz w:val="24"/>
                <w:lang w:eastAsia="de-DE"/>
              </w:rPr>
            </w:pPr>
            <w:r w:rsidRPr="0090512A">
              <w:rPr>
                <w:rStyle w:val="InstructionsTabelleberschrift"/>
                <w:rFonts w:ascii="Times New Roman" w:hAnsi="Times New Roman"/>
                <w:sz w:val="24"/>
                <w:lang w:eastAsia="de-DE"/>
              </w:rPr>
              <w:t>Change of material assumptions</w:t>
            </w:r>
            <w:r>
              <w:rPr>
                <w:rStyle w:val="InstructionsTabelleberschrift"/>
                <w:rFonts w:ascii="Times New Roman" w:hAnsi="Times New Roman"/>
                <w:sz w:val="24"/>
                <w:lang w:eastAsia="de-DE"/>
              </w:rPr>
              <w:t xml:space="preserve"> (</w:t>
            </w:r>
            <w:r w:rsidR="004E40E0">
              <w:rPr>
                <w:rStyle w:val="InstructionsTabelleberschrift"/>
                <w:rFonts w:ascii="Times New Roman" w:hAnsi="Times New Roman"/>
                <w:sz w:val="24"/>
                <w:lang w:eastAsia="de-DE"/>
              </w:rPr>
              <w:t>EVE</w:t>
            </w:r>
            <w:r>
              <w:rPr>
                <w:rStyle w:val="InstructionsTabelleberschrift"/>
                <w:rFonts w:ascii="Times New Roman" w:hAnsi="Times New Roman"/>
                <w:sz w:val="24"/>
                <w:lang w:eastAsia="de-DE"/>
              </w:rPr>
              <w:t>)</w:t>
            </w:r>
          </w:p>
          <w:p w14:paraId="68EE4B49" w14:textId="6B95A076" w:rsidR="00831F72" w:rsidRDefault="00831F72" w:rsidP="0001573B">
            <w:pPr>
              <w:pStyle w:val="InstructionsText"/>
              <w:rPr>
                <w:rStyle w:val="InstructionsTabelleberschrift"/>
                <w:rFonts w:ascii="Times New Roman" w:hAnsi="Times New Roman"/>
                <w:b w:val="0"/>
                <w:bCs w:val="0"/>
                <w:sz w:val="24"/>
                <w:u w:val="none"/>
                <w:lang w:eastAsia="en-US"/>
              </w:rPr>
            </w:pPr>
            <w:r>
              <w:t xml:space="preserve">Institutions shall indicate whether any material assumptions underlying the calculation of the supervisory standard shock in </w:t>
            </w:r>
            <w:r w:rsidR="004E40E0">
              <w:t xml:space="preserve">EVE </w:t>
            </w:r>
            <w:r>
              <w:t>SOT metrics have changed since the last reporting:</w:t>
            </w:r>
          </w:p>
          <w:p w14:paraId="08DC01FF" w14:textId="77777777" w:rsidR="00694CA0" w:rsidRPr="00694CA0" w:rsidRDefault="00694CA0" w:rsidP="0001573B">
            <w:pPr>
              <w:pStyle w:val="InstructionsText"/>
              <w:rPr>
                <w:rStyle w:val="InstructionsTabelleberschrift"/>
                <w:rFonts w:ascii="Times New Roman" w:hAnsi="Times New Roman"/>
                <w:b w:val="0"/>
                <w:bCs w:val="0"/>
                <w:sz w:val="24"/>
                <w:u w:val="none"/>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Yes</w:t>
            </w:r>
          </w:p>
          <w:p w14:paraId="7B454EAD" w14:textId="77777777" w:rsidR="00694CA0" w:rsidRPr="00694CA0" w:rsidRDefault="00694CA0"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No</w:t>
            </w:r>
          </w:p>
          <w:p w14:paraId="2047570C" w14:textId="58880C04" w:rsidR="00831F72" w:rsidRPr="0098606E" w:rsidRDefault="00694CA0"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bCs w:val="0"/>
                <w:sz w:val="24"/>
                <w:u w:val="none"/>
                <w:lang w:val="en-US"/>
              </w:rPr>
              <w:t xml:space="preserve">- </w:t>
            </w:r>
            <w:r w:rsidRPr="00694CA0">
              <w:rPr>
                <w:rStyle w:val="InstructionsTabelleberschrift"/>
                <w:rFonts w:ascii="Times New Roman" w:hAnsi="Times New Roman"/>
                <w:b w:val="0"/>
                <w:bCs w:val="0"/>
                <w:sz w:val="24"/>
                <w:u w:val="none"/>
                <w:lang w:val="en-US"/>
              </w:rPr>
              <w:t>Not applicable</w:t>
            </w:r>
          </w:p>
        </w:tc>
      </w:tr>
      <w:tr w:rsidR="00831F72" w:rsidRPr="00EC067D" w14:paraId="0E990BEC" w14:textId="77777777" w:rsidTr="763F32FC">
        <w:tc>
          <w:tcPr>
            <w:tcW w:w="1129" w:type="dxa"/>
          </w:tcPr>
          <w:p w14:paraId="63FEF734" w14:textId="4DBDB37F" w:rsidR="00831F72" w:rsidDel="00DD0AD0" w:rsidRDefault="00831F72"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w:t>
            </w:r>
            <w:r>
              <w:rPr>
                <w:rStyle w:val="FormatvorlageInstructionsTabelleText"/>
                <w:rFonts w:ascii="Times New Roman" w:hAnsi="Times New Roman"/>
                <w:sz w:val="24"/>
              </w:rPr>
              <w:t>3</w:t>
            </w:r>
            <w:r w:rsidR="00611DFE">
              <w:rPr>
                <w:rStyle w:val="FormatvorlageInstructionsTabelleText"/>
                <w:rFonts w:ascii="Times New Roman" w:hAnsi="Times New Roman"/>
                <w:sz w:val="24"/>
              </w:rPr>
              <w:t>5</w:t>
            </w:r>
            <w:r w:rsidRPr="763F32FC">
              <w:rPr>
                <w:rStyle w:val="FormatvorlageInstructionsTabelleText"/>
                <w:rFonts w:ascii="Times New Roman" w:hAnsi="Times New Roman"/>
                <w:sz w:val="24"/>
              </w:rPr>
              <w:t>0</w:t>
            </w:r>
          </w:p>
        </w:tc>
        <w:tc>
          <w:tcPr>
            <w:tcW w:w="7620" w:type="dxa"/>
          </w:tcPr>
          <w:p w14:paraId="64533084" w14:textId="39B1B770" w:rsidR="00831F72" w:rsidRPr="00C12CCF" w:rsidRDefault="00831F72" w:rsidP="007C3E83">
            <w:pPr>
              <w:spacing w:before="0"/>
              <w:rPr>
                <w:rStyle w:val="InstructionsTabelleberschrift"/>
                <w:rFonts w:ascii="Times New Roman" w:hAnsi="Times New Roman"/>
                <w:sz w:val="24"/>
                <w:lang w:eastAsia="de-DE"/>
              </w:rPr>
            </w:pPr>
            <w:r w:rsidRPr="0090512A">
              <w:rPr>
                <w:rStyle w:val="InstructionsTabelleberschrift"/>
                <w:rFonts w:ascii="Times New Roman" w:hAnsi="Times New Roman"/>
                <w:sz w:val="24"/>
                <w:lang w:eastAsia="de-DE"/>
              </w:rPr>
              <w:t>Change of material assumptions</w:t>
            </w:r>
            <w:r>
              <w:rPr>
                <w:rStyle w:val="InstructionsTabelleberschrift"/>
                <w:rFonts w:ascii="Times New Roman" w:hAnsi="Times New Roman"/>
                <w:sz w:val="24"/>
                <w:lang w:eastAsia="de-DE"/>
              </w:rPr>
              <w:t xml:space="preserve"> (</w:t>
            </w:r>
            <w:r w:rsidR="004E40E0">
              <w:rPr>
                <w:rStyle w:val="InstructionsTabelleberschrift"/>
                <w:rFonts w:ascii="Times New Roman" w:hAnsi="Times New Roman"/>
                <w:sz w:val="24"/>
                <w:lang w:eastAsia="de-DE"/>
              </w:rPr>
              <w:t>NII</w:t>
            </w:r>
            <w:r>
              <w:rPr>
                <w:rStyle w:val="InstructionsTabelleberschrift"/>
                <w:rFonts w:ascii="Times New Roman" w:hAnsi="Times New Roman"/>
                <w:sz w:val="24"/>
                <w:lang w:eastAsia="de-DE"/>
              </w:rPr>
              <w:t>)</w:t>
            </w:r>
          </w:p>
          <w:p w14:paraId="6679202D" w14:textId="4DB0B200" w:rsidR="00831F72" w:rsidRDefault="00831F72" w:rsidP="0001573B">
            <w:pPr>
              <w:pStyle w:val="InstructionsText"/>
            </w:pPr>
            <w:r>
              <w:t xml:space="preserve">Institutions shall indicate whether any material assumptions underlying the calculation of the supervisory standard shock in </w:t>
            </w:r>
            <w:r w:rsidR="004E40E0">
              <w:t xml:space="preserve">NII </w:t>
            </w:r>
            <w:r>
              <w:t>SOT metrics have changed since the last reporting:</w:t>
            </w:r>
            <w:r w:rsidRPr="63452C95">
              <w:rPr>
                <w:rFonts w:ascii="Segoe UI" w:eastAsia="Segoe UI" w:hAnsi="Segoe UI" w:cs="Segoe UI"/>
                <w:color w:val="333333"/>
                <w:sz w:val="18"/>
                <w:szCs w:val="18"/>
              </w:rPr>
              <w:t xml:space="preserve"> </w:t>
            </w:r>
          </w:p>
          <w:p w14:paraId="7DAFE939" w14:textId="77777777" w:rsidR="00694CA0" w:rsidRPr="00694CA0" w:rsidRDefault="00694CA0" w:rsidP="0001573B">
            <w:pPr>
              <w:pStyle w:val="InstructionsText"/>
              <w:rPr>
                <w:rStyle w:val="InstructionsTabelleberschrift"/>
                <w:rFonts w:ascii="Times New Roman" w:hAnsi="Times New Roman"/>
                <w:b w:val="0"/>
                <w:bCs w:val="0"/>
                <w:sz w:val="24"/>
                <w:u w:val="none"/>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Yes</w:t>
            </w:r>
          </w:p>
          <w:p w14:paraId="60932CE9" w14:textId="77777777" w:rsidR="00694CA0" w:rsidRPr="00694CA0" w:rsidRDefault="00694CA0"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No</w:t>
            </w:r>
          </w:p>
          <w:p w14:paraId="475E7AC7" w14:textId="21DB3AF9" w:rsidR="00831F72" w:rsidRPr="0098606E" w:rsidRDefault="00694CA0" w:rsidP="0001573B">
            <w:pPr>
              <w:pStyle w:val="InstructionsText"/>
              <w:rPr>
                <w:rStyle w:val="InstructionsTabelleberschrift"/>
                <w:rFonts w:ascii="Times New Roman" w:hAnsi="Times New Roman"/>
                <w:sz w:val="24"/>
              </w:rPr>
            </w:pPr>
            <w:r>
              <w:rPr>
                <w:rStyle w:val="InstructionsTabelleberschrift"/>
                <w:rFonts w:ascii="Times New Roman" w:hAnsi="Times New Roman"/>
                <w:b w:val="0"/>
                <w:bCs w:val="0"/>
                <w:sz w:val="24"/>
                <w:u w:val="none"/>
                <w:lang w:val="en-US"/>
              </w:rPr>
              <w:t xml:space="preserve">- </w:t>
            </w:r>
            <w:r w:rsidRPr="00694CA0">
              <w:rPr>
                <w:rStyle w:val="InstructionsTabelleberschrift"/>
                <w:rFonts w:ascii="Times New Roman" w:hAnsi="Times New Roman"/>
                <w:b w:val="0"/>
                <w:bCs w:val="0"/>
                <w:sz w:val="24"/>
                <w:u w:val="none"/>
                <w:lang w:val="en-US"/>
              </w:rPr>
              <w:t>Not applicable</w:t>
            </w:r>
          </w:p>
        </w:tc>
      </w:tr>
      <w:tr w:rsidR="00831F72" w:rsidRPr="00EC067D" w14:paraId="77B4BB6E" w14:textId="77777777" w:rsidTr="763F32FC">
        <w:tc>
          <w:tcPr>
            <w:tcW w:w="1129" w:type="dxa"/>
          </w:tcPr>
          <w:p w14:paraId="3103DAA3" w14:textId="019BFB6A" w:rsidR="00831F72" w:rsidRDefault="00831F72" w:rsidP="0001573B">
            <w:pPr>
              <w:pStyle w:val="InstructionsText"/>
              <w:rPr>
                <w:rStyle w:val="FormatvorlageInstructionsTabelleText"/>
                <w:rFonts w:ascii="Times New Roman" w:hAnsi="Times New Roman"/>
                <w:sz w:val="24"/>
                <w:lang w:eastAsia="en-US"/>
              </w:rPr>
            </w:pPr>
            <w:r w:rsidRPr="763F32FC">
              <w:rPr>
                <w:rStyle w:val="FormatvorlageInstructionsTabelleText"/>
                <w:rFonts w:ascii="Times New Roman" w:hAnsi="Times New Roman"/>
                <w:sz w:val="24"/>
              </w:rPr>
              <w:t>0</w:t>
            </w:r>
            <w:r>
              <w:rPr>
                <w:rStyle w:val="FormatvorlageInstructionsTabelleText"/>
                <w:rFonts w:ascii="Times New Roman" w:hAnsi="Times New Roman"/>
                <w:sz w:val="24"/>
              </w:rPr>
              <w:t>3</w:t>
            </w:r>
            <w:r w:rsidR="00611DFE">
              <w:rPr>
                <w:rStyle w:val="FormatvorlageInstructionsTabelleText"/>
                <w:rFonts w:ascii="Times New Roman" w:hAnsi="Times New Roman"/>
                <w:sz w:val="24"/>
              </w:rPr>
              <w:t>6</w:t>
            </w:r>
            <w:r w:rsidRPr="763F32FC">
              <w:rPr>
                <w:rStyle w:val="FormatvorlageInstructionsTabelleText"/>
                <w:rFonts w:ascii="Times New Roman" w:hAnsi="Times New Roman"/>
                <w:sz w:val="24"/>
              </w:rPr>
              <w:t>0</w:t>
            </w:r>
          </w:p>
        </w:tc>
        <w:tc>
          <w:tcPr>
            <w:tcW w:w="7620" w:type="dxa"/>
          </w:tcPr>
          <w:p w14:paraId="5248A7BA" w14:textId="71D70433" w:rsidR="00831F72" w:rsidRPr="001C53D3" w:rsidRDefault="00831F72" w:rsidP="0001573B">
            <w:pPr>
              <w:pStyle w:val="InstructionsText"/>
              <w:rPr>
                <w:rStyle w:val="InstructionsTabelleberschrift"/>
                <w:rFonts w:ascii="Times New Roman" w:hAnsi="Times New Roman"/>
                <w:sz w:val="24"/>
              </w:rPr>
            </w:pPr>
            <w:r w:rsidRPr="001C53D3">
              <w:rPr>
                <w:rStyle w:val="InstructionsTabelleberschrift"/>
                <w:rFonts w:ascii="Times New Roman" w:hAnsi="Times New Roman"/>
                <w:sz w:val="24"/>
              </w:rPr>
              <w:t xml:space="preserve">Post-shock interest rate floor </w:t>
            </w:r>
            <w:r>
              <w:rPr>
                <w:rStyle w:val="InstructionsTabelleberschrift"/>
                <w:rFonts w:ascii="Times New Roman" w:hAnsi="Times New Roman"/>
                <w:sz w:val="24"/>
              </w:rPr>
              <w:t>(NII/EVE)</w:t>
            </w:r>
          </w:p>
          <w:p w14:paraId="48577CD6" w14:textId="17AE1BEB" w:rsidR="00831F72" w:rsidRDefault="00831F72" w:rsidP="0001573B">
            <w:pPr>
              <w:pStyle w:val="InstructionsText"/>
              <w:rPr>
                <w:rStyle w:val="InstructionsTabelleberschrift"/>
                <w:rFonts w:ascii="Times New Roman" w:hAnsi="Times New Roman"/>
                <w:b w:val="0"/>
                <w:bCs w:val="0"/>
                <w:sz w:val="24"/>
                <w:u w:val="none"/>
              </w:rPr>
            </w:pPr>
            <w:r>
              <w:t xml:space="preserve">Considering the specification of Article 4(k) of the </w:t>
            </w:r>
            <w:r w:rsidRPr="00EE5ABE">
              <w:rPr>
                <w:rStyle w:val="FormatvorlageInstructionsTabelleText"/>
                <w:rFonts w:ascii="Times New Roman" w:hAnsi="Times New Roman"/>
                <w:bCs w:val="0"/>
                <w:sz w:val="24"/>
                <w:highlight w:val="lightGray"/>
              </w:rPr>
              <w:t>EBA RTS on S</w:t>
            </w:r>
            <w:r>
              <w:rPr>
                <w:rStyle w:val="FormatvorlageInstructionsTabelleText"/>
                <w:rFonts w:ascii="Times New Roman" w:hAnsi="Times New Roman"/>
                <w:bCs w:val="0"/>
                <w:sz w:val="24"/>
                <w:highlight w:val="lightGray"/>
              </w:rPr>
              <w:t>OT</w:t>
            </w:r>
            <w:r>
              <w:t>, i</w:t>
            </w:r>
            <w:r w:rsidRPr="00661595">
              <w:t xml:space="preserve">nstitutions shall </w:t>
            </w:r>
            <w:r>
              <w:t xml:space="preserve">indicate if </w:t>
            </w:r>
            <w:r w:rsidRPr="00327CD6">
              <w:t>the maturity-dependent post-shock interest rate floor</w:t>
            </w:r>
            <w:r>
              <w:t xml:space="preserve"> is</w:t>
            </w:r>
            <w:r w:rsidRPr="00327CD6">
              <w:t xml:space="preserve"> binding for </w:t>
            </w:r>
            <w:r>
              <w:t>any</w:t>
            </w:r>
            <w:r w:rsidRPr="00327CD6">
              <w:t xml:space="preserve"> of</w:t>
            </w:r>
            <w:r>
              <w:t xml:space="preserve"> </w:t>
            </w:r>
            <w:r w:rsidRPr="00327CD6">
              <w:t xml:space="preserve">the </w:t>
            </w:r>
            <w:r>
              <w:t xml:space="preserve">specific </w:t>
            </w:r>
            <w:r w:rsidRPr="00327CD6">
              <w:t>currencies reported</w:t>
            </w:r>
            <w:r>
              <w:t>:</w:t>
            </w:r>
          </w:p>
          <w:p w14:paraId="15C5A4DA" w14:textId="53BBAFF8" w:rsidR="00694CA0" w:rsidRPr="00694CA0" w:rsidRDefault="00694CA0" w:rsidP="0001573B">
            <w:pPr>
              <w:pStyle w:val="InstructionsText"/>
              <w:rPr>
                <w:rStyle w:val="InstructionsTabelleberschrift"/>
                <w:rFonts w:ascii="Times New Roman" w:hAnsi="Times New Roman"/>
                <w:b w:val="0"/>
                <w:bCs w:val="0"/>
                <w:sz w:val="24"/>
                <w:u w:val="none"/>
              </w:rPr>
            </w:pPr>
            <w:r w:rsidRPr="00FE3389">
              <w:rPr>
                <w:rStyle w:val="InstructionsTabelleberschrift"/>
                <w:rFonts w:ascii="Times New Roman" w:hAnsi="Times New Roman"/>
                <w:b w:val="0"/>
                <w:bCs w:val="0"/>
                <w:sz w:val="24"/>
                <w:u w:val="none"/>
                <w:lang w:val="en-US"/>
              </w:rPr>
              <w:t>-</w:t>
            </w:r>
            <w:r w:rsidRPr="00694CA0">
              <w:rPr>
                <w:rStyle w:val="InstructionsTabelleberschrift"/>
                <w:rFonts w:ascii="Times New Roman" w:hAnsi="Times New Roman"/>
                <w:b w:val="0"/>
                <w:bCs w:val="0"/>
                <w:sz w:val="24"/>
                <w:u w:val="none"/>
                <w:lang w:val="en-US"/>
              </w:rPr>
              <w:t xml:space="preserve"> </w:t>
            </w:r>
            <w:r w:rsidR="00831F72" w:rsidRPr="00694CA0">
              <w:rPr>
                <w:rStyle w:val="InstructionsTabelleberschrift"/>
                <w:rFonts w:ascii="Times New Roman" w:hAnsi="Times New Roman"/>
                <w:b w:val="0"/>
                <w:bCs w:val="0"/>
                <w:sz w:val="24"/>
                <w:u w:val="none"/>
                <w:lang w:val="en-US"/>
              </w:rPr>
              <w:t>Yes</w:t>
            </w:r>
          </w:p>
          <w:p w14:paraId="608E34DA" w14:textId="77777777" w:rsidR="00831F72" w:rsidRPr="00694CA0" w:rsidRDefault="00694CA0" w:rsidP="0001573B">
            <w:pPr>
              <w:pStyle w:val="InstructionsText"/>
              <w:rPr>
                <w:rStyle w:val="InstructionsTabelleberschrift"/>
                <w:rFonts w:ascii="Times New Roman" w:hAnsi="Times New Roman"/>
                <w:b w:val="0"/>
                <w:bCs w:val="0"/>
                <w:sz w:val="24"/>
                <w:u w:val="none"/>
                <w:lang w:val="en-US"/>
              </w:rPr>
            </w:pPr>
            <w:r w:rsidRPr="00694CA0">
              <w:rPr>
                <w:rStyle w:val="InstructionsTabelleberschrift"/>
                <w:rFonts w:ascii="Times New Roman" w:hAnsi="Times New Roman"/>
                <w:b w:val="0"/>
                <w:bCs w:val="0"/>
                <w:sz w:val="24"/>
                <w:u w:val="none"/>
                <w:lang w:val="en-US"/>
              </w:rPr>
              <w:t xml:space="preserve">- </w:t>
            </w:r>
            <w:r w:rsidR="00831F72" w:rsidRPr="00694CA0">
              <w:rPr>
                <w:rStyle w:val="InstructionsTabelleberschrift"/>
                <w:rFonts w:ascii="Times New Roman" w:hAnsi="Times New Roman"/>
                <w:b w:val="0"/>
                <w:bCs w:val="0"/>
                <w:sz w:val="24"/>
                <w:u w:val="none"/>
                <w:lang w:val="en-US"/>
              </w:rPr>
              <w:t>No</w:t>
            </w:r>
          </w:p>
          <w:p w14:paraId="7BE76904" w14:textId="302B1962" w:rsidR="00694CA0" w:rsidRPr="007C3E83" w:rsidRDefault="00694CA0" w:rsidP="00466F09">
            <w:pPr>
              <w:spacing w:before="0"/>
              <w:rPr>
                <w:b/>
                <w:bCs/>
                <w:u w:val="single"/>
              </w:rPr>
            </w:pPr>
            <w:r w:rsidRPr="007C3E83">
              <w:rPr>
                <w:rStyle w:val="InstructionsTabelleberschrift"/>
                <w:rFonts w:ascii="Times New Roman" w:hAnsi="Times New Roman"/>
                <w:b w:val="0"/>
                <w:bCs w:val="0"/>
                <w:sz w:val="24"/>
                <w:u w:val="none"/>
                <w:lang w:val="en-US"/>
              </w:rPr>
              <w:t>- Not applicable</w:t>
            </w:r>
          </w:p>
        </w:tc>
      </w:tr>
    </w:tbl>
    <w:p w14:paraId="789CC7EA" w14:textId="77777777" w:rsidR="0074085C" w:rsidRPr="00EC067D" w:rsidRDefault="0074085C" w:rsidP="0074085C">
      <w:pPr>
        <w:spacing w:after="0"/>
        <w:rPr>
          <w:rStyle w:val="InstructionsTabelleText"/>
          <w:rFonts w:ascii="Times New Roman" w:hAnsi="Times New Roman"/>
          <w:sz w:val="24"/>
        </w:rPr>
      </w:pPr>
    </w:p>
    <w:p w14:paraId="5B8220FE" w14:textId="77777777" w:rsidR="0074085C" w:rsidRPr="00EC067D" w:rsidRDefault="0074085C" w:rsidP="006137FD">
      <w:pPr>
        <w:spacing w:after="0"/>
        <w:rPr>
          <w:rStyle w:val="InstructionsTabelleText"/>
          <w:rFonts w:ascii="Times New Roman" w:hAnsi="Times New Roman"/>
          <w:sz w:val="24"/>
        </w:rPr>
      </w:pPr>
    </w:p>
    <w:sectPr w:rsidR="0074085C" w:rsidRPr="00EC067D" w:rsidSect="00B51F42">
      <w:headerReference w:type="even" r:id="rId17"/>
      <w:headerReference w:type="default" r:id="rId18"/>
      <w:footerReference w:type="even" r:id="rId19"/>
      <w:footerReference w:type="default" r:id="rId20"/>
      <w:headerReference w:type="first" r:id="rId21"/>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B3A9" w14:textId="77777777" w:rsidR="00CE65A4" w:rsidRDefault="00CE65A4" w:rsidP="00D946DB">
      <w:pPr>
        <w:spacing w:before="0" w:after="0"/>
      </w:pPr>
      <w:r>
        <w:separator/>
      </w:r>
    </w:p>
  </w:endnote>
  <w:endnote w:type="continuationSeparator" w:id="0">
    <w:p w14:paraId="533B16E7" w14:textId="77777777" w:rsidR="00CE65A4" w:rsidRDefault="00CE65A4" w:rsidP="00D946DB">
      <w:pPr>
        <w:spacing w:before="0" w:after="0"/>
      </w:pPr>
      <w:r>
        <w:continuationSeparator/>
      </w:r>
    </w:p>
  </w:endnote>
  <w:endnote w:type="continuationNotice" w:id="1">
    <w:p w14:paraId="6C214936" w14:textId="77777777" w:rsidR="00CE65A4" w:rsidRDefault="00CE65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ndnya">
    <w:panose1 w:val="00000400000000000000"/>
    <w:charset w:val="01"/>
    <w:family w:val="roman"/>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44C1" w14:textId="77777777" w:rsidR="0062658C" w:rsidRDefault="0062658C">
    <w:pPr>
      <w:pStyle w:val="Footer"/>
    </w:pPr>
  </w:p>
  <w:p w14:paraId="74D49A48" w14:textId="77777777" w:rsidR="0062658C" w:rsidRDefault="0062658C"/>
  <w:p w14:paraId="1FA48059" w14:textId="77777777" w:rsidR="0062658C" w:rsidRDefault="00626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2E8C" w14:textId="69A0AEE3" w:rsidR="0062658C" w:rsidRPr="00ED1956" w:rsidRDefault="0062658C">
    <w:pPr>
      <w:pStyle w:val="Footer"/>
      <w:jc w:val="right"/>
      <w:rPr>
        <w:rFonts w:ascii="Times New Roman" w:hAnsi="Times New Roman"/>
        <w:sz w:val="22"/>
        <w:szCs w:val="22"/>
      </w:rPr>
    </w:pPr>
    <w:r w:rsidRPr="00ED1956">
      <w:rPr>
        <w:rFonts w:ascii="Times New Roman" w:hAnsi="Times New Roman"/>
        <w:color w:val="2B579A"/>
        <w:sz w:val="22"/>
        <w:szCs w:val="22"/>
        <w:shd w:val="clear" w:color="auto" w:fill="E6E6E6"/>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color w:val="2B579A"/>
        <w:sz w:val="22"/>
        <w:szCs w:val="22"/>
        <w:shd w:val="clear" w:color="auto" w:fill="E6E6E6"/>
      </w:rPr>
      <w:fldChar w:fldCharType="separate"/>
    </w:r>
    <w:r>
      <w:rPr>
        <w:rFonts w:ascii="Times New Roman" w:hAnsi="Times New Roman"/>
        <w:noProof/>
        <w:sz w:val="22"/>
        <w:szCs w:val="22"/>
      </w:rPr>
      <w:t>2</w:t>
    </w:r>
    <w:r w:rsidRPr="00ED1956">
      <w:rPr>
        <w:rFonts w:ascii="Times New Roman" w:hAnsi="Times New Roman"/>
        <w:color w:val="2B579A"/>
        <w:sz w:val="22"/>
        <w:szCs w:val="22"/>
        <w:shd w:val="clear" w:color="auto" w:fill="E6E6E6"/>
      </w:rPr>
      <w:fldChar w:fldCharType="end"/>
    </w:r>
  </w:p>
  <w:p w14:paraId="14BC9F62" w14:textId="77777777" w:rsidR="0062658C" w:rsidRDefault="0062658C">
    <w:pPr>
      <w:pStyle w:val="Footer"/>
    </w:pPr>
  </w:p>
  <w:p w14:paraId="1B2FADFA" w14:textId="77777777" w:rsidR="0062658C" w:rsidRDefault="0062658C"/>
  <w:p w14:paraId="1BCD99CE" w14:textId="77777777" w:rsidR="0062658C" w:rsidRDefault="00626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C43E" w14:textId="0C00C520" w:rsidR="0062658C" w:rsidRPr="00E85358" w:rsidRDefault="0062658C">
    <w:pPr>
      <w:pStyle w:val="Footer"/>
      <w:jc w:val="right"/>
      <w:rPr>
        <w:sz w:val="22"/>
        <w:szCs w:val="22"/>
      </w:rPr>
    </w:pPr>
    <w:r w:rsidRPr="00E85358">
      <w:rPr>
        <w:color w:val="2B579A"/>
        <w:sz w:val="22"/>
        <w:szCs w:val="22"/>
        <w:shd w:val="clear" w:color="auto" w:fill="E6E6E6"/>
      </w:rPr>
      <w:fldChar w:fldCharType="begin"/>
    </w:r>
    <w:r w:rsidRPr="00E85358">
      <w:rPr>
        <w:sz w:val="22"/>
        <w:szCs w:val="22"/>
      </w:rPr>
      <w:instrText xml:space="preserve"> PAGE   \* MERGEFORMAT </w:instrText>
    </w:r>
    <w:r w:rsidRPr="00E85358">
      <w:rPr>
        <w:color w:val="2B579A"/>
        <w:sz w:val="22"/>
        <w:szCs w:val="22"/>
        <w:shd w:val="clear" w:color="auto" w:fill="E6E6E6"/>
      </w:rPr>
      <w:fldChar w:fldCharType="separate"/>
    </w:r>
    <w:r w:rsidR="00F114E9">
      <w:rPr>
        <w:noProof/>
        <w:sz w:val="22"/>
        <w:szCs w:val="22"/>
      </w:rPr>
      <w:t>1</w:t>
    </w:r>
    <w:r w:rsidRPr="00E85358">
      <w:rPr>
        <w:noProof/>
        <w:color w:val="2B579A"/>
        <w:sz w:val="22"/>
        <w:szCs w:val="22"/>
        <w:shd w:val="clear" w:color="auto" w:fill="E6E6E6"/>
      </w:rPr>
      <w:fldChar w:fldCharType="end"/>
    </w:r>
  </w:p>
  <w:p w14:paraId="4E07410F" w14:textId="77777777" w:rsidR="0062658C" w:rsidRDefault="0062658C">
    <w:pPr>
      <w:pStyle w:val="Footer"/>
    </w:pPr>
  </w:p>
  <w:p w14:paraId="6B40E329" w14:textId="77777777" w:rsidR="0062658C" w:rsidRDefault="0062658C"/>
  <w:p w14:paraId="12D1BC26" w14:textId="77777777" w:rsidR="0062658C" w:rsidRDefault="006265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F2E6" w14:textId="77777777" w:rsidR="0062658C" w:rsidRDefault="0062658C">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14:paraId="484C2E5B" w14:textId="77777777" w:rsidR="0062658C" w:rsidRDefault="0062658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C733" w14:textId="5C9104D2" w:rsidR="0062658C" w:rsidRPr="00ED1956" w:rsidRDefault="0062658C">
    <w:pPr>
      <w:pStyle w:val="Footer"/>
      <w:jc w:val="right"/>
      <w:rPr>
        <w:rFonts w:ascii="Times New Roman" w:hAnsi="Times New Roman"/>
        <w:sz w:val="20"/>
        <w:szCs w:val="20"/>
      </w:rPr>
    </w:pPr>
    <w:r w:rsidRPr="00ED1956">
      <w:rPr>
        <w:rFonts w:ascii="Times New Roman" w:hAnsi="Times New Roman"/>
        <w:color w:val="2B579A"/>
        <w:sz w:val="20"/>
        <w:szCs w:val="20"/>
        <w:shd w:val="clear" w:color="auto" w:fill="E6E6E6"/>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color w:val="2B579A"/>
        <w:sz w:val="20"/>
        <w:szCs w:val="20"/>
        <w:shd w:val="clear" w:color="auto" w:fill="E6E6E6"/>
      </w:rPr>
      <w:fldChar w:fldCharType="separate"/>
    </w:r>
    <w:r w:rsidR="00F114E9">
      <w:rPr>
        <w:rFonts w:ascii="Times New Roman" w:hAnsi="Times New Roman"/>
        <w:noProof/>
        <w:sz w:val="20"/>
        <w:szCs w:val="20"/>
      </w:rPr>
      <w:t>24</w:t>
    </w:r>
    <w:r w:rsidRPr="00ED1956">
      <w:rPr>
        <w:rFonts w:ascii="Times New Roman" w:hAnsi="Times New Roman"/>
        <w:color w:val="2B579A"/>
        <w:sz w:val="20"/>
        <w:szCs w:val="20"/>
        <w:shd w:val="clear" w:color="auto" w:fill="E6E6E6"/>
      </w:rPr>
      <w:fldChar w:fldCharType="end"/>
    </w:r>
  </w:p>
  <w:p w14:paraId="4071C94B" w14:textId="77777777" w:rsidR="0062658C" w:rsidRPr="00A772B4" w:rsidRDefault="0062658C"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0E68" w14:textId="77777777" w:rsidR="00CE65A4" w:rsidRDefault="00CE65A4" w:rsidP="00D946DB">
      <w:pPr>
        <w:spacing w:before="0" w:after="0"/>
      </w:pPr>
      <w:r>
        <w:separator/>
      </w:r>
    </w:p>
  </w:footnote>
  <w:footnote w:type="continuationSeparator" w:id="0">
    <w:p w14:paraId="65071578" w14:textId="77777777" w:rsidR="00CE65A4" w:rsidRDefault="00CE65A4" w:rsidP="00D946DB">
      <w:pPr>
        <w:spacing w:before="0" w:after="0"/>
      </w:pPr>
      <w:r>
        <w:continuationSeparator/>
      </w:r>
    </w:p>
  </w:footnote>
  <w:footnote w:type="continuationNotice" w:id="1">
    <w:p w14:paraId="456BDF0B" w14:textId="77777777" w:rsidR="00CE65A4" w:rsidRDefault="00CE65A4">
      <w:pPr>
        <w:spacing w:before="0" w:after="0"/>
      </w:pPr>
    </w:p>
  </w:footnote>
  <w:footnote w:id="2">
    <w:p w14:paraId="51242520" w14:textId="77777777" w:rsidR="0062658C" w:rsidRPr="0000345B" w:rsidRDefault="0062658C" w:rsidP="00940746">
      <w:pPr>
        <w:pStyle w:val="FootnoteText"/>
        <w:rPr>
          <w:lang w:val="en-GB"/>
        </w:rPr>
      </w:pPr>
      <w:r>
        <w:rPr>
          <w:rStyle w:val="FootnoteReference"/>
        </w:rPr>
        <w:footnoteRef/>
      </w:r>
      <w:r>
        <w:t xml:space="preserve"> </w:t>
      </w:r>
      <w:r w:rsidRPr="00486104">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r w:rsidRPr="00FF33F5">
        <w:t xml:space="preserve"> (</w:t>
      </w:r>
      <w:hyperlink r:id="rId1" w:history="1">
        <w:r w:rsidRPr="00FF33F5" w:rsidDel="004801E8">
          <w:rPr>
            <w:rStyle w:val="Hyperlink"/>
          </w:rPr>
          <w:t>EBA/RTS/2022/10</w:t>
        </w:r>
      </w:hyperlink>
      <w:r w:rsidRPr="00FF33F5">
        <w:t>)</w:t>
      </w:r>
      <w:r>
        <w:t>.</w:t>
      </w:r>
    </w:p>
  </w:footnote>
  <w:footnote w:id="3">
    <w:p w14:paraId="2E4D63F6" w14:textId="77777777" w:rsidR="00212817" w:rsidRPr="0001227E" w:rsidRDefault="00212817" w:rsidP="00212817">
      <w:pPr>
        <w:pStyle w:val="footnotedescription"/>
        <w:ind w:right="271"/>
        <w:rPr>
          <w:lang w:val="en-US"/>
        </w:rPr>
      </w:pPr>
      <w:r>
        <w:rPr>
          <w:rStyle w:val="footnotemark"/>
        </w:rPr>
        <w:footnoteRef/>
      </w:r>
      <w:r w:rsidRPr="0001227E">
        <w:rPr>
          <w:lang w:val="en-US"/>
        </w:rPr>
        <w:t xml:space="preserve"> Draft Regulatory Technical Standards specifying standardised and simplified standardised methodologies to evaluate the risks arising from potential changes in interest rates that affect both the economic value of equity and the net interest income of an institution’s non-trading book activities in accordance with 84(5) of Directive 2013/36/EU</w:t>
      </w:r>
      <w:hyperlink r:id="rId2">
        <w:r w:rsidRPr="0001227E">
          <w:rPr>
            <w:lang w:val="en-US"/>
          </w:rPr>
          <w:t xml:space="preserve"> (</w:t>
        </w:r>
      </w:hyperlink>
      <w:hyperlink r:id="rId3">
        <w:r w:rsidRPr="0001227E">
          <w:rPr>
            <w:color w:val="0000FF"/>
            <w:u w:val="single" w:color="0000FF"/>
            <w:lang w:val="en-US"/>
          </w:rPr>
          <w:t>EBA/RTS/2022/14</w:t>
        </w:r>
      </w:hyperlink>
      <w:r w:rsidRPr="0001227E">
        <w:rPr>
          <w:lang w:val="en-US"/>
        </w:rPr>
        <w:t xml:space="preserve">). </w:t>
      </w:r>
    </w:p>
  </w:footnote>
  <w:footnote w:id="4">
    <w:p w14:paraId="0A122620" w14:textId="5B1C3F85" w:rsidR="0062658C" w:rsidRPr="00831701" w:rsidRDefault="0062658C" w:rsidP="00C7103D">
      <w:pPr>
        <w:pStyle w:val="FootnoteText"/>
        <w:spacing w:before="0" w:after="0" w:line="240" w:lineRule="auto"/>
        <w:ind w:left="567" w:hanging="567"/>
      </w:pPr>
      <w:r w:rsidRPr="004647DB">
        <w:rPr>
          <w:vertAlign w:val="superscript"/>
        </w:rPr>
        <w:footnoteRef/>
      </w:r>
      <w:r>
        <w:rPr>
          <w:lang w:val="en-GB"/>
        </w:rPr>
        <w:t xml:space="preserve"> </w:t>
      </w:r>
      <w:r w:rsidRPr="00831701">
        <w:t>Regulation (EU) No 575/2013 of the European Parliament and of the Council of 26 June 2013 on prudential requirements for credit institutions and investment firms and amending Regulation (EU) No 648/2012 (OJ L 176, 27.6.2013, p. 1).</w:t>
      </w:r>
    </w:p>
  </w:footnote>
  <w:footnote w:id="5">
    <w:p w14:paraId="754D5245" w14:textId="4B736982" w:rsidR="0062658C" w:rsidRPr="00F95727" w:rsidRDefault="0062658C" w:rsidP="004647DB">
      <w:pPr>
        <w:pStyle w:val="FootnoteText"/>
        <w:spacing w:before="0" w:after="0" w:line="240" w:lineRule="auto"/>
        <w:ind w:left="567" w:hanging="567"/>
        <w:rPr>
          <w:rFonts w:ascii="Times New Roman" w:hAnsi="Times New Roman"/>
          <w:sz w:val="20"/>
          <w:szCs w:val="20"/>
        </w:rPr>
      </w:pPr>
      <w:r w:rsidRPr="004647DB">
        <w:rPr>
          <w:vertAlign w:val="superscript"/>
        </w:rPr>
        <w:footnoteRef/>
      </w:r>
      <w:r>
        <w:rPr>
          <w:lang w:val="en-GB"/>
        </w:rPr>
        <w:t xml:space="preserve"> </w:t>
      </w:r>
      <w:r w:rsidRPr="00831701">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6">
    <w:p w14:paraId="2FF92851" w14:textId="77777777" w:rsidR="0062658C" w:rsidRPr="007972CE" w:rsidRDefault="0062658C" w:rsidP="00D723FC">
      <w:pPr>
        <w:pStyle w:val="FootnoteText"/>
        <w:rPr>
          <w:lang w:val="en-GB"/>
        </w:rPr>
      </w:pPr>
      <w:r>
        <w:rPr>
          <w:rStyle w:val="FootnoteReference"/>
        </w:rPr>
        <w:footnoteRef/>
      </w:r>
      <w:r>
        <w:t xml:space="preserve"> </w:t>
      </w:r>
      <w:r w:rsidRPr="00EE1D3E">
        <w:t>Commission Implementing Regulation (EU) 2021/451 of 17 December 2020 laying down implementing technical standards for the application of Regulation (EU) No 575/2013 of the European Parliament and of the Council with regard to supervisory reporting of institutions and repealing Implementing Regulation (EU) No 680/2014</w:t>
      </w:r>
    </w:p>
  </w:footnote>
  <w:footnote w:id="7">
    <w:p w14:paraId="0CB46888" w14:textId="530065D7" w:rsidR="0062658C" w:rsidRPr="00954BFA" w:rsidRDefault="0062658C">
      <w:pPr>
        <w:pStyle w:val="FootnoteText"/>
        <w:rPr>
          <w:lang w:val="en-GB"/>
        </w:rPr>
      </w:pPr>
      <w:r>
        <w:rPr>
          <w:rStyle w:val="FootnoteReference"/>
        </w:rPr>
        <w:footnoteRef/>
      </w:r>
      <w:r>
        <w:t xml:space="preserve"> </w:t>
      </w:r>
      <w:r w:rsidRPr="00491D20">
        <w:t>Commission Delegated Regulation (EU) 2015/61 of 10 October 2014 to supplement Regulation (EU) No 575/2013 of the European Parliament and the Council with regard to liquidity coverage requirement for Credit Institutions Text with EEA relevance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DEAB" w14:textId="0C3CCA4A" w:rsidR="0062658C" w:rsidRDefault="0062658C">
    <w:pPr>
      <w:pStyle w:val="Header"/>
    </w:pPr>
  </w:p>
  <w:p w14:paraId="3F74919E" w14:textId="77777777" w:rsidR="0062658C" w:rsidRDefault="0062658C"/>
  <w:p w14:paraId="28E382F5" w14:textId="77777777" w:rsidR="0062658C" w:rsidRDefault="00626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3220" w14:textId="4610C405" w:rsidR="0062658C" w:rsidRDefault="0062658C">
    <w:pPr>
      <w:pStyle w:val="Header"/>
    </w:pPr>
  </w:p>
  <w:p w14:paraId="273B4A9A" w14:textId="77777777" w:rsidR="0062658C" w:rsidRDefault="0062658C"/>
  <w:p w14:paraId="646C31B2" w14:textId="77777777" w:rsidR="0062658C" w:rsidRDefault="00626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49CB" w14:textId="12D30FC5" w:rsidR="0062658C" w:rsidRDefault="0062658C">
    <w:pPr>
      <w:pStyle w:val="Header"/>
    </w:pPr>
  </w:p>
  <w:p w14:paraId="0DEBD6E0" w14:textId="77777777" w:rsidR="0062658C" w:rsidRDefault="0062658C"/>
  <w:p w14:paraId="670A0442" w14:textId="741A96C6" w:rsidR="0062658C" w:rsidRDefault="0062658C">
    <w:pPr>
      <w:pStyle w:val="Header"/>
    </w:pPr>
  </w:p>
  <w:p w14:paraId="0F320001" w14:textId="77777777" w:rsidR="0062658C" w:rsidRDefault="0062658C"/>
  <w:p w14:paraId="3887A7E3" w14:textId="77777777" w:rsidR="0062658C" w:rsidRDefault="006265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1DEB" w14:textId="66D4F54A" w:rsidR="0062658C" w:rsidRDefault="006265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5F13" w14:textId="3CD58826" w:rsidR="0062658C" w:rsidRDefault="006265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A3CA" w14:textId="626E4EE5" w:rsidR="0062658C" w:rsidRDefault="0062658C">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E60"/>
    <w:multiLevelType w:val="hybridMultilevel"/>
    <w:tmpl w:val="92F2BE84"/>
    <w:lvl w:ilvl="0" w:tplc="72242C3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5022C"/>
    <w:multiLevelType w:val="hybridMultilevel"/>
    <w:tmpl w:val="0A268F84"/>
    <w:lvl w:ilvl="0" w:tplc="FFFFFFFF">
      <w:start w:val="1"/>
      <w:numFmt w:val="decimal"/>
      <w:lvlText w:val="%1."/>
      <w:lvlJc w:val="left"/>
      <w:pPr>
        <w:ind w:left="1341"/>
      </w:pPr>
      <w:rPr>
        <w:b w:val="0"/>
        <w:i w:val="0"/>
        <w:strike w:val="0"/>
        <w:dstrike w:val="0"/>
        <w:color w:val="000000"/>
        <w:sz w:val="24"/>
        <w:szCs w:val="24"/>
        <w:u w:val="none" w:color="000000"/>
        <w:bdr w:val="none" w:sz="0" w:space="0" w:color="auto"/>
        <w:shd w:val="clear" w:color="auto" w:fill="auto"/>
        <w:vertAlign w:val="baseline"/>
      </w:rPr>
    </w:lvl>
    <w:lvl w:ilvl="1" w:tplc="86E456B8">
      <w:start w:val="1"/>
      <w:numFmt w:val="lowerRoman"/>
      <w:lvlText w:val="%2."/>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60374">
      <w:start w:val="1"/>
      <w:numFmt w:val="lowerRoman"/>
      <w:lvlText w:val="%3"/>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8D032">
      <w:start w:val="1"/>
      <w:numFmt w:val="decimal"/>
      <w:lvlText w:val="%4"/>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E69E4">
      <w:start w:val="1"/>
      <w:numFmt w:val="lowerLetter"/>
      <w:lvlText w:val="%5"/>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E6764">
      <w:start w:val="1"/>
      <w:numFmt w:val="lowerRoman"/>
      <w:lvlText w:val="%6"/>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A60C8">
      <w:start w:val="1"/>
      <w:numFmt w:val="decimal"/>
      <w:lvlText w:val="%7"/>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A01C2">
      <w:start w:val="1"/>
      <w:numFmt w:val="lowerLetter"/>
      <w:lvlText w:val="%8"/>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C9D6A">
      <w:start w:val="1"/>
      <w:numFmt w:val="lowerRoman"/>
      <w:lvlText w:val="%9"/>
      <w:lvlJc w:val="left"/>
      <w:pPr>
        <w:ind w:left="7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4" w15:restartNumberingAfterBreak="0">
    <w:nsid w:val="1A2E174F"/>
    <w:multiLevelType w:val="hybridMultilevel"/>
    <w:tmpl w:val="BD90AF9A"/>
    <w:lvl w:ilvl="0" w:tplc="251E6CD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0AB7A">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B774">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AED44">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4150C">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C0E6D0">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47B6A">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6E57C">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0E6B6">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431A91"/>
    <w:multiLevelType w:val="hybridMultilevel"/>
    <w:tmpl w:val="63F6440E"/>
    <w:lvl w:ilvl="0" w:tplc="C66A659A">
      <w:start w:val="10"/>
      <w:numFmt w:val="bullet"/>
      <w:lvlText w:val="-"/>
      <w:lvlJc w:val="left"/>
      <w:pPr>
        <w:ind w:left="720" w:hanging="360"/>
      </w:pPr>
      <w:rPr>
        <w:rFonts w:ascii="Verdana" w:eastAsia="Arial"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1DD64DB5"/>
    <w:multiLevelType w:val="hybridMultilevel"/>
    <w:tmpl w:val="BAC48346"/>
    <w:lvl w:ilvl="0" w:tplc="7E4C9BA8">
      <w:start w:val="1"/>
      <w:numFmt w:val="bullet"/>
      <w:lvlText w:val=""/>
      <w:lvlJc w:val="left"/>
      <w:pPr>
        <w:ind w:left="860" w:hanging="360"/>
      </w:pPr>
      <w:rPr>
        <w:rFonts w:ascii="Symbol" w:hAnsi="Symbol"/>
      </w:rPr>
    </w:lvl>
    <w:lvl w:ilvl="1" w:tplc="0DC22724">
      <w:start w:val="1"/>
      <w:numFmt w:val="bullet"/>
      <w:lvlText w:val=""/>
      <w:lvlJc w:val="left"/>
      <w:pPr>
        <w:ind w:left="860" w:hanging="360"/>
      </w:pPr>
      <w:rPr>
        <w:rFonts w:ascii="Symbol" w:hAnsi="Symbol"/>
      </w:rPr>
    </w:lvl>
    <w:lvl w:ilvl="2" w:tplc="E6609E1E">
      <w:start w:val="1"/>
      <w:numFmt w:val="bullet"/>
      <w:lvlText w:val=""/>
      <w:lvlJc w:val="left"/>
      <w:pPr>
        <w:ind w:left="860" w:hanging="360"/>
      </w:pPr>
      <w:rPr>
        <w:rFonts w:ascii="Symbol" w:hAnsi="Symbol"/>
      </w:rPr>
    </w:lvl>
    <w:lvl w:ilvl="3" w:tplc="66424DCA">
      <w:start w:val="1"/>
      <w:numFmt w:val="bullet"/>
      <w:lvlText w:val=""/>
      <w:lvlJc w:val="left"/>
      <w:pPr>
        <w:ind w:left="860" w:hanging="360"/>
      </w:pPr>
      <w:rPr>
        <w:rFonts w:ascii="Symbol" w:hAnsi="Symbol"/>
      </w:rPr>
    </w:lvl>
    <w:lvl w:ilvl="4" w:tplc="AE24229C">
      <w:start w:val="1"/>
      <w:numFmt w:val="bullet"/>
      <w:lvlText w:val=""/>
      <w:lvlJc w:val="left"/>
      <w:pPr>
        <w:ind w:left="860" w:hanging="360"/>
      </w:pPr>
      <w:rPr>
        <w:rFonts w:ascii="Symbol" w:hAnsi="Symbol"/>
      </w:rPr>
    </w:lvl>
    <w:lvl w:ilvl="5" w:tplc="FF027BA0">
      <w:start w:val="1"/>
      <w:numFmt w:val="bullet"/>
      <w:lvlText w:val=""/>
      <w:lvlJc w:val="left"/>
      <w:pPr>
        <w:ind w:left="860" w:hanging="360"/>
      </w:pPr>
      <w:rPr>
        <w:rFonts w:ascii="Symbol" w:hAnsi="Symbol"/>
      </w:rPr>
    </w:lvl>
    <w:lvl w:ilvl="6" w:tplc="25C0A806">
      <w:start w:val="1"/>
      <w:numFmt w:val="bullet"/>
      <w:lvlText w:val=""/>
      <w:lvlJc w:val="left"/>
      <w:pPr>
        <w:ind w:left="860" w:hanging="360"/>
      </w:pPr>
      <w:rPr>
        <w:rFonts w:ascii="Symbol" w:hAnsi="Symbol"/>
      </w:rPr>
    </w:lvl>
    <w:lvl w:ilvl="7" w:tplc="82069E6E">
      <w:start w:val="1"/>
      <w:numFmt w:val="bullet"/>
      <w:lvlText w:val=""/>
      <w:lvlJc w:val="left"/>
      <w:pPr>
        <w:ind w:left="860" w:hanging="360"/>
      </w:pPr>
      <w:rPr>
        <w:rFonts w:ascii="Symbol" w:hAnsi="Symbol"/>
      </w:rPr>
    </w:lvl>
    <w:lvl w:ilvl="8" w:tplc="66764BC2">
      <w:start w:val="1"/>
      <w:numFmt w:val="bullet"/>
      <w:lvlText w:val=""/>
      <w:lvlJc w:val="left"/>
      <w:pPr>
        <w:ind w:left="860" w:hanging="360"/>
      </w:pPr>
      <w:rPr>
        <w:rFonts w:ascii="Symbol" w:hAnsi="Symbol"/>
      </w:rPr>
    </w:lvl>
  </w:abstractNum>
  <w:abstractNum w:abstractNumId="8" w15:restartNumberingAfterBreak="0">
    <w:nsid w:val="1E12B389"/>
    <w:multiLevelType w:val="hybridMultilevel"/>
    <w:tmpl w:val="F032424E"/>
    <w:lvl w:ilvl="0" w:tplc="2C1EF296">
      <w:start w:val="1"/>
      <w:numFmt w:val="bullet"/>
      <w:lvlText w:val="·"/>
      <w:lvlJc w:val="left"/>
      <w:pPr>
        <w:ind w:left="720" w:hanging="360"/>
      </w:pPr>
      <w:rPr>
        <w:rFonts w:ascii="Symbol" w:hAnsi="Symbol" w:hint="default"/>
      </w:rPr>
    </w:lvl>
    <w:lvl w:ilvl="1" w:tplc="1AC44A58">
      <w:start w:val="1"/>
      <w:numFmt w:val="bullet"/>
      <w:lvlText w:val="o"/>
      <w:lvlJc w:val="left"/>
      <w:pPr>
        <w:ind w:left="1440" w:hanging="360"/>
      </w:pPr>
      <w:rPr>
        <w:rFonts w:ascii="Courier New" w:hAnsi="Courier New" w:hint="default"/>
      </w:rPr>
    </w:lvl>
    <w:lvl w:ilvl="2" w:tplc="68BEA612">
      <w:start w:val="1"/>
      <w:numFmt w:val="bullet"/>
      <w:lvlText w:val=""/>
      <w:lvlJc w:val="left"/>
      <w:pPr>
        <w:ind w:left="2160" w:hanging="360"/>
      </w:pPr>
      <w:rPr>
        <w:rFonts w:ascii="Wingdings" w:hAnsi="Wingdings" w:hint="default"/>
      </w:rPr>
    </w:lvl>
    <w:lvl w:ilvl="3" w:tplc="AF062DC6">
      <w:start w:val="1"/>
      <w:numFmt w:val="bullet"/>
      <w:lvlText w:val=""/>
      <w:lvlJc w:val="left"/>
      <w:pPr>
        <w:ind w:left="2880" w:hanging="360"/>
      </w:pPr>
      <w:rPr>
        <w:rFonts w:ascii="Symbol" w:hAnsi="Symbol" w:hint="default"/>
      </w:rPr>
    </w:lvl>
    <w:lvl w:ilvl="4" w:tplc="76E80C38">
      <w:start w:val="1"/>
      <w:numFmt w:val="bullet"/>
      <w:lvlText w:val="o"/>
      <w:lvlJc w:val="left"/>
      <w:pPr>
        <w:ind w:left="3600" w:hanging="360"/>
      </w:pPr>
      <w:rPr>
        <w:rFonts w:ascii="Courier New" w:hAnsi="Courier New" w:hint="default"/>
      </w:rPr>
    </w:lvl>
    <w:lvl w:ilvl="5" w:tplc="46824C0A">
      <w:start w:val="1"/>
      <w:numFmt w:val="bullet"/>
      <w:lvlText w:val=""/>
      <w:lvlJc w:val="left"/>
      <w:pPr>
        <w:ind w:left="4320" w:hanging="360"/>
      </w:pPr>
      <w:rPr>
        <w:rFonts w:ascii="Wingdings" w:hAnsi="Wingdings" w:hint="default"/>
      </w:rPr>
    </w:lvl>
    <w:lvl w:ilvl="6" w:tplc="9D101B98">
      <w:start w:val="1"/>
      <w:numFmt w:val="bullet"/>
      <w:lvlText w:val=""/>
      <w:lvlJc w:val="left"/>
      <w:pPr>
        <w:ind w:left="5040" w:hanging="360"/>
      </w:pPr>
      <w:rPr>
        <w:rFonts w:ascii="Symbol" w:hAnsi="Symbol" w:hint="default"/>
      </w:rPr>
    </w:lvl>
    <w:lvl w:ilvl="7" w:tplc="1AAA48A6">
      <w:start w:val="1"/>
      <w:numFmt w:val="bullet"/>
      <w:lvlText w:val="o"/>
      <w:lvlJc w:val="left"/>
      <w:pPr>
        <w:ind w:left="5760" w:hanging="360"/>
      </w:pPr>
      <w:rPr>
        <w:rFonts w:ascii="Courier New" w:hAnsi="Courier New" w:hint="default"/>
      </w:rPr>
    </w:lvl>
    <w:lvl w:ilvl="8" w:tplc="580C1E76">
      <w:start w:val="1"/>
      <w:numFmt w:val="bullet"/>
      <w:lvlText w:val=""/>
      <w:lvlJc w:val="left"/>
      <w:pPr>
        <w:ind w:left="6480"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399172"/>
    <w:multiLevelType w:val="hybridMultilevel"/>
    <w:tmpl w:val="1FCC59BE"/>
    <w:lvl w:ilvl="0" w:tplc="5CCC9708">
      <w:start w:val="1"/>
      <w:numFmt w:val="bullet"/>
      <w:lvlText w:val="·"/>
      <w:lvlJc w:val="left"/>
      <w:pPr>
        <w:ind w:left="720" w:hanging="360"/>
      </w:pPr>
      <w:rPr>
        <w:rFonts w:ascii="Symbol" w:hAnsi="Symbol" w:hint="default"/>
      </w:rPr>
    </w:lvl>
    <w:lvl w:ilvl="1" w:tplc="84AC4A38">
      <w:start w:val="1"/>
      <w:numFmt w:val="bullet"/>
      <w:lvlText w:val="o"/>
      <w:lvlJc w:val="left"/>
      <w:pPr>
        <w:ind w:left="1440" w:hanging="360"/>
      </w:pPr>
      <w:rPr>
        <w:rFonts w:ascii="Courier New" w:hAnsi="Courier New" w:hint="default"/>
      </w:rPr>
    </w:lvl>
    <w:lvl w:ilvl="2" w:tplc="B888AC40">
      <w:start w:val="1"/>
      <w:numFmt w:val="bullet"/>
      <w:lvlText w:val=""/>
      <w:lvlJc w:val="left"/>
      <w:pPr>
        <w:ind w:left="2160" w:hanging="360"/>
      </w:pPr>
      <w:rPr>
        <w:rFonts w:ascii="Wingdings" w:hAnsi="Wingdings" w:hint="default"/>
      </w:rPr>
    </w:lvl>
    <w:lvl w:ilvl="3" w:tplc="C55A83D6">
      <w:start w:val="1"/>
      <w:numFmt w:val="bullet"/>
      <w:lvlText w:val=""/>
      <w:lvlJc w:val="left"/>
      <w:pPr>
        <w:ind w:left="2880" w:hanging="360"/>
      </w:pPr>
      <w:rPr>
        <w:rFonts w:ascii="Symbol" w:hAnsi="Symbol" w:hint="default"/>
      </w:rPr>
    </w:lvl>
    <w:lvl w:ilvl="4" w:tplc="25C67260">
      <w:start w:val="1"/>
      <w:numFmt w:val="bullet"/>
      <w:lvlText w:val="o"/>
      <w:lvlJc w:val="left"/>
      <w:pPr>
        <w:ind w:left="3600" w:hanging="360"/>
      </w:pPr>
      <w:rPr>
        <w:rFonts w:ascii="Courier New" w:hAnsi="Courier New" w:hint="default"/>
      </w:rPr>
    </w:lvl>
    <w:lvl w:ilvl="5" w:tplc="5712DC14">
      <w:start w:val="1"/>
      <w:numFmt w:val="bullet"/>
      <w:lvlText w:val=""/>
      <w:lvlJc w:val="left"/>
      <w:pPr>
        <w:ind w:left="4320" w:hanging="360"/>
      </w:pPr>
      <w:rPr>
        <w:rFonts w:ascii="Wingdings" w:hAnsi="Wingdings" w:hint="default"/>
      </w:rPr>
    </w:lvl>
    <w:lvl w:ilvl="6" w:tplc="82020D24">
      <w:start w:val="1"/>
      <w:numFmt w:val="bullet"/>
      <w:lvlText w:val=""/>
      <w:lvlJc w:val="left"/>
      <w:pPr>
        <w:ind w:left="5040" w:hanging="360"/>
      </w:pPr>
      <w:rPr>
        <w:rFonts w:ascii="Symbol" w:hAnsi="Symbol" w:hint="default"/>
      </w:rPr>
    </w:lvl>
    <w:lvl w:ilvl="7" w:tplc="66EE11CA">
      <w:start w:val="1"/>
      <w:numFmt w:val="bullet"/>
      <w:lvlText w:val="o"/>
      <w:lvlJc w:val="left"/>
      <w:pPr>
        <w:ind w:left="5760" w:hanging="360"/>
      </w:pPr>
      <w:rPr>
        <w:rFonts w:ascii="Courier New" w:hAnsi="Courier New" w:hint="default"/>
      </w:rPr>
    </w:lvl>
    <w:lvl w:ilvl="8" w:tplc="D32E2C68">
      <w:start w:val="1"/>
      <w:numFmt w:val="bullet"/>
      <w:lvlText w:val=""/>
      <w:lvlJc w:val="left"/>
      <w:pPr>
        <w:ind w:left="6480" w:hanging="360"/>
      </w:pPr>
      <w:rPr>
        <w:rFonts w:ascii="Wingdings" w:hAnsi="Wingdings" w:hint="default"/>
      </w:rPr>
    </w:lvl>
  </w:abstractNum>
  <w:abstractNum w:abstractNumId="11" w15:restartNumberingAfterBreak="0">
    <w:nsid w:val="24B458B5"/>
    <w:multiLevelType w:val="hybridMultilevel"/>
    <w:tmpl w:val="CD14FC02"/>
    <w:lvl w:ilvl="0" w:tplc="5E2C2E80">
      <w:start w:val="12"/>
      <w:numFmt w:val="decimal"/>
      <w:lvlText w:val="%1."/>
      <w:lvlJc w:val="left"/>
      <w:pPr>
        <w:ind w:left="1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4A6BC">
      <w:start w:val="1"/>
      <w:numFmt w:val="lowerLetter"/>
      <w:lvlText w:val="%2"/>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A06D8">
      <w:start w:val="1"/>
      <w:numFmt w:val="lowerRoman"/>
      <w:lvlText w:val="%3"/>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6B166">
      <w:start w:val="1"/>
      <w:numFmt w:val="decimal"/>
      <w:lvlText w:val="%4"/>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47174">
      <w:start w:val="1"/>
      <w:numFmt w:val="lowerLetter"/>
      <w:lvlText w:val="%5"/>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E6EDFA">
      <w:start w:val="1"/>
      <w:numFmt w:val="lowerRoman"/>
      <w:lvlText w:val="%6"/>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848E2">
      <w:start w:val="1"/>
      <w:numFmt w:val="decimal"/>
      <w:lvlText w:val="%7"/>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C5D2E">
      <w:start w:val="1"/>
      <w:numFmt w:val="lowerLetter"/>
      <w:lvlText w:val="%8"/>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6282C">
      <w:start w:val="1"/>
      <w:numFmt w:val="lowerRoman"/>
      <w:lvlText w:val="%9"/>
      <w:lvlJc w:val="left"/>
      <w:pPr>
        <w:ind w:left="7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7D7F02"/>
    <w:multiLevelType w:val="multilevel"/>
    <w:tmpl w:val="0407001D"/>
    <w:numStyleLink w:val="Formatvorlage3"/>
  </w:abstractNum>
  <w:abstractNum w:abstractNumId="14" w15:restartNumberingAfterBreak="0">
    <w:nsid w:val="33057CB8"/>
    <w:multiLevelType w:val="hybridMultilevel"/>
    <w:tmpl w:val="46489498"/>
    <w:lvl w:ilvl="0" w:tplc="FFFFFFFF">
      <w:start w:val="1"/>
      <w:numFmt w:val="decimal"/>
      <w:pStyle w:val="InstructionsText2"/>
      <w:lvlText w:val="%1."/>
      <w:lvlJc w:val="left"/>
      <w:pPr>
        <w:ind w:left="1353" w:hanging="360"/>
      </w:p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C070001">
      <w:start w:val="1"/>
      <w:numFmt w:val="bullet"/>
      <w:lvlText w:val=""/>
      <w:lvlJc w:val="left"/>
      <w:pPr>
        <w:ind w:left="2880" w:hanging="360"/>
      </w:pPr>
      <w:rPr>
        <w:rFonts w:ascii="Symbol" w:hAnsi="Symbol" w:hint="default"/>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5" w15:restartNumberingAfterBreak="0">
    <w:nsid w:val="34578786"/>
    <w:multiLevelType w:val="hybridMultilevel"/>
    <w:tmpl w:val="FFFFFFFF"/>
    <w:lvl w:ilvl="0" w:tplc="D27A536E">
      <w:start w:val="1"/>
      <w:numFmt w:val="bullet"/>
      <w:lvlText w:val=""/>
      <w:lvlJc w:val="left"/>
      <w:pPr>
        <w:ind w:left="720" w:hanging="360"/>
      </w:pPr>
      <w:rPr>
        <w:rFonts w:ascii="Symbol" w:hAnsi="Symbol" w:hint="default"/>
      </w:rPr>
    </w:lvl>
    <w:lvl w:ilvl="1" w:tplc="18F0352A">
      <w:start w:val="1"/>
      <w:numFmt w:val="bullet"/>
      <w:lvlText w:val="o"/>
      <w:lvlJc w:val="left"/>
      <w:pPr>
        <w:ind w:left="1440" w:hanging="360"/>
      </w:pPr>
      <w:rPr>
        <w:rFonts w:ascii="Courier New" w:hAnsi="Courier New" w:hint="default"/>
      </w:rPr>
    </w:lvl>
    <w:lvl w:ilvl="2" w:tplc="1EACF2B2">
      <w:start w:val="1"/>
      <w:numFmt w:val="bullet"/>
      <w:lvlText w:val=""/>
      <w:lvlJc w:val="left"/>
      <w:pPr>
        <w:ind w:left="2160" w:hanging="360"/>
      </w:pPr>
      <w:rPr>
        <w:rFonts w:ascii="Wingdings" w:hAnsi="Wingdings" w:hint="default"/>
      </w:rPr>
    </w:lvl>
    <w:lvl w:ilvl="3" w:tplc="5426973E">
      <w:start w:val="1"/>
      <w:numFmt w:val="bullet"/>
      <w:lvlText w:val=""/>
      <w:lvlJc w:val="left"/>
      <w:pPr>
        <w:ind w:left="2880" w:hanging="360"/>
      </w:pPr>
      <w:rPr>
        <w:rFonts w:ascii="Symbol" w:hAnsi="Symbol" w:hint="default"/>
      </w:rPr>
    </w:lvl>
    <w:lvl w:ilvl="4" w:tplc="CDFA94BA">
      <w:start w:val="1"/>
      <w:numFmt w:val="bullet"/>
      <w:lvlText w:val="o"/>
      <w:lvlJc w:val="left"/>
      <w:pPr>
        <w:ind w:left="3600" w:hanging="360"/>
      </w:pPr>
      <w:rPr>
        <w:rFonts w:ascii="Courier New" w:hAnsi="Courier New" w:hint="default"/>
      </w:rPr>
    </w:lvl>
    <w:lvl w:ilvl="5" w:tplc="1B04CCAE">
      <w:start w:val="1"/>
      <w:numFmt w:val="bullet"/>
      <w:lvlText w:val=""/>
      <w:lvlJc w:val="left"/>
      <w:pPr>
        <w:ind w:left="4320" w:hanging="360"/>
      </w:pPr>
      <w:rPr>
        <w:rFonts w:ascii="Wingdings" w:hAnsi="Wingdings" w:hint="default"/>
      </w:rPr>
    </w:lvl>
    <w:lvl w:ilvl="6" w:tplc="C35067E6">
      <w:start w:val="1"/>
      <w:numFmt w:val="bullet"/>
      <w:lvlText w:val=""/>
      <w:lvlJc w:val="left"/>
      <w:pPr>
        <w:ind w:left="5040" w:hanging="360"/>
      </w:pPr>
      <w:rPr>
        <w:rFonts w:ascii="Symbol" w:hAnsi="Symbol" w:hint="default"/>
      </w:rPr>
    </w:lvl>
    <w:lvl w:ilvl="7" w:tplc="61CEAFF2">
      <w:start w:val="1"/>
      <w:numFmt w:val="bullet"/>
      <w:lvlText w:val="o"/>
      <w:lvlJc w:val="left"/>
      <w:pPr>
        <w:ind w:left="5760" w:hanging="360"/>
      </w:pPr>
      <w:rPr>
        <w:rFonts w:ascii="Courier New" w:hAnsi="Courier New" w:hint="default"/>
      </w:rPr>
    </w:lvl>
    <w:lvl w:ilvl="8" w:tplc="76CCE600">
      <w:start w:val="1"/>
      <w:numFmt w:val="bullet"/>
      <w:lvlText w:val=""/>
      <w:lvlJc w:val="left"/>
      <w:pPr>
        <w:ind w:left="6480" w:hanging="360"/>
      </w:pPr>
      <w:rPr>
        <w:rFonts w:ascii="Wingdings" w:hAnsi="Wingdings" w:hint="default"/>
      </w:rPr>
    </w:lvl>
  </w:abstractNum>
  <w:abstractNum w:abstractNumId="16" w15:restartNumberingAfterBreak="0">
    <w:nsid w:val="360D1EF8"/>
    <w:multiLevelType w:val="hybridMultilevel"/>
    <w:tmpl w:val="51547EAE"/>
    <w:lvl w:ilvl="0" w:tplc="73120B54">
      <w:start w:val="1"/>
      <w:numFmt w:val="bullet"/>
      <w:lvlText w:val="·"/>
      <w:lvlJc w:val="left"/>
      <w:pPr>
        <w:ind w:left="720" w:hanging="360"/>
      </w:pPr>
      <w:rPr>
        <w:rFonts w:ascii="Symbol" w:hAnsi="Symbol" w:hint="default"/>
      </w:rPr>
    </w:lvl>
    <w:lvl w:ilvl="1" w:tplc="D0AE5382">
      <w:start w:val="1"/>
      <w:numFmt w:val="bullet"/>
      <w:lvlText w:val="o"/>
      <w:lvlJc w:val="left"/>
      <w:pPr>
        <w:ind w:left="1440" w:hanging="360"/>
      </w:pPr>
      <w:rPr>
        <w:rFonts w:ascii="Courier New" w:hAnsi="Courier New" w:hint="default"/>
      </w:rPr>
    </w:lvl>
    <w:lvl w:ilvl="2" w:tplc="1ED42306">
      <w:start w:val="1"/>
      <w:numFmt w:val="bullet"/>
      <w:lvlText w:val=""/>
      <w:lvlJc w:val="left"/>
      <w:pPr>
        <w:ind w:left="2160" w:hanging="360"/>
      </w:pPr>
      <w:rPr>
        <w:rFonts w:ascii="Wingdings" w:hAnsi="Wingdings" w:hint="default"/>
      </w:rPr>
    </w:lvl>
    <w:lvl w:ilvl="3" w:tplc="1FE26BC6">
      <w:start w:val="1"/>
      <w:numFmt w:val="bullet"/>
      <w:lvlText w:val=""/>
      <w:lvlJc w:val="left"/>
      <w:pPr>
        <w:ind w:left="2880" w:hanging="360"/>
      </w:pPr>
      <w:rPr>
        <w:rFonts w:ascii="Symbol" w:hAnsi="Symbol" w:hint="default"/>
      </w:rPr>
    </w:lvl>
    <w:lvl w:ilvl="4" w:tplc="FBCA139C">
      <w:start w:val="1"/>
      <w:numFmt w:val="bullet"/>
      <w:lvlText w:val="o"/>
      <w:lvlJc w:val="left"/>
      <w:pPr>
        <w:ind w:left="3600" w:hanging="360"/>
      </w:pPr>
      <w:rPr>
        <w:rFonts w:ascii="Courier New" w:hAnsi="Courier New" w:hint="default"/>
      </w:rPr>
    </w:lvl>
    <w:lvl w:ilvl="5" w:tplc="BA28442C">
      <w:start w:val="1"/>
      <w:numFmt w:val="bullet"/>
      <w:lvlText w:val=""/>
      <w:lvlJc w:val="left"/>
      <w:pPr>
        <w:ind w:left="4320" w:hanging="360"/>
      </w:pPr>
      <w:rPr>
        <w:rFonts w:ascii="Wingdings" w:hAnsi="Wingdings" w:hint="default"/>
      </w:rPr>
    </w:lvl>
    <w:lvl w:ilvl="6" w:tplc="D43EC770">
      <w:start w:val="1"/>
      <w:numFmt w:val="bullet"/>
      <w:lvlText w:val=""/>
      <w:lvlJc w:val="left"/>
      <w:pPr>
        <w:ind w:left="5040" w:hanging="360"/>
      </w:pPr>
      <w:rPr>
        <w:rFonts w:ascii="Symbol" w:hAnsi="Symbol" w:hint="default"/>
      </w:rPr>
    </w:lvl>
    <w:lvl w:ilvl="7" w:tplc="86A04A30">
      <w:start w:val="1"/>
      <w:numFmt w:val="bullet"/>
      <w:lvlText w:val="o"/>
      <w:lvlJc w:val="left"/>
      <w:pPr>
        <w:ind w:left="5760" w:hanging="360"/>
      </w:pPr>
      <w:rPr>
        <w:rFonts w:ascii="Courier New" w:hAnsi="Courier New" w:hint="default"/>
      </w:rPr>
    </w:lvl>
    <w:lvl w:ilvl="8" w:tplc="8B68A8FE">
      <w:start w:val="1"/>
      <w:numFmt w:val="bullet"/>
      <w:lvlText w:val=""/>
      <w:lvlJc w:val="left"/>
      <w:pPr>
        <w:ind w:left="6480" w:hanging="360"/>
      </w:pPr>
      <w:rPr>
        <w:rFonts w:ascii="Wingdings" w:hAnsi="Wingdings" w:hint="default"/>
      </w:rPr>
    </w:lvl>
  </w:abstractNum>
  <w:abstractNum w:abstractNumId="17"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2F608E3"/>
    <w:multiLevelType w:val="hybridMultilevel"/>
    <w:tmpl w:val="352A1ECC"/>
    <w:lvl w:ilvl="0" w:tplc="0809001B">
      <w:start w:val="1"/>
      <w:numFmt w:val="lowerRoman"/>
      <w:lvlText w:val="%1."/>
      <w:lvlJc w:val="right"/>
      <w:pPr>
        <w:ind w:left="2073" w:hanging="360"/>
      </w:p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20"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6F0AD3"/>
    <w:multiLevelType w:val="hybridMultilevel"/>
    <w:tmpl w:val="CCCA0DD2"/>
    <w:lvl w:ilvl="0" w:tplc="0809001B">
      <w:start w:val="1"/>
      <w:numFmt w:val="lowerRoman"/>
      <w:lvlText w:val="%1."/>
      <w:lvlJc w:val="right"/>
      <w:pPr>
        <w:ind w:left="2484" w:hanging="360"/>
      </w:pPr>
    </w:lvl>
    <w:lvl w:ilvl="1" w:tplc="08090019" w:tentative="1">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abstractNum w:abstractNumId="24" w15:restartNumberingAfterBreak="0">
    <w:nsid w:val="592E7523"/>
    <w:multiLevelType w:val="hybridMultilevel"/>
    <w:tmpl w:val="AC18BAD0"/>
    <w:lvl w:ilvl="0" w:tplc="435A4D3E">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6"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CA2C8C"/>
    <w:multiLevelType w:val="hybridMultilevel"/>
    <w:tmpl w:val="47A02D24"/>
    <w:lvl w:ilvl="0" w:tplc="FFFFFFFF">
      <w:start w:val="1"/>
      <w:numFmt w:val="decimal"/>
      <w:pStyle w:val="Instructionsberschrift2"/>
      <w:lvlText w:val="%1."/>
      <w:lvlJc w:val="left"/>
      <w:pPr>
        <w:ind w:left="720" w:hanging="360"/>
      </w:p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29" w15:restartNumberingAfterBreak="0">
    <w:nsid w:val="67027381"/>
    <w:multiLevelType w:val="hybridMultilevel"/>
    <w:tmpl w:val="6FDA6644"/>
    <w:lvl w:ilvl="0" w:tplc="7BD05822">
      <w:start w:val="5"/>
      <w:numFmt w:val="bullet"/>
      <w:lvlText w:val="-"/>
      <w:lvlJc w:val="left"/>
      <w:pPr>
        <w:ind w:left="720" w:hanging="360"/>
      </w:pPr>
      <w:rPr>
        <w:rFonts w:ascii="Verdana" w:eastAsia="Arial"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79C1EBB"/>
    <w:multiLevelType w:val="hybridMultilevel"/>
    <w:tmpl w:val="58E6E75A"/>
    <w:lvl w:ilvl="0" w:tplc="0809001B">
      <w:start w:val="1"/>
      <w:numFmt w:val="lowerRoman"/>
      <w:lvlText w:val="%1."/>
      <w:lvlJc w:val="right"/>
      <w:pPr>
        <w:ind w:left="4188" w:hanging="360"/>
      </w:p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3" w15:restartNumberingAfterBreak="0">
    <w:nsid w:val="6C81B250"/>
    <w:multiLevelType w:val="hybridMultilevel"/>
    <w:tmpl w:val="B82E5418"/>
    <w:lvl w:ilvl="0" w:tplc="8DE06568">
      <w:start w:val="1"/>
      <w:numFmt w:val="bullet"/>
      <w:lvlText w:val="·"/>
      <w:lvlJc w:val="left"/>
      <w:pPr>
        <w:ind w:left="720" w:hanging="360"/>
      </w:pPr>
      <w:rPr>
        <w:rFonts w:ascii="Symbol" w:hAnsi="Symbol" w:hint="default"/>
      </w:rPr>
    </w:lvl>
    <w:lvl w:ilvl="1" w:tplc="B9C66290">
      <w:start w:val="1"/>
      <w:numFmt w:val="bullet"/>
      <w:lvlText w:val="o"/>
      <w:lvlJc w:val="left"/>
      <w:pPr>
        <w:ind w:left="1440" w:hanging="360"/>
      </w:pPr>
      <w:rPr>
        <w:rFonts w:ascii="Courier New" w:hAnsi="Courier New" w:hint="default"/>
      </w:rPr>
    </w:lvl>
    <w:lvl w:ilvl="2" w:tplc="8B3E6E38">
      <w:start w:val="1"/>
      <w:numFmt w:val="bullet"/>
      <w:lvlText w:val=""/>
      <w:lvlJc w:val="left"/>
      <w:pPr>
        <w:ind w:left="2160" w:hanging="360"/>
      </w:pPr>
      <w:rPr>
        <w:rFonts w:ascii="Wingdings" w:hAnsi="Wingdings" w:hint="default"/>
      </w:rPr>
    </w:lvl>
    <w:lvl w:ilvl="3" w:tplc="C478E292">
      <w:start w:val="1"/>
      <w:numFmt w:val="bullet"/>
      <w:lvlText w:val=""/>
      <w:lvlJc w:val="left"/>
      <w:pPr>
        <w:ind w:left="2880" w:hanging="360"/>
      </w:pPr>
      <w:rPr>
        <w:rFonts w:ascii="Symbol" w:hAnsi="Symbol" w:hint="default"/>
      </w:rPr>
    </w:lvl>
    <w:lvl w:ilvl="4" w:tplc="7640EE66">
      <w:start w:val="1"/>
      <w:numFmt w:val="bullet"/>
      <w:lvlText w:val="o"/>
      <w:lvlJc w:val="left"/>
      <w:pPr>
        <w:ind w:left="3600" w:hanging="360"/>
      </w:pPr>
      <w:rPr>
        <w:rFonts w:ascii="Courier New" w:hAnsi="Courier New" w:hint="default"/>
      </w:rPr>
    </w:lvl>
    <w:lvl w:ilvl="5" w:tplc="513CDE3E">
      <w:start w:val="1"/>
      <w:numFmt w:val="bullet"/>
      <w:lvlText w:val=""/>
      <w:lvlJc w:val="left"/>
      <w:pPr>
        <w:ind w:left="4320" w:hanging="360"/>
      </w:pPr>
      <w:rPr>
        <w:rFonts w:ascii="Wingdings" w:hAnsi="Wingdings" w:hint="default"/>
      </w:rPr>
    </w:lvl>
    <w:lvl w:ilvl="6" w:tplc="756AD8E8">
      <w:start w:val="1"/>
      <w:numFmt w:val="bullet"/>
      <w:lvlText w:val=""/>
      <w:lvlJc w:val="left"/>
      <w:pPr>
        <w:ind w:left="5040" w:hanging="360"/>
      </w:pPr>
      <w:rPr>
        <w:rFonts w:ascii="Symbol" w:hAnsi="Symbol" w:hint="default"/>
      </w:rPr>
    </w:lvl>
    <w:lvl w:ilvl="7" w:tplc="F116953A">
      <w:start w:val="1"/>
      <w:numFmt w:val="bullet"/>
      <w:lvlText w:val="o"/>
      <w:lvlJc w:val="left"/>
      <w:pPr>
        <w:ind w:left="5760" w:hanging="360"/>
      </w:pPr>
      <w:rPr>
        <w:rFonts w:ascii="Courier New" w:hAnsi="Courier New" w:hint="default"/>
      </w:rPr>
    </w:lvl>
    <w:lvl w:ilvl="8" w:tplc="571C3ACC">
      <w:start w:val="1"/>
      <w:numFmt w:val="bullet"/>
      <w:lvlText w:val=""/>
      <w:lvlJc w:val="left"/>
      <w:pPr>
        <w:ind w:left="6480" w:hanging="360"/>
      </w:pPr>
      <w:rPr>
        <w:rFonts w:ascii="Wingdings" w:hAnsi="Wingdings" w:hint="default"/>
      </w:rPr>
    </w:lvl>
  </w:abstractNum>
  <w:abstractNum w:abstractNumId="34" w15:restartNumberingAfterBreak="0">
    <w:nsid w:val="6FB106DB"/>
    <w:multiLevelType w:val="hybridMultilevel"/>
    <w:tmpl w:val="018A7AAE"/>
    <w:lvl w:ilvl="0" w:tplc="CABE4EAC">
      <w:start w:val="1"/>
      <w:numFmt w:val="bullet"/>
      <w:lvlText w:val=""/>
      <w:lvlJc w:val="left"/>
      <w:pPr>
        <w:ind w:left="720" w:hanging="360"/>
      </w:pPr>
      <w:rPr>
        <w:rFonts w:ascii="Symbol" w:hAnsi="Symbol" w:hint="default"/>
      </w:rPr>
    </w:lvl>
    <w:lvl w:ilvl="1" w:tplc="96220BEA">
      <w:start w:val="1"/>
      <w:numFmt w:val="bullet"/>
      <w:lvlText w:val="o"/>
      <w:lvlJc w:val="left"/>
      <w:pPr>
        <w:ind w:left="1440" w:hanging="360"/>
      </w:pPr>
      <w:rPr>
        <w:rFonts w:ascii="Courier New" w:hAnsi="Courier New" w:hint="default"/>
      </w:rPr>
    </w:lvl>
    <w:lvl w:ilvl="2" w:tplc="6AE8E7C8">
      <w:start w:val="1"/>
      <w:numFmt w:val="bullet"/>
      <w:lvlText w:val=""/>
      <w:lvlJc w:val="left"/>
      <w:pPr>
        <w:ind w:left="2160" w:hanging="360"/>
      </w:pPr>
      <w:rPr>
        <w:rFonts w:ascii="Wingdings" w:hAnsi="Wingdings" w:hint="default"/>
      </w:rPr>
    </w:lvl>
    <w:lvl w:ilvl="3" w:tplc="A0B0FE86">
      <w:start w:val="1"/>
      <w:numFmt w:val="bullet"/>
      <w:lvlText w:val=""/>
      <w:lvlJc w:val="left"/>
      <w:pPr>
        <w:ind w:left="2880" w:hanging="360"/>
      </w:pPr>
      <w:rPr>
        <w:rFonts w:ascii="Symbol" w:hAnsi="Symbol" w:hint="default"/>
      </w:rPr>
    </w:lvl>
    <w:lvl w:ilvl="4" w:tplc="E2AA28B4">
      <w:start w:val="1"/>
      <w:numFmt w:val="bullet"/>
      <w:lvlText w:val="o"/>
      <w:lvlJc w:val="left"/>
      <w:pPr>
        <w:ind w:left="3600" w:hanging="360"/>
      </w:pPr>
      <w:rPr>
        <w:rFonts w:ascii="Courier New" w:hAnsi="Courier New" w:hint="default"/>
      </w:rPr>
    </w:lvl>
    <w:lvl w:ilvl="5" w:tplc="C6A09FD6">
      <w:start w:val="1"/>
      <w:numFmt w:val="bullet"/>
      <w:lvlText w:val=""/>
      <w:lvlJc w:val="left"/>
      <w:pPr>
        <w:ind w:left="4320" w:hanging="360"/>
      </w:pPr>
      <w:rPr>
        <w:rFonts w:ascii="Wingdings" w:hAnsi="Wingdings" w:hint="default"/>
      </w:rPr>
    </w:lvl>
    <w:lvl w:ilvl="6" w:tplc="53486828">
      <w:start w:val="1"/>
      <w:numFmt w:val="bullet"/>
      <w:lvlText w:val=""/>
      <w:lvlJc w:val="left"/>
      <w:pPr>
        <w:ind w:left="5040" w:hanging="360"/>
      </w:pPr>
      <w:rPr>
        <w:rFonts w:ascii="Symbol" w:hAnsi="Symbol" w:hint="default"/>
      </w:rPr>
    </w:lvl>
    <w:lvl w:ilvl="7" w:tplc="4760ADE0">
      <w:start w:val="1"/>
      <w:numFmt w:val="bullet"/>
      <w:lvlText w:val="o"/>
      <w:lvlJc w:val="left"/>
      <w:pPr>
        <w:ind w:left="5760" w:hanging="360"/>
      </w:pPr>
      <w:rPr>
        <w:rFonts w:ascii="Courier New" w:hAnsi="Courier New" w:hint="default"/>
      </w:rPr>
    </w:lvl>
    <w:lvl w:ilvl="8" w:tplc="084A6BAA">
      <w:start w:val="1"/>
      <w:numFmt w:val="bullet"/>
      <w:lvlText w:val=""/>
      <w:lvlJc w:val="left"/>
      <w:pPr>
        <w:ind w:left="6480" w:hanging="360"/>
      </w:pPr>
      <w:rPr>
        <w:rFonts w:ascii="Wingdings" w:hAnsi="Wingdings" w:hint="default"/>
      </w:rPr>
    </w:lvl>
  </w:abstractNum>
  <w:abstractNum w:abstractNumId="35"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E950A"/>
    <w:multiLevelType w:val="hybridMultilevel"/>
    <w:tmpl w:val="FFFFFFFF"/>
    <w:lvl w:ilvl="0" w:tplc="8B3C091E">
      <w:start w:val="1"/>
      <w:numFmt w:val="bullet"/>
      <w:lvlText w:val=""/>
      <w:lvlJc w:val="left"/>
      <w:pPr>
        <w:ind w:left="720" w:hanging="360"/>
      </w:pPr>
      <w:rPr>
        <w:rFonts w:ascii="Symbol" w:hAnsi="Symbol" w:hint="default"/>
      </w:rPr>
    </w:lvl>
    <w:lvl w:ilvl="1" w:tplc="0B2291F6">
      <w:start w:val="1"/>
      <w:numFmt w:val="bullet"/>
      <w:lvlText w:val="o"/>
      <w:lvlJc w:val="left"/>
      <w:pPr>
        <w:ind w:left="1440" w:hanging="360"/>
      </w:pPr>
      <w:rPr>
        <w:rFonts w:ascii="Courier New" w:hAnsi="Courier New" w:hint="default"/>
      </w:rPr>
    </w:lvl>
    <w:lvl w:ilvl="2" w:tplc="2730BCAA">
      <w:start w:val="1"/>
      <w:numFmt w:val="bullet"/>
      <w:lvlText w:val=""/>
      <w:lvlJc w:val="left"/>
      <w:pPr>
        <w:ind w:left="2160" w:hanging="360"/>
      </w:pPr>
      <w:rPr>
        <w:rFonts w:ascii="Wingdings" w:hAnsi="Wingdings" w:hint="default"/>
      </w:rPr>
    </w:lvl>
    <w:lvl w:ilvl="3" w:tplc="678CDEF8">
      <w:start w:val="1"/>
      <w:numFmt w:val="bullet"/>
      <w:lvlText w:val=""/>
      <w:lvlJc w:val="left"/>
      <w:pPr>
        <w:ind w:left="2880" w:hanging="360"/>
      </w:pPr>
      <w:rPr>
        <w:rFonts w:ascii="Symbol" w:hAnsi="Symbol" w:hint="default"/>
      </w:rPr>
    </w:lvl>
    <w:lvl w:ilvl="4" w:tplc="94F400DA">
      <w:start w:val="1"/>
      <w:numFmt w:val="bullet"/>
      <w:lvlText w:val="o"/>
      <w:lvlJc w:val="left"/>
      <w:pPr>
        <w:ind w:left="3600" w:hanging="360"/>
      </w:pPr>
      <w:rPr>
        <w:rFonts w:ascii="Courier New" w:hAnsi="Courier New" w:hint="default"/>
      </w:rPr>
    </w:lvl>
    <w:lvl w:ilvl="5" w:tplc="0548076E">
      <w:start w:val="1"/>
      <w:numFmt w:val="bullet"/>
      <w:lvlText w:val=""/>
      <w:lvlJc w:val="left"/>
      <w:pPr>
        <w:ind w:left="4320" w:hanging="360"/>
      </w:pPr>
      <w:rPr>
        <w:rFonts w:ascii="Wingdings" w:hAnsi="Wingdings" w:hint="default"/>
      </w:rPr>
    </w:lvl>
    <w:lvl w:ilvl="6" w:tplc="69ECF9D0">
      <w:start w:val="1"/>
      <w:numFmt w:val="bullet"/>
      <w:lvlText w:val=""/>
      <w:lvlJc w:val="left"/>
      <w:pPr>
        <w:ind w:left="5040" w:hanging="360"/>
      </w:pPr>
      <w:rPr>
        <w:rFonts w:ascii="Symbol" w:hAnsi="Symbol" w:hint="default"/>
      </w:rPr>
    </w:lvl>
    <w:lvl w:ilvl="7" w:tplc="502870A2">
      <w:start w:val="1"/>
      <w:numFmt w:val="bullet"/>
      <w:lvlText w:val="o"/>
      <w:lvlJc w:val="left"/>
      <w:pPr>
        <w:ind w:left="5760" w:hanging="360"/>
      </w:pPr>
      <w:rPr>
        <w:rFonts w:ascii="Courier New" w:hAnsi="Courier New" w:hint="default"/>
      </w:rPr>
    </w:lvl>
    <w:lvl w:ilvl="8" w:tplc="7D1CF7F0">
      <w:start w:val="1"/>
      <w:numFmt w:val="bullet"/>
      <w:lvlText w:val=""/>
      <w:lvlJc w:val="left"/>
      <w:pPr>
        <w:ind w:left="6480" w:hanging="360"/>
      </w:pPr>
      <w:rPr>
        <w:rFonts w:ascii="Wingdings" w:hAnsi="Wingdings" w:hint="default"/>
      </w:rPr>
    </w:lvl>
  </w:abstractNum>
  <w:abstractNum w:abstractNumId="38" w15:restartNumberingAfterBreak="0">
    <w:nsid w:val="767E1B99"/>
    <w:multiLevelType w:val="hybridMultilevel"/>
    <w:tmpl w:val="13505A02"/>
    <w:lvl w:ilvl="0" w:tplc="5F9E9B8C">
      <w:numFmt w:val="bullet"/>
      <w:lvlText w:val="-"/>
      <w:lvlJc w:val="left"/>
      <w:pPr>
        <w:ind w:left="1920" w:hanging="360"/>
      </w:pPr>
      <w:rPr>
        <w:rFonts w:ascii="Verdana" w:eastAsia="Times New Roman" w:hAnsi="Verdana" w:cs="Times New Roman" w:hint="default"/>
        <w:b w:val="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D69BE"/>
    <w:multiLevelType w:val="hybridMultilevel"/>
    <w:tmpl w:val="DBF4DE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364554186">
    <w:abstractNumId w:val="16"/>
  </w:num>
  <w:num w:numId="2" w16cid:durableId="1234583929">
    <w:abstractNumId w:val="33"/>
  </w:num>
  <w:num w:numId="3" w16cid:durableId="812714997">
    <w:abstractNumId w:val="10"/>
  </w:num>
  <w:num w:numId="4" w16cid:durableId="1443767745">
    <w:abstractNumId w:val="8"/>
  </w:num>
  <w:num w:numId="5" w16cid:durableId="839348409">
    <w:abstractNumId w:val="34"/>
  </w:num>
  <w:num w:numId="6" w16cid:durableId="1594512049">
    <w:abstractNumId w:val="2"/>
  </w:num>
  <w:num w:numId="7" w16cid:durableId="1210414404">
    <w:abstractNumId w:val="26"/>
  </w:num>
  <w:num w:numId="8" w16cid:durableId="840466284">
    <w:abstractNumId w:val="36"/>
  </w:num>
  <w:num w:numId="9" w16cid:durableId="1741781423">
    <w:abstractNumId w:val="20"/>
  </w:num>
  <w:num w:numId="10" w16cid:durableId="1221014746">
    <w:abstractNumId w:val="31"/>
  </w:num>
  <w:num w:numId="11" w16cid:durableId="1588421984">
    <w:abstractNumId w:val="18"/>
  </w:num>
  <w:num w:numId="12" w16cid:durableId="208420373">
    <w:abstractNumId w:val="35"/>
  </w:num>
  <w:num w:numId="13" w16cid:durableId="45885272">
    <w:abstractNumId w:val="6"/>
  </w:num>
  <w:num w:numId="14" w16cid:durableId="1071660071">
    <w:abstractNumId w:val="27"/>
  </w:num>
  <w:num w:numId="15" w16cid:durableId="1489638177">
    <w:abstractNumId w:val="17"/>
  </w:num>
  <w:num w:numId="16" w16cid:durableId="1056395112">
    <w:abstractNumId w:val="22"/>
  </w:num>
  <w:num w:numId="17" w16cid:durableId="369457831">
    <w:abstractNumId w:val="12"/>
  </w:num>
  <w:num w:numId="18" w16cid:durableId="932015639">
    <w:abstractNumId w:val="28"/>
  </w:num>
  <w:num w:numId="19" w16cid:durableId="1538546057">
    <w:abstractNumId w:val="25"/>
  </w:num>
  <w:num w:numId="20" w16cid:durableId="963774025">
    <w:abstractNumId w:val="14"/>
  </w:num>
  <w:num w:numId="21" w16cid:durableId="767390003">
    <w:abstractNumId w:val="21"/>
  </w:num>
  <w:num w:numId="22" w16cid:durableId="403112380">
    <w:abstractNumId w:val="13"/>
  </w:num>
  <w:num w:numId="23" w16cid:durableId="800850362">
    <w:abstractNumId w:val="32"/>
  </w:num>
  <w:num w:numId="24" w16cid:durableId="1762138286">
    <w:abstractNumId w:val="3"/>
  </w:num>
  <w:num w:numId="25" w16cid:durableId="868906747">
    <w:abstractNumId w:val="0"/>
  </w:num>
  <w:num w:numId="26" w16cid:durableId="359163306">
    <w:abstractNumId w:val="38"/>
  </w:num>
  <w:num w:numId="27" w16cid:durableId="686296773">
    <w:abstractNumId w:val="24"/>
  </w:num>
  <w:num w:numId="28" w16cid:durableId="835657315">
    <w:abstractNumId w:val="15"/>
  </w:num>
  <w:num w:numId="29" w16cid:durableId="982084659">
    <w:abstractNumId w:val="37"/>
  </w:num>
  <w:num w:numId="30" w16cid:durableId="1182011783">
    <w:abstractNumId w:val="14"/>
  </w:num>
  <w:num w:numId="31" w16cid:durableId="1385258389">
    <w:abstractNumId w:val="19"/>
  </w:num>
  <w:num w:numId="32" w16cid:durableId="1619028773">
    <w:abstractNumId w:val="30"/>
  </w:num>
  <w:num w:numId="33" w16cid:durableId="255284637">
    <w:abstractNumId w:val="23"/>
  </w:num>
  <w:num w:numId="34" w16cid:durableId="1496412840">
    <w:abstractNumId w:val="5"/>
  </w:num>
  <w:num w:numId="35" w16cid:durableId="1680767571">
    <w:abstractNumId w:val="14"/>
  </w:num>
  <w:num w:numId="36" w16cid:durableId="1270619988">
    <w:abstractNumId w:val="28"/>
  </w:num>
  <w:num w:numId="37" w16cid:durableId="346954162">
    <w:abstractNumId w:val="28"/>
    <w:lvlOverride w:ilvl="0">
      <w:startOverride w:val="1"/>
    </w:lvlOverride>
  </w:num>
  <w:num w:numId="38" w16cid:durableId="580605887">
    <w:abstractNumId w:val="14"/>
  </w:num>
  <w:num w:numId="39" w16cid:durableId="544027490">
    <w:abstractNumId w:val="28"/>
    <w:lvlOverride w:ilvl="0">
      <w:startOverride w:val="1"/>
    </w:lvlOverride>
  </w:num>
  <w:num w:numId="40" w16cid:durableId="1034966526">
    <w:abstractNumId w:val="14"/>
  </w:num>
  <w:num w:numId="41" w16cid:durableId="1566138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1974657">
    <w:abstractNumId w:val="14"/>
  </w:num>
  <w:num w:numId="43" w16cid:durableId="1477067799">
    <w:abstractNumId w:val="14"/>
  </w:num>
  <w:num w:numId="44" w16cid:durableId="1637369747">
    <w:abstractNumId w:val="14"/>
  </w:num>
  <w:num w:numId="45" w16cid:durableId="225141799">
    <w:abstractNumId w:val="29"/>
  </w:num>
  <w:num w:numId="46" w16cid:durableId="220989254">
    <w:abstractNumId w:val="14"/>
  </w:num>
  <w:num w:numId="47" w16cid:durableId="748423906">
    <w:abstractNumId w:val="14"/>
  </w:num>
  <w:num w:numId="48" w16cid:durableId="763572125">
    <w:abstractNumId w:val="14"/>
  </w:num>
  <w:num w:numId="49" w16cid:durableId="873732282">
    <w:abstractNumId w:val="14"/>
  </w:num>
  <w:num w:numId="50" w16cid:durableId="1335910774">
    <w:abstractNumId w:val="14"/>
  </w:num>
  <w:num w:numId="51" w16cid:durableId="853498042">
    <w:abstractNumId w:val="14"/>
  </w:num>
  <w:num w:numId="52" w16cid:durableId="655575892">
    <w:abstractNumId w:val="11"/>
  </w:num>
  <w:num w:numId="53" w16cid:durableId="1399085262">
    <w:abstractNumId w:val="14"/>
  </w:num>
  <w:num w:numId="54" w16cid:durableId="1194805518">
    <w:abstractNumId w:val="4"/>
  </w:num>
  <w:num w:numId="55" w16cid:durableId="899363964">
    <w:abstractNumId w:val="39"/>
  </w:num>
  <w:num w:numId="56" w16cid:durableId="1313098917">
    <w:abstractNumId w:val="1"/>
  </w:num>
  <w:num w:numId="57" w16cid:durableId="1797411468">
    <w:abstractNumId w:val="14"/>
  </w:num>
  <w:num w:numId="58" w16cid:durableId="194329466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activeWritingStyle w:appName="MSWord" w:lang="en-GB" w:vendorID="64" w:dllVersion="6" w:nlCheck="1" w:checkStyle="0"/>
  <w:activeWritingStyle w:appName="MSWord" w:lang="fr-FR" w:vendorID="64" w:dllVersion="0" w:nlCheck="1" w:checkStyle="0"/>
  <w:activeWritingStyle w:appName="MSWord" w:lang="fr-FR" w:vendorID="64" w:dllVersion="6" w:nlCheck="1" w:checkStyle="0"/>
  <w:activeWritingStyle w:appName="MSWord" w:lang="it-IT" w:vendorID="64" w:dllVersion="6"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170"/>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gNum" w:val="1"/>
    <w:docVar w:name="LW_DocType" w:val="NORMAL"/>
  </w:docVars>
  <w:rsids>
    <w:rsidRoot w:val="00884FEB"/>
    <w:rsid w:val="000001EC"/>
    <w:rsid w:val="00000255"/>
    <w:rsid w:val="00000347"/>
    <w:rsid w:val="00000F70"/>
    <w:rsid w:val="00001625"/>
    <w:rsid w:val="000017CA"/>
    <w:rsid w:val="000017F3"/>
    <w:rsid w:val="00001AF1"/>
    <w:rsid w:val="00001BF2"/>
    <w:rsid w:val="000020E5"/>
    <w:rsid w:val="00002740"/>
    <w:rsid w:val="00002933"/>
    <w:rsid w:val="00002E14"/>
    <w:rsid w:val="000032AA"/>
    <w:rsid w:val="000037CF"/>
    <w:rsid w:val="0000410C"/>
    <w:rsid w:val="00004478"/>
    <w:rsid w:val="000044B7"/>
    <w:rsid w:val="00004542"/>
    <w:rsid w:val="000046BB"/>
    <w:rsid w:val="00004978"/>
    <w:rsid w:val="00004D21"/>
    <w:rsid w:val="00004FE8"/>
    <w:rsid w:val="00005078"/>
    <w:rsid w:val="00005765"/>
    <w:rsid w:val="00005C5F"/>
    <w:rsid w:val="00005FAC"/>
    <w:rsid w:val="00005FFC"/>
    <w:rsid w:val="00007605"/>
    <w:rsid w:val="0000798F"/>
    <w:rsid w:val="00007D0D"/>
    <w:rsid w:val="00007F45"/>
    <w:rsid w:val="000100F8"/>
    <w:rsid w:val="00010124"/>
    <w:rsid w:val="0001047F"/>
    <w:rsid w:val="00010789"/>
    <w:rsid w:val="00010B91"/>
    <w:rsid w:val="00010C22"/>
    <w:rsid w:val="00011249"/>
    <w:rsid w:val="00011545"/>
    <w:rsid w:val="00011BD0"/>
    <w:rsid w:val="00011ED2"/>
    <w:rsid w:val="00012003"/>
    <w:rsid w:val="000120EB"/>
    <w:rsid w:val="0001246D"/>
    <w:rsid w:val="000130F3"/>
    <w:rsid w:val="00013A9B"/>
    <w:rsid w:val="00013B48"/>
    <w:rsid w:val="00014449"/>
    <w:rsid w:val="00014890"/>
    <w:rsid w:val="00014DC3"/>
    <w:rsid w:val="0001573B"/>
    <w:rsid w:val="0001693F"/>
    <w:rsid w:val="0001796E"/>
    <w:rsid w:val="00017C4C"/>
    <w:rsid w:val="00020200"/>
    <w:rsid w:val="00020516"/>
    <w:rsid w:val="00020857"/>
    <w:rsid w:val="0002085A"/>
    <w:rsid w:val="00020AF9"/>
    <w:rsid w:val="00020CE8"/>
    <w:rsid w:val="0002120E"/>
    <w:rsid w:val="0002157C"/>
    <w:rsid w:val="00021A05"/>
    <w:rsid w:val="00021D77"/>
    <w:rsid w:val="0002264E"/>
    <w:rsid w:val="0002267E"/>
    <w:rsid w:val="000227D4"/>
    <w:rsid w:val="00023102"/>
    <w:rsid w:val="000232E2"/>
    <w:rsid w:val="00023383"/>
    <w:rsid w:val="00023DF1"/>
    <w:rsid w:val="000242CC"/>
    <w:rsid w:val="000243CE"/>
    <w:rsid w:val="000247E1"/>
    <w:rsid w:val="00024EB8"/>
    <w:rsid w:val="0002506D"/>
    <w:rsid w:val="00025B2A"/>
    <w:rsid w:val="000260E4"/>
    <w:rsid w:val="0002618A"/>
    <w:rsid w:val="000263A8"/>
    <w:rsid w:val="0002657F"/>
    <w:rsid w:val="00027235"/>
    <w:rsid w:val="00032596"/>
    <w:rsid w:val="000326C1"/>
    <w:rsid w:val="00032C91"/>
    <w:rsid w:val="00032D36"/>
    <w:rsid w:val="0003330C"/>
    <w:rsid w:val="00033B7C"/>
    <w:rsid w:val="00033C55"/>
    <w:rsid w:val="00033F40"/>
    <w:rsid w:val="00033FB5"/>
    <w:rsid w:val="00034431"/>
    <w:rsid w:val="0003454D"/>
    <w:rsid w:val="00034834"/>
    <w:rsid w:val="00035446"/>
    <w:rsid w:val="0003566D"/>
    <w:rsid w:val="000359E1"/>
    <w:rsid w:val="000359E7"/>
    <w:rsid w:val="000364CE"/>
    <w:rsid w:val="00037093"/>
    <w:rsid w:val="000371EB"/>
    <w:rsid w:val="0003741A"/>
    <w:rsid w:val="000377CC"/>
    <w:rsid w:val="00037A99"/>
    <w:rsid w:val="00037FCC"/>
    <w:rsid w:val="00041098"/>
    <w:rsid w:val="000412EA"/>
    <w:rsid w:val="00041480"/>
    <w:rsid w:val="00041815"/>
    <w:rsid w:val="00042048"/>
    <w:rsid w:val="00042EDA"/>
    <w:rsid w:val="000433C4"/>
    <w:rsid w:val="000436D4"/>
    <w:rsid w:val="000436ED"/>
    <w:rsid w:val="000438C0"/>
    <w:rsid w:val="00045036"/>
    <w:rsid w:val="000452C6"/>
    <w:rsid w:val="0004590F"/>
    <w:rsid w:val="00045B43"/>
    <w:rsid w:val="00046C03"/>
    <w:rsid w:val="00047351"/>
    <w:rsid w:val="00047D4B"/>
    <w:rsid w:val="00047DF6"/>
    <w:rsid w:val="000503D6"/>
    <w:rsid w:val="00050827"/>
    <w:rsid w:val="00051BC5"/>
    <w:rsid w:val="00052B23"/>
    <w:rsid w:val="00052BD1"/>
    <w:rsid w:val="00052CAE"/>
    <w:rsid w:val="00052FEA"/>
    <w:rsid w:val="000530BC"/>
    <w:rsid w:val="0005330F"/>
    <w:rsid w:val="00053B6B"/>
    <w:rsid w:val="00053D80"/>
    <w:rsid w:val="0005400A"/>
    <w:rsid w:val="00054466"/>
    <w:rsid w:val="00054657"/>
    <w:rsid w:val="00054879"/>
    <w:rsid w:val="000548A2"/>
    <w:rsid w:val="00056016"/>
    <w:rsid w:val="0005609F"/>
    <w:rsid w:val="000565B6"/>
    <w:rsid w:val="00056798"/>
    <w:rsid w:val="00056C0F"/>
    <w:rsid w:val="00056C8D"/>
    <w:rsid w:val="00057154"/>
    <w:rsid w:val="00057362"/>
    <w:rsid w:val="00057409"/>
    <w:rsid w:val="0005746D"/>
    <w:rsid w:val="00057D6D"/>
    <w:rsid w:val="0006024F"/>
    <w:rsid w:val="00061688"/>
    <w:rsid w:val="0006190C"/>
    <w:rsid w:val="00061E48"/>
    <w:rsid w:val="00062A1F"/>
    <w:rsid w:val="00063085"/>
    <w:rsid w:val="00063B3F"/>
    <w:rsid w:val="00064998"/>
    <w:rsid w:val="000657EB"/>
    <w:rsid w:val="00065992"/>
    <w:rsid w:val="00065E3E"/>
    <w:rsid w:val="0006666B"/>
    <w:rsid w:val="000674B5"/>
    <w:rsid w:val="000677A2"/>
    <w:rsid w:val="00067DC1"/>
    <w:rsid w:val="00067EEA"/>
    <w:rsid w:val="00070256"/>
    <w:rsid w:val="00070929"/>
    <w:rsid w:val="00070AF9"/>
    <w:rsid w:val="00070E18"/>
    <w:rsid w:val="00071341"/>
    <w:rsid w:val="000716F4"/>
    <w:rsid w:val="0007219C"/>
    <w:rsid w:val="00072873"/>
    <w:rsid w:val="00073679"/>
    <w:rsid w:val="00074102"/>
    <w:rsid w:val="00074197"/>
    <w:rsid w:val="00074C77"/>
    <w:rsid w:val="00075157"/>
    <w:rsid w:val="000757AF"/>
    <w:rsid w:val="000758FE"/>
    <w:rsid w:val="00075B51"/>
    <w:rsid w:val="00075B7C"/>
    <w:rsid w:val="00075E67"/>
    <w:rsid w:val="00076091"/>
    <w:rsid w:val="00076880"/>
    <w:rsid w:val="00076B74"/>
    <w:rsid w:val="00076C2A"/>
    <w:rsid w:val="000773CD"/>
    <w:rsid w:val="000776CE"/>
    <w:rsid w:val="00077C5F"/>
    <w:rsid w:val="00077CD9"/>
    <w:rsid w:val="00077E3B"/>
    <w:rsid w:val="00080000"/>
    <w:rsid w:val="00080F38"/>
    <w:rsid w:val="0008111C"/>
    <w:rsid w:val="0008112B"/>
    <w:rsid w:val="0008126E"/>
    <w:rsid w:val="000812D4"/>
    <w:rsid w:val="000815DE"/>
    <w:rsid w:val="00081872"/>
    <w:rsid w:val="00081D2C"/>
    <w:rsid w:val="00082265"/>
    <w:rsid w:val="000828C6"/>
    <w:rsid w:val="000831EA"/>
    <w:rsid w:val="0008380B"/>
    <w:rsid w:val="00084215"/>
    <w:rsid w:val="000843B3"/>
    <w:rsid w:val="00084486"/>
    <w:rsid w:val="00084A4D"/>
    <w:rsid w:val="00084E12"/>
    <w:rsid w:val="000858A9"/>
    <w:rsid w:val="00085BB9"/>
    <w:rsid w:val="00085D0C"/>
    <w:rsid w:val="00085E27"/>
    <w:rsid w:val="00085E79"/>
    <w:rsid w:val="0008615C"/>
    <w:rsid w:val="00086C6E"/>
    <w:rsid w:val="00087700"/>
    <w:rsid w:val="00087903"/>
    <w:rsid w:val="00087B2B"/>
    <w:rsid w:val="00087E1A"/>
    <w:rsid w:val="0009034B"/>
    <w:rsid w:val="000903FA"/>
    <w:rsid w:val="000904F3"/>
    <w:rsid w:val="000905EA"/>
    <w:rsid w:val="00091017"/>
    <w:rsid w:val="0009195D"/>
    <w:rsid w:val="00091E6A"/>
    <w:rsid w:val="00092F67"/>
    <w:rsid w:val="00093686"/>
    <w:rsid w:val="0009392E"/>
    <w:rsid w:val="00093C6A"/>
    <w:rsid w:val="00093EE3"/>
    <w:rsid w:val="00094D25"/>
    <w:rsid w:val="00095191"/>
    <w:rsid w:val="000951ED"/>
    <w:rsid w:val="0009552F"/>
    <w:rsid w:val="000961AD"/>
    <w:rsid w:val="00096566"/>
    <w:rsid w:val="000973E0"/>
    <w:rsid w:val="0009761E"/>
    <w:rsid w:val="000978F0"/>
    <w:rsid w:val="00097A17"/>
    <w:rsid w:val="00097C81"/>
    <w:rsid w:val="00097E91"/>
    <w:rsid w:val="000A1955"/>
    <w:rsid w:val="000A1A8A"/>
    <w:rsid w:val="000A2943"/>
    <w:rsid w:val="000A3491"/>
    <w:rsid w:val="000A3B1A"/>
    <w:rsid w:val="000A3DA4"/>
    <w:rsid w:val="000A3EBB"/>
    <w:rsid w:val="000A4B61"/>
    <w:rsid w:val="000A4C10"/>
    <w:rsid w:val="000A57BC"/>
    <w:rsid w:val="000A67F9"/>
    <w:rsid w:val="000A701A"/>
    <w:rsid w:val="000A7A58"/>
    <w:rsid w:val="000A7B4B"/>
    <w:rsid w:val="000A7D27"/>
    <w:rsid w:val="000A7D79"/>
    <w:rsid w:val="000A7FA8"/>
    <w:rsid w:val="000B0385"/>
    <w:rsid w:val="000B039B"/>
    <w:rsid w:val="000B09F9"/>
    <w:rsid w:val="000B0B09"/>
    <w:rsid w:val="000B0E46"/>
    <w:rsid w:val="000B0EBE"/>
    <w:rsid w:val="000B13A1"/>
    <w:rsid w:val="000B22DD"/>
    <w:rsid w:val="000B2300"/>
    <w:rsid w:val="000B25E8"/>
    <w:rsid w:val="000B283D"/>
    <w:rsid w:val="000B2C17"/>
    <w:rsid w:val="000B33E8"/>
    <w:rsid w:val="000B3C33"/>
    <w:rsid w:val="000B3D3C"/>
    <w:rsid w:val="000B3E00"/>
    <w:rsid w:val="000B40FA"/>
    <w:rsid w:val="000B4114"/>
    <w:rsid w:val="000B4334"/>
    <w:rsid w:val="000B487B"/>
    <w:rsid w:val="000B4F9A"/>
    <w:rsid w:val="000B5854"/>
    <w:rsid w:val="000B59E1"/>
    <w:rsid w:val="000B5A24"/>
    <w:rsid w:val="000B5B6D"/>
    <w:rsid w:val="000B6133"/>
    <w:rsid w:val="000B61AE"/>
    <w:rsid w:val="000B63E1"/>
    <w:rsid w:val="000B64AE"/>
    <w:rsid w:val="000B6A14"/>
    <w:rsid w:val="000B6E03"/>
    <w:rsid w:val="000B70E1"/>
    <w:rsid w:val="000B710D"/>
    <w:rsid w:val="000B73C4"/>
    <w:rsid w:val="000B7444"/>
    <w:rsid w:val="000C0127"/>
    <w:rsid w:val="000C0914"/>
    <w:rsid w:val="000C0A34"/>
    <w:rsid w:val="000C1A56"/>
    <w:rsid w:val="000C24B5"/>
    <w:rsid w:val="000C29A3"/>
    <w:rsid w:val="000C30A6"/>
    <w:rsid w:val="000C33BA"/>
    <w:rsid w:val="000C4A6C"/>
    <w:rsid w:val="000C527F"/>
    <w:rsid w:val="000C574D"/>
    <w:rsid w:val="000C57A3"/>
    <w:rsid w:val="000C5A1A"/>
    <w:rsid w:val="000C5AE6"/>
    <w:rsid w:val="000C5EA7"/>
    <w:rsid w:val="000C5FB6"/>
    <w:rsid w:val="000C6096"/>
    <w:rsid w:val="000C632D"/>
    <w:rsid w:val="000C6510"/>
    <w:rsid w:val="000C6938"/>
    <w:rsid w:val="000C6B7B"/>
    <w:rsid w:val="000C72FC"/>
    <w:rsid w:val="000C7632"/>
    <w:rsid w:val="000C793F"/>
    <w:rsid w:val="000C7EAA"/>
    <w:rsid w:val="000D017F"/>
    <w:rsid w:val="000D0241"/>
    <w:rsid w:val="000D0818"/>
    <w:rsid w:val="000D094C"/>
    <w:rsid w:val="000D0B56"/>
    <w:rsid w:val="000D0F26"/>
    <w:rsid w:val="000D194E"/>
    <w:rsid w:val="000D220D"/>
    <w:rsid w:val="000D2345"/>
    <w:rsid w:val="000D2BF6"/>
    <w:rsid w:val="000D3078"/>
    <w:rsid w:val="000D3636"/>
    <w:rsid w:val="000D399F"/>
    <w:rsid w:val="000D3CBC"/>
    <w:rsid w:val="000D3F54"/>
    <w:rsid w:val="000D4352"/>
    <w:rsid w:val="000D44F9"/>
    <w:rsid w:val="000D5147"/>
    <w:rsid w:val="000D5292"/>
    <w:rsid w:val="000D54BC"/>
    <w:rsid w:val="000D5958"/>
    <w:rsid w:val="000D6402"/>
    <w:rsid w:val="000D65C6"/>
    <w:rsid w:val="000D6B1D"/>
    <w:rsid w:val="000D6B9B"/>
    <w:rsid w:val="000D7761"/>
    <w:rsid w:val="000E070F"/>
    <w:rsid w:val="000E093A"/>
    <w:rsid w:val="000E1572"/>
    <w:rsid w:val="000E2040"/>
    <w:rsid w:val="000E2376"/>
    <w:rsid w:val="000E2544"/>
    <w:rsid w:val="000E2656"/>
    <w:rsid w:val="000E2774"/>
    <w:rsid w:val="000E29C9"/>
    <w:rsid w:val="000E3F99"/>
    <w:rsid w:val="000E3FE9"/>
    <w:rsid w:val="000E40DD"/>
    <w:rsid w:val="000E4320"/>
    <w:rsid w:val="000E45CE"/>
    <w:rsid w:val="000E45E1"/>
    <w:rsid w:val="000E4B19"/>
    <w:rsid w:val="000E6835"/>
    <w:rsid w:val="000E6DAB"/>
    <w:rsid w:val="000E7BA8"/>
    <w:rsid w:val="000E7E8D"/>
    <w:rsid w:val="000E7F08"/>
    <w:rsid w:val="000F11B2"/>
    <w:rsid w:val="000F13F9"/>
    <w:rsid w:val="000F1693"/>
    <w:rsid w:val="000F1CEA"/>
    <w:rsid w:val="000F2425"/>
    <w:rsid w:val="000F2525"/>
    <w:rsid w:val="000F27A0"/>
    <w:rsid w:val="000F2DDB"/>
    <w:rsid w:val="000F2EC8"/>
    <w:rsid w:val="000F2F09"/>
    <w:rsid w:val="000F2F1C"/>
    <w:rsid w:val="000F33AF"/>
    <w:rsid w:val="000F435D"/>
    <w:rsid w:val="000F46D5"/>
    <w:rsid w:val="000F4702"/>
    <w:rsid w:val="000F4BE5"/>
    <w:rsid w:val="000F5488"/>
    <w:rsid w:val="000F594C"/>
    <w:rsid w:val="000F5DC4"/>
    <w:rsid w:val="000F6A80"/>
    <w:rsid w:val="000F6AC5"/>
    <w:rsid w:val="000F6B25"/>
    <w:rsid w:val="000F6FA4"/>
    <w:rsid w:val="000F7045"/>
    <w:rsid w:val="000F70EC"/>
    <w:rsid w:val="0010023B"/>
    <w:rsid w:val="0010123F"/>
    <w:rsid w:val="001012EE"/>
    <w:rsid w:val="0010177C"/>
    <w:rsid w:val="00101DA5"/>
    <w:rsid w:val="0010202C"/>
    <w:rsid w:val="00102143"/>
    <w:rsid w:val="0010250F"/>
    <w:rsid w:val="00102854"/>
    <w:rsid w:val="00102C6F"/>
    <w:rsid w:val="00102D76"/>
    <w:rsid w:val="00103272"/>
    <w:rsid w:val="00103455"/>
    <w:rsid w:val="00104370"/>
    <w:rsid w:val="00104498"/>
    <w:rsid w:val="0010455D"/>
    <w:rsid w:val="0010469E"/>
    <w:rsid w:val="00104A65"/>
    <w:rsid w:val="00105129"/>
    <w:rsid w:val="0010559F"/>
    <w:rsid w:val="001056E7"/>
    <w:rsid w:val="0010605A"/>
    <w:rsid w:val="001067A8"/>
    <w:rsid w:val="0010696B"/>
    <w:rsid w:val="00106A64"/>
    <w:rsid w:val="00106FC5"/>
    <w:rsid w:val="00107909"/>
    <w:rsid w:val="00107EC5"/>
    <w:rsid w:val="0011053A"/>
    <w:rsid w:val="0011071C"/>
    <w:rsid w:val="00110744"/>
    <w:rsid w:val="0011087F"/>
    <w:rsid w:val="00110F40"/>
    <w:rsid w:val="00111121"/>
    <w:rsid w:val="00111897"/>
    <w:rsid w:val="00112503"/>
    <w:rsid w:val="0011278F"/>
    <w:rsid w:val="00112D6B"/>
    <w:rsid w:val="00112EED"/>
    <w:rsid w:val="0011328F"/>
    <w:rsid w:val="00113E45"/>
    <w:rsid w:val="00113EA5"/>
    <w:rsid w:val="00113EA6"/>
    <w:rsid w:val="0011439F"/>
    <w:rsid w:val="0011473F"/>
    <w:rsid w:val="00114CDB"/>
    <w:rsid w:val="00115189"/>
    <w:rsid w:val="001151C1"/>
    <w:rsid w:val="0011539B"/>
    <w:rsid w:val="00115685"/>
    <w:rsid w:val="00116CB5"/>
    <w:rsid w:val="0011705A"/>
    <w:rsid w:val="0011764A"/>
    <w:rsid w:val="00117DF0"/>
    <w:rsid w:val="0012049B"/>
    <w:rsid w:val="001219C2"/>
    <w:rsid w:val="0012243D"/>
    <w:rsid w:val="001229A0"/>
    <w:rsid w:val="00122CFD"/>
    <w:rsid w:val="00122FE0"/>
    <w:rsid w:val="00123D0E"/>
    <w:rsid w:val="00124A44"/>
    <w:rsid w:val="00124B85"/>
    <w:rsid w:val="00125098"/>
    <w:rsid w:val="001250CC"/>
    <w:rsid w:val="001254F4"/>
    <w:rsid w:val="00125707"/>
    <w:rsid w:val="00125D44"/>
    <w:rsid w:val="00125DEE"/>
    <w:rsid w:val="00126395"/>
    <w:rsid w:val="001273B5"/>
    <w:rsid w:val="00127986"/>
    <w:rsid w:val="00127E36"/>
    <w:rsid w:val="00130586"/>
    <w:rsid w:val="00130667"/>
    <w:rsid w:val="001306BE"/>
    <w:rsid w:val="00130BF0"/>
    <w:rsid w:val="00130EEF"/>
    <w:rsid w:val="00131E53"/>
    <w:rsid w:val="001323BF"/>
    <w:rsid w:val="001324A7"/>
    <w:rsid w:val="001324F3"/>
    <w:rsid w:val="00132778"/>
    <w:rsid w:val="00132785"/>
    <w:rsid w:val="00132D74"/>
    <w:rsid w:val="00133107"/>
    <w:rsid w:val="001331F5"/>
    <w:rsid w:val="00133396"/>
    <w:rsid w:val="00133785"/>
    <w:rsid w:val="00133AC1"/>
    <w:rsid w:val="001350BB"/>
    <w:rsid w:val="00136316"/>
    <w:rsid w:val="00136376"/>
    <w:rsid w:val="00137071"/>
    <w:rsid w:val="00137AC5"/>
    <w:rsid w:val="001402DB"/>
    <w:rsid w:val="001409D9"/>
    <w:rsid w:val="00140F6E"/>
    <w:rsid w:val="001410B4"/>
    <w:rsid w:val="00141DD1"/>
    <w:rsid w:val="00142917"/>
    <w:rsid w:val="00142A0F"/>
    <w:rsid w:val="001432EE"/>
    <w:rsid w:val="00143965"/>
    <w:rsid w:val="001443AF"/>
    <w:rsid w:val="00144F03"/>
    <w:rsid w:val="00145176"/>
    <w:rsid w:val="00145EAA"/>
    <w:rsid w:val="0014657C"/>
    <w:rsid w:val="00146D50"/>
    <w:rsid w:val="00146F71"/>
    <w:rsid w:val="001472FB"/>
    <w:rsid w:val="001474E0"/>
    <w:rsid w:val="00147AE0"/>
    <w:rsid w:val="0015008C"/>
    <w:rsid w:val="001505E7"/>
    <w:rsid w:val="001509CA"/>
    <w:rsid w:val="00150A00"/>
    <w:rsid w:val="00151071"/>
    <w:rsid w:val="0015109C"/>
    <w:rsid w:val="00151B44"/>
    <w:rsid w:val="00151BBB"/>
    <w:rsid w:val="00151D8A"/>
    <w:rsid w:val="0015288B"/>
    <w:rsid w:val="00152985"/>
    <w:rsid w:val="00152B33"/>
    <w:rsid w:val="00153BEC"/>
    <w:rsid w:val="00153EC0"/>
    <w:rsid w:val="0015448C"/>
    <w:rsid w:val="0015481E"/>
    <w:rsid w:val="00154859"/>
    <w:rsid w:val="00155114"/>
    <w:rsid w:val="0015530E"/>
    <w:rsid w:val="001555FB"/>
    <w:rsid w:val="001556C9"/>
    <w:rsid w:val="00156555"/>
    <w:rsid w:val="00156B16"/>
    <w:rsid w:val="001570C4"/>
    <w:rsid w:val="00157134"/>
    <w:rsid w:val="001572F2"/>
    <w:rsid w:val="00157828"/>
    <w:rsid w:val="001579E7"/>
    <w:rsid w:val="00157B19"/>
    <w:rsid w:val="001603CD"/>
    <w:rsid w:val="0016072E"/>
    <w:rsid w:val="00160870"/>
    <w:rsid w:val="00161A02"/>
    <w:rsid w:val="0016282F"/>
    <w:rsid w:val="0016283D"/>
    <w:rsid w:val="001628F4"/>
    <w:rsid w:val="00162CCF"/>
    <w:rsid w:val="00162D32"/>
    <w:rsid w:val="00163749"/>
    <w:rsid w:val="00163DBA"/>
    <w:rsid w:val="00164831"/>
    <w:rsid w:val="00164970"/>
    <w:rsid w:val="00164B62"/>
    <w:rsid w:val="00165E72"/>
    <w:rsid w:val="00165F2E"/>
    <w:rsid w:val="00166184"/>
    <w:rsid w:val="00166EC4"/>
    <w:rsid w:val="001671AC"/>
    <w:rsid w:val="00167476"/>
    <w:rsid w:val="00167619"/>
    <w:rsid w:val="00167763"/>
    <w:rsid w:val="0016776D"/>
    <w:rsid w:val="001679DC"/>
    <w:rsid w:val="00167B5D"/>
    <w:rsid w:val="00167E59"/>
    <w:rsid w:val="00170E37"/>
    <w:rsid w:val="00171AD8"/>
    <w:rsid w:val="001721BD"/>
    <w:rsid w:val="00172251"/>
    <w:rsid w:val="001734AB"/>
    <w:rsid w:val="0017440D"/>
    <w:rsid w:val="001747AD"/>
    <w:rsid w:val="001747DD"/>
    <w:rsid w:val="00175957"/>
    <w:rsid w:val="00175D2A"/>
    <w:rsid w:val="00176121"/>
    <w:rsid w:val="001768A4"/>
    <w:rsid w:val="00176EE9"/>
    <w:rsid w:val="001771A4"/>
    <w:rsid w:val="001779CC"/>
    <w:rsid w:val="00177DC1"/>
    <w:rsid w:val="00177E1E"/>
    <w:rsid w:val="001801BE"/>
    <w:rsid w:val="00180D43"/>
    <w:rsid w:val="00180F2A"/>
    <w:rsid w:val="00181174"/>
    <w:rsid w:val="0018155D"/>
    <w:rsid w:val="00181888"/>
    <w:rsid w:val="001822DF"/>
    <w:rsid w:val="001823F4"/>
    <w:rsid w:val="00182D7E"/>
    <w:rsid w:val="0018307D"/>
    <w:rsid w:val="001836AB"/>
    <w:rsid w:val="00183B7A"/>
    <w:rsid w:val="00184045"/>
    <w:rsid w:val="001840A5"/>
    <w:rsid w:val="00184E8A"/>
    <w:rsid w:val="0018533B"/>
    <w:rsid w:val="001854F6"/>
    <w:rsid w:val="00185877"/>
    <w:rsid w:val="00186264"/>
    <w:rsid w:val="001867BF"/>
    <w:rsid w:val="001868F8"/>
    <w:rsid w:val="00187348"/>
    <w:rsid w:val="00187488"/>
    <w:rsid w:val="00187595"/>
    <w:rsid w:val="00190160"/>
    <w:rsid w:val="0019088A"/>
    <w:rsid w:val="00190FA3"/>
    <w:rsid w:val="001911AC"/>
    <w:rsid w:val="001919E9"/>
    <w:rsid w:val="00191B87"/>
    <w:rsid w:val="001924F4"/>
    <w:rsid w:val="00192744"/>
    <w:rsid w:val="00192F77"/>
    <w:rsid w:val="001930C5"/>
    <w:rsid w:val="0019394E"/>
    <w:rsid w:val="00193CB4"/>
    <w:rsid w:val="00194120"/>
    <w:rsid w:val="001959EF"/>
    <w:rsid w:val="00195AEE"/>
    <w:rsid w:val="00195EBB"/>
    <w:rsid w:val="00196B16"/>
    <w:rsid w:val="0019727D"/>
    <w:rsid w:val="00197C28"/>
    <w:rsid w:val="001A0129"/>
    <w:rsid w:val="001A0143"/>
    <w:rsid w:val="001A01BB"/>
    <w:rsid w:val="001A0C98"/>
    <w:rsid w:val="001A134A"/>
    <w:rsid w:val="001A2115"/>
    <w:rsid w:val="001A2341"/>
    <w:rsid w:val="001A23D9"/>
    <w:rsid w:val="001A247C"/>
    <w:rsid w:val="001A31ED"/>
    <w:rsid w:val="001A3980"/>
    <w:rsid w:val="001A3BCE"/>
    <w:rsid w:val="001A3BE2"/>
    <w:rsid w:val="001A4139"/>
    <w:rsid w:val="001A44B3"/>
    <w:rsid w:val="001A4657"/>
    <w:rsid w:val="001A4878"/>
    <w:rsid w:val="001A523B"/>
    <w:rsid w:val="001A531E"/>
    <w:rsid w:val="001A5CBF"/>
    <w:rsid w:val="001A627D"/>
    <w:rsid w:val="001A6CA7"/>
    <w:rsid w:val="001A73F1"/>
    <w:rsid w:val="001A741B"/>
    <w:rsid w:val="001A74C8"/>
    <w:rsid w:val="001A7742"/>
    <w:rsid w:val="001B023A"/>
    <w:rsid w:val="001B0254"/>
    <w:rsid w:val="001B05C4"/>
    <w:rsid w:val="001B102B"/>
    <w:rsid w:val="001B120B"/>
    <w:rsid w:val="001B12A6"/>
    <w:rsid w:val="001B140A"/>
    <w:rsid w:val="001B1531"/>
    <w:rsid w:val="001B1BF4"/>
    <w:rsid w:val="001B1D17"/>
    <w:rsid w:val="001B1F77"/>
    <w:rsid w:val="001B21AE"/>
    <w:rsid w:val="001B2660"/>
    <w:rsid w:val="001B26BD"/>
    <w:rsid w:val="001B2CB5"/>
    <w:rsid w:val="001B2E7B"/>
    <w:rsid w:val="001B38F2"/>
    <w:rsid w:val="001B3FB3"/>
    <w:rsid w:val="001B4170"/>
    <w:rsid w:val="001B4271"/>
    <w:rsid w:val="001B44EE"/>
    <w:rsid w:val="001B4EA5"/>
    <w:rsid w:val="001B50B8"/>
    <w:rsid w:val="001B51C6"/>
    <w:rsid w:val="001B5499"/>
    <w:rsid w:val="001B5725"/>
    <w:rsid w:val="001B5B10"/>
    <w:rsid w:val="001B6C12"/>
    <w:rsid w:val="001B6D4D"/>
    <w:rsid w:val="001B7694"/>
    <w:rsid w:val="001B7B7C"/>
    <w:rsid w:val="001B7D0F"/>
    <w:rsid w:val="001B7F1A"/>
    <w:rsid w:val="001C0D64"/>
    <w:rsid w:val="001C1392"/>
    <w:rsid w:val="001C13DF"/>
    <w:rsid w:val="001C16C0"/>
    <w:rsid w:val="001C24B0"/>
    <w:rsid w:val="001C2BA5"/>
    <w:rsid w:val="001C2C2A"/>
    <w:rsid w:val="001C3443"/>
    <w:rsid w:val="001C347F"/>
    <w:rsid w:val="001C3480"/>
    <w:rsid w:val="001C39D0"/>
    <w:rsid w:val="001C3A05"/>
    <w:rsid w:val="001C3D04"/>
    <w:rsid w:val="001C3D30"/>
    <w:rsid w:val="001C4289"/>
    <w:rsid w:val="001C45EA"/>
    <w:rsid w:val="001C4AF9"/>
    <w:rsid w:val="001C4E14"/>
    <w:rsid w:val="001C5557"/>
    <w:rsid w:val="001C58BF"/>
    <w:rsid w:val="001C5CA8"/>
    <w:rsid w:val="001C6166"/>
    <w:rsid w:val="001C6416"/>
    <w:rsid w:val="001C66BC"/>
    <w:rsid w:val="001C6E5A"/>
    <w:rsid w:val="001C6F60"/>
    <w:rsid w:val="001C755D"/>
    <w:rsid w:val="001C7897"/>
    <w:rsid w:val="001C79CB"/>
    <w:rsid w:val="001C7AB7"/>
    <w:rsid w:val="001C7F2A"/>
    <w:rsid w:val="001D08F9"/>
    <w:rsid w:val="001D0E27"/>
    <w:rsid w:val="001D16A2"/>
    <w:rsid w:val="001D16D7"/>
    <w:rsid w:val="001D1F64"/>
    <w:rsid w:val="001D2293"/>
    <w:rsid w:val="001D2FE6"/>
    <w:rsid w:val="001D3409"/>
    <w:rsid w:val="001D396B"/>
    <w:rsid w:val="001D4848"/>
    <w:rsid w:val="001D4B9D"/>
    <w:rsid w:val="001D4D48"/>
    <w:rsid w:val="001D5403"/>
    <w:rsid w:val="001D5604"/>
    <w:rsid w:val="001D62EA"/>
    <w:rsid w:val="001D6599"/>
    <w:rsid w:val="001D67C3"/>
    <w:rsid w:val="001D6D7C"/>
    <w:rsid w:val="001D7382"/>
    <w:rsid w:val="001D7C60"/>
    <w:rsid w:val="001E00BD"/>
    <w:rsid w:val="001E0189"/>
    <w:rsid w:val="001E01BA"/>
    <w:rsid w:val="001E0C80"/>
    <w:rsid w:val="001E0F5B"/>
    <w:rsid w:val="001E119C"/>
    <w:rsid w:val="001E2301"/>
    <w:rsid w:val="001E2E14"/>
    <w:rsid w:val="001E332C"/>
    <w:rsid w:val="001E38BF"/>
    <w:rsid w:val="001E38FD"/>
    <w:rsid w:val="001E39E5"/>
    <w:rsid w:val="001E3A2B"/>
    <w:rsid w:val="001E3EF1"/>
    <w:rsid w:val="001E5979"/>
    <w:rsid w:val="001E5A75"/>
    <w:rsid w:val="001E6127"/>
    <w:rsid w:val="001E63FC"/>
    <w:rsid w:val="001E643F"/>
    <w:rsid w:val="001E6ACE"/>
    <w:rsid w:val="001E6B9D"/>
    <w:rsid w:val="001E7AE4"/>
    <w:rsid w:val="001E7EA7"/>
    <w:rsid w:val="001F0111"/>
    <w:rsid w:val="001F052B"/>
    <w:rsid w:val="001F0593"/>
    <w:rsid w:val="001F0B2D"/>
    <w:rsid w:val="001F0D60"/>
    <w:rsid w:val="001F16C7"/>
    <w:rsid w:val="001F1711"/>
    <w:rsid w:val="001F20EE"/>
    <w:rsid w:val="001F2100"/>
    <w:rsid w:val="001F2830"/>
    <w:rsid w:val="001F2920"/>
    <w:rsid w:val="001F2F4B"/>
    <w:rsid w:val="001F3988"/>
    <w:rsid w:val="001F3BBE"/>
    <w:rsid w:val="001F3D6A"/>
    <w:rsid w:val="001F4188"/>
    <w:rsid w:val="001F4225"/>
    <w:rsid w:val="001F446D"/>
    <w:rsid w:val="001F493C"/>
    <w:rsid w:val="001F5039"/>
    <w:rsid w:val="001F5AC3"/>
    <w:rsid w:val="001F5C31"/>
    <w:rsid w:val="001F6030"/>
    <w:rsid w:val="001F6487"/>
    <w:rsid w:val="001F71CC"/>
    <w:rsid w:val="001F73EA"/>
    <w:rsid w:val="001F7476"/>
    <w:rsid w:val="002004D6"/>
    <w:rsid w:val="00200797"/>
    <w:rsid w:val="00200AA7"/>
    <w:rsid w:val="00200D6E"/>
    <w:rsid w:val="00200E8E"/>
    <w:rsid w:val="0020137C"/>
    <w:rsid w:val="00201704"/>
    <w:rsid w:val="00201936"/>
    <w:rsid w:val="00201F3E"/>
    <w:rsid w:val="00202198"/>
    <w:rsid w:val="0020221E"/>
    <w:rsid w:val="00202742"/>
    <w:rsid w:val="0020282E"/>
    <w:rsid w:val="00204058"/>
    <w:rsid w:val="00204507"/>
    <w:rsid w:val="00204D6F"/>
    <w:rsid w:val="002054DD"/>
    <w:rsid w:val="002059A8"/>
    <w:rsid w:val="00205FB6"/>
    <w:rsid w:val="002065DF"/>
    <w:rsid w:val="00206687"/>
    <w:rsid w:val="00206D7E"/>
    <w:rsid w:val="002100F4"/>
    <w:rsid w:val="00210A6E"/>
    <w:rsid w:val="00210E43"/>
    <w:rsid w:val="002110F8"/>
    <w:rsid w:val="00211293"/>
    <w:rsid w:val="002117E7"/>
    <w:rsid w:val="00212585"/>
    <w:rsid w:val="00212817"/>
    <w:rsid w:val="00213102"/>
    <w:rsid w:val="00213800"/>
    <w:rsid w:val="0021389C"/>
    <w:rsid w:val="00213C4A"/>
    <w:rsid w:val="00213CB2"/>
    <w:rsid w:val="00213DC3"/>
    <w:rsid w:val="00213E0E"/>
    <w:rsid w:val="00214FDA"/>
    <w:rsid w:val="00215504"/>
    <w:rsid w:val="00215548"/>
    <w:rsid w:val="00215F60"/>
    <w:rsid w:val="00216478"/>
    <w:rsid w:val="0021658B"/>
    <w:rsid w:val="002169DE"/>
    <w:rsid w:val="00216D45"/>
    <w:rsid w:val="00216D67"/>
    <w:rsid w:val="0021767A"/>
    <w:rsid w:val="00217697"/>
    <w:rsid w:val="00217BB3"/>
    <w:rsid w:val="00217CA0"/>
    <w:rsid w:val="002200A7"/>
    <w:rsid w:val="00220265"/>
    <w:rsid w:val="00220C99"/>
    <w:rsid w:val="00221103"/>
    <w:rsid w:val="00221AC2"/>
    <w:rsid w:val="00221B71"/>
    <w:rsid w:val="00221C2F"/>
    <w:rsid w:val="00222313"/>
    <w:rsid w:val="00222433"/>
    <w:rsid w:val="00222596"/>
    <w:rsid w:val="002229FF"/>
    <w:rsid w:val="00222AC6"/>
    <w:rsid w:val="00222BFC"/>
    <w:rsid w:val="00222C60"/>
    <w:rsid w:val="00222CD3"/>
    <w:rsid w:val="0022315F"/>
    <w:rsid w:val="002236E0"/>
    <w:rsid w:val="002236E8"/>
    <w:rsid w:val="002237DA"/>
    <w:rsid w:val="00224016"/>
    <w:rsid w:val="00224828"/>
    <w:rsid w:val="002249DB"/>
    <w:rsid w:val="00224FE5"/>
    <w:rsid w:val="0022597E"/>
    <w:rsid w:val="00225D42"/>
    <w:rsid w:val="00225F06"/>
    <w:rsid w:val="0022648C"/>
    <w:rsid w:val="002265B5"/>
    <w:rsid w:val="00227017"/>
    <w:rsid w:val="0022725C"/>
    <w:rsid w:val="00227367"/>
    <w:rsid w:val="002277A0"/>
    <w:rsid w:val="00227983"/>
    <w:rsid w:val="002300C6"/>
    <w:rsid w:val="002301C6"/>
    <w:rsid w:val="002303B3"/>
    <w:rsid w:val="002305D2"/>
    <w:rsid w:val="00231D17"/>
    <w:rsid w:val="00231EA7"/>
    <w:rsid w:val="00232217"/>
    <w:rsid w:val="00232702"/>
    <w:rsid w:val="0023276A"/>
    <w:rsid w:val="002327CE"/>
    <w:rsid w:val="00232B5F"/>
    <w:rsid w:val="00232C9F"/>
    <w:rsid w:val="0023338D"/>
    <w:rsid w:val="00233408"/>
    <w:rsid w:val="00233577"/>
    <w:rsid w:val="00234181"/>
    <w:rsid w:val="0023488F"/>
    <w:rsid w:val="00234C9A"/>
    <w:rsid w:val="00234E7D"/>
    <w:rsid w:val="0023531F"/>
    <w:rsid w:val="0023571F"/>
    <w:rsid w:val="002357EA"/>
    <w:rsid w:val="00235897"/>
    <w:rsid w:val="002367E6"/>
    <w:rsid w:val="00236E33"/>
    <w:rsid w:val="0023700C"/>
    <w:rsid w:val="00237276"/>
    <w:rsid w:val="0023738B"/>
    <w:rsid w:val="00237517"/>
    <w:rsid w:val="0023754D"/>
    <w:rsid w:val="0023769E"/>
    <w:rsid w:val="002376B2"/>
    <w:rsid w:val="00237AA3"/>
    <w:rsid w:val="00237C62"/>
    <w:rsid w:val="002409C1"/>
    <w:rsid w:val="00241190"/>
    <w:rsid w:val="00241358"/>
    <w:rsid w:val="002416A9"/>
    <w:rsid w:val="00241845"/>
    <w:rsid w:val="00241D5D"/>
    <w:rsid w:val="00242134"/>
    <w:rsid w:val="002423CA"/>
    <w:rsid w:val="00242DCC"/>
    <w:rsid w:val="002431DE"/>
    <w:rsid w:val="00243398"/>
    <w:rsid w:val="0024353A"/>
    <w:rsid w:val="00243C61"/>
    <w:rsid w:val="002446F1"/>
    <w:rsid w:val="00244957"/>
    <w:rsid w:val="002450B6"/>
    <w:rsid w:val="002451F8"/>
    <w:rsid w:val="00245325"/>
    <w:rsid w:val="00245C0D"/>
    <w:rsid w:val="00245E37"/>
    <w:rsid w:val="0024629E"/>
    <w:rsid w:val="002468EC"/>
    <w:rsid w:val="00246BCA"/>
    <w:rsid w:val="00246EA2"/>
    <w:rsid w:val="00246EFA"/>
    <w:rsid w:val="00246FD6"/>
    <w:rsid w:val="002476D8"/>
    <w:rsid w:val="00247AAC"/>
    <w:rsid w:val="00247B36"/>
    <w:rsid w:val="00250176"/>
    <w:rsid w:val="0025032B"/>
    <w:rsid w:val="002506A3"/>
    <w:rsid w:val="00250BAF"/>
    <w:rsid w:val="00250DF2"/>
    <w:rsid w:val="00251CF4"/>
    <w:rsid w:val="00251F24"/>
    <w:rsid w:val="0025267A"/>
    <w:rsid w:val="0025290C"/>
    <w:rsid w:val="00252D90"/>
    <w:rsid w:val="00253022"/>
    <w:rsid w:val="00253568"/>
    <w:rsid w:val="0025363F"/>
    <w:rsid w:val="00253675"/>
    <w:rsid w:val="00253896"/>
    <w:rsid w:val="002540B2"/>
    <w:rsid w:val="002547C1"/>
    <w:rsid w:val="00254DF6"/>
    <w:rsid w:val="00255838"/>
    <w:rsid w:val="00255A1F"/>
    <w:rsid w:val="00255BA9"/>
    <w:rsid w:val="0025607F"/>
    <w:rsid w:val="00256212"/>
    <w:rsid w:val="002562F9"/>
    <w:rsid w:val="00256F89"/>
    <w:rsid w:val="00257473"/>
    <w:rsid w:val="00257F35"/>
    <w:rsid w:val="00257FBC"/>
    <w:rsid w:val="0025F08F"/>
    <w:rsid w:val="00260A5B"/>
    <w:rsid w:val="00260A8F"/>
    <w:rsid w:val="00260AA2"/>
    <w:rsid w:val="002610A8"/>
    <w:rsid w:val="00261201"/>
    <w:rsid w:val="00261229"/>
    <w:rsid w:val="002612D5"/>
    <w:rsid w:val="0026145C"/>
    <w:rsid w:val="002618F4"/>
    <w:rsid w:val="00261AD1"/>
    <w:rsid w:val="00261B63"/>
    <w:rsid w:val="00261FA0"/>
    <w:rsid w:val="002625C0"/>
    <w:rsid w:val="00262B48"/>
    <w:rsid w:val="00262C1B"/>
    <w:rsid w:val="002630FB"/>
    <w:rsid w:val="0026352F"/>
    <w:rsid w:val="00263709"/>
    <w:rsid w:val="00263AD0"/>
    <w:rsid w:val="002647D2"/>
    <w:rsid w:val="0026485D"/>
    <w:rsid w:val="002648B0"/>
    <w:rsid w:val="00264C8C"/>
    <w:rsid w:val="00264E1F"/>
    <w:rsid w:val="002650A8"/>
    <w:rsid w:val="0026520D"/>
    <w:rsid w:val="0026568B"/>
    <w:rsid w:val="002664C7"/>
    <w:rsid w:val="00266901"/>
    <w:rsid w:val="002675E9"/>
    <w:rsid w:val="002678CE"/>
    <w:rsid w:val="00267A21"/>
    <w:rsid w:val="0027034D"/>
    <w:rsid w:val="002703D2"/>
    <w:rsid w:val="002705E0"/>
    <w:rsid w:val="0027180E"/>
    <w:rsid w:val="00271C8B"/>
    <w:rsid w:val="00272050"/>
    <w:rsid w:val="00272F65"/>
    <w:rsid w:val="00273432"/>
    <w:rsid w:val="002735FE"/>
    <w:rsid w:val="00273C4E"/>
    <w:rsid w:val="0027426D"/>
    <w:rsid w:val="00275420"/>
    <w:rsid w:val="002754C0"/>
    <w:rsid w:val="00275B99"/>
    <w:rsid w:val="00276720"/>
    <w:rsid w:val="00276B41"/>
    <w:rsid w:val="00276CA2"/>
    <w:rsid w:val="00276CFC"/>
    <w:rsid w:val="00277058"/>
    <w:rsid w:val="00277E76"/>
    <w:rsid w:val="0028058F"/>
    <w:rsid w:val="002805FD"/>
    <w:rsid w:val="002806C8"/>
    <w:rsid w:val="0028072E"/>
    <w:rsid w:val="002808D3"/>
    <w:rsid w:val="00280B99"/>
    <w:rsid w:val="0028380D"/>
    <w:rsid w:val="00283B5F"/>
    <w:rsid w:val="00283C5E"/>
    <w:rsid w:val="00284A6D"/>
    <w:rsid w:val="00284BE8"/>
    <w:rsid w:val="00284D7C"/>
    <w:rsid w:val="00285ACE"/>
    <w:rsid w:val="00285E2F"/>
    <w:rsid w:val="0028628A"/>
    <w:rsid w:val="002867FC"/>
    <w:rsid w:val="00286E2E"/>
    <w:rsid w:val="0028704E"/>
    <w:rsid w:val="0028748B"/>
    <w:rsid w:val="002874D5"/>
    <w:rsid w:val="002901F9"/>
    <w:rsid w:val="002908D1"/>
    <w:rsid w:val="00290BFA"/>
    <w:rsid w:val="00290CAD"/>
    <w:rsid w:val="00290EFB"/>
    <w:rsid w:val="00290FCC"/>
    <w:rsid w:val="002910E4"/>
    <w:rsid w:val="002917CA"/>
    <w:rsid w:val="00291B04"/>
    <w:rsid w:val="002920FF"/>
    <w:rsid w:val="00292409"/>
    <w:rsid w:val="00292A20"/>
    <w:rsid w:val="00293629"/>
    <w:rsid w:val="00293AA7"/>
    <w:rsid w:val="00294855"/>
    <w:rsid w:val="0029520F"/>
    <w:rsid w:val="00295225"/>
    <w:rsid w:val="0029529A"/>
    <w:rsid w:val="0029630E"/>
    <w:rsid w:val="0029672F"/>
    <w:rsid w:val="00297074"/>
    <w:rsid w:val="0029726D"/>
    <w:rsid w:val="0029726F"/>
    <w:rsid w:val="002A04D3"/>
    <w:rsid w:val="002A07FE"/>
    <w:rsid w:val="002A09D5"/>
    <w:rsid w:val="002A1594"/>
    <w:rsid w:val="002A1B49"/>
    <w:rsid w:val="002A1CBF"/>
    <w:rsid w:val="002A270D"/>
    <w:rsid w:val="002A2727"/>
    <w:rsid w:val="002A3365"/>
    <w:rsid w:val="002A4991"/>
    <w:rsid w:val="002A4B85"/>
    <w:rsid w:val="002A4F4B"/>
    <w:rsid w:val="002A5969"/>
    <w:rsid w:val="002A5BC5"/>
    <w:rsid w:val="002A6505"/>
    <w:rsid w:val="002A6913"/>
    <w:rsid w:val="002A6A09"/>
    <w:rsid w:val="002A789A"/>
    <w:rsid w:val="002A7C84"/>
    <w:rsid w:val="002B004B"/>
    <w:rsid w:val="002B0564"/>
    <w:rsid w:val="002B1090"/>
    <w:rsid w:val="002B15B5"/>
    <w:rsid w:val="002B1600"/>
    <w:rsid w:val="002B162E"/>
    <w:rsid w:val="002B248A"/>
    <w:rsid w:val="002B28D6"/>
    <w:rsid w:val="002B2A14"/>
    <w:rsid w:val="002B2BA3"/>
    <w:rsid w:val="002B31BE"/>
    <w:rsid w:val="002B3E36"/>
    <w:rsid w:val="002B49AA"/>
    <w:rsid w:val="002B5403"/>
    <w:rsid w:val="002B5492"/>
    <w:rsid w:val="002B59CE"/>
    <w:rsid w:val="002B5B50"/>
    <w:rsid w:val="002B5CD1"/>
    <w:rsid w:val="002B5DC6"/>
    <w:rsid w:val="002B5F2D"/>
    <w:rsid w:val="002B66BD"/>
    <w:rsid w:val="002B74B8"/>
    <w:rsid w:val="002C0206"/>
    <w:rsid w:val="002C03D1"/>
    <w:rsid w:val="002C053E"/>
    <w:rsid w:val="002C06FD"/>
    <w:rsid w:val="002C1068"/>
    <w:rsid w:val="002C1251"/>
    <w:rsid w:val="002C1C33"/>
    <w:rsid w:val="002C1FEC"/>
    <w:rsid w:val="002C2E10"/>
    <w:rsid w:val="002C3030"/>
    <w:rsid w:val="002C33F4"/>
    <w:rsid w:val="002C37D9"/>
    <w:rsid w:val="002C37DC"/>
    <w:rsid w:val="002C3986"/>
    <w:rsid w:val="002C3C97"/>
    <w:rsid w:val="002C41E3"/>
    <w:rsid w:val="002C41F1"/>
    <w:rsid w:val="002C4D74"/>
    <w:rsid w:val="002C5525"/>
    <w:rsid w:val="002C5671"/>
    <w:rsid w:val="002C5755"/>
    <w:rsid w:val="002C6263"/>
    <w:rsid w:val="002C66A4"/>
    <w:rsid w:val="002C674A"/>
    <w:rsid w:val="002C7419"/>
    <w:rsid w:val="002C783E"/>
    <w:rsid w:val="002C96AB"/>
    <w:rsid w:val="002D0DE1"/>
    <w:rsid w:val="002D1AB0"/>
    <w:rsid w:val="002D2A24"/>
    <w:rsid w:val="002D2C75"/>
    <w:rsid w:val="002D2E42"/>
    <w:rsid w:val="002D30D8"/>
    <w:rsid w:val="002D315F"/>
    <w:rsid w:val="002D31E5"/>
    <w:rsid w:val="002D36DF"/>
    <w:rsid w:val="002D3982"/>
    <w:rsid w:val="002D3A1B"/>
    <w:rsid w:val="002D3DAF"/>
    <w:rsid w:val="002D4561"/>
    <w:rsid w:val="002D46C0"/>
    <w:rsid w:val="002D4E10"/>
    <w:rsid w:val="002D4F6A"/>
    <w:rsid w:val="002D6B9E"/>
    <w:rsid w:val="002D7156"/>
    <w:rsid w:val="002D7779"/>
    <w:rsid w:val="002E03F5"/>
    <w:rsid w:val="002E053A"/>
    <w:rsid w:val="002E0AFE"/>
    <w:rsid w:val="002E0CF1"/>
    <w:rsid w:val="002E0DDB"/>
    <w:rsid w:val="002E0E83"/>
    <w:rsid w:val="002E10A2"/>
    <w:rsid w:val="002E136A"/>
    <w:rsid w:val="002E17A9"/>
    <w:rsid w:val="002E1B35"/>
    <w:rsid w:val="002E1F45"/>
    <w:rsid w:val="002E202B"/>
    <w:rsid w:val="002E2061"/>
    <w:rsid w:val="002E2164"/>
    <w:rsid w:val="002E2229"/>
    <w:rsid w:val="002E28EA"/>
    <w:rsid w:val="002E3720"/>
    <w:rsid w:val="002E38D2"/>
    <w:rsid w:val="002E40F2"/>
    <w:rsid w:val="002E4367"/>
    <w:rsid w:val="002E4729"/>
    <w:rsid w:val="002E4828"/>
    <w:rsid w:val="002E4EB7"/>
    <w:rsid w:val="002E5295"/>
    <w:rsid w:val="002E587F"/>
    <w:rsid w:val="002E5D77"/>
    <w:rsid w:val="002E609B"/>
    <w:rsid w:val="002E61DB"/>
    <w:rsid w:val="002E6401"/>
    <w:rsid w:val="002E6DD4"/>
    <w:rsid w:val="002E7204"/>
    <w:rsid w:val="002F01CC"/>
    <w:rsid w:val="002F07EA"/>
    <w:rsid w:val="002F0937"/>
    <w:rsid w:val="002F098B"/>
    <w:rsid w:val="002F0FB3"/>
    <w:rsid w:val="002F1163"/>
    <w:rsid w:val="002F170E"/>
    <w:rsid w:val="002F1920"/>
    <w:rsid w:val="002F19BB"/>
    <w:rsid w:val="002F1E8D"/>
    <w:rsid w:val="002F24CE"/>
    <w:rsid w:val="002F2663"/>
    <w:rsid w:val="002F293A"/>
    <w:rsid w:val="002F39A7"/>
    <w:rsid w:val="002F3C9D"/>
    <w:rsid w:val="002F4A67"/>
    <w:rsid w:val="002F4A87"/>
    <w:rsid w:val="002F4BB4"/>
    <w:rsid w:val="002F5571"/>
    <w:rsid w:val="002F6237"/>
    <w:rsid w:val="002F65D8"/>
    <w:rsid w:val="002F78EA"/>
    <w:rsid w:val="002F7BFD"/>
    <w:rsid w:val="002F7E28"/>
    <w:rsid w:val="00300224"/>
    <w:rsid w:val="003006B0"/>
    <w:rsid w:val="003012AB"/>
    <w:rsid w:val="0030167E"/>
    <w:rsid w:val="00301777"/>
    <w:rsid w:val="00302425"/>
    <w:rsid w:val="00302C3F"/>
    <w:rsid w:val="003036CA"/>
    <w:rsid w:val="00303FCE"/>
    <w:rsid w:val="00304CA5"/>
    <w:rsid w:val="0030510F"/>
    <w:rsid w:val="0030572F"/>
    <w:rsid w:val="00305CBA"/>
    <w:rsid w:val="00306163"/>
    <w:rsid w:val="00306AD1"/>
    <w:rsid w:val="00306C00"/>
    <w:rsid w:val="00306F71"/>
    <w:rsid w:val="00306F8E"/>
    <w:rsid w:val="00307063"/>
    <w:rsid w:val="003073B2"/>
    <w:rsid w:val="0030795C"/>
    <w:rsid w:val="00307CC4"/>
    <w:rsid w:val="00307D5E"/>
    <w:rsid w:val="003105C6"/>
    <w:rsid w:val="00310DAB"/>
    <w:rsid w:val="00310F05"/>
    <w:rsid w:val="00310F96"/>
    <w:rsid w:val="00311119"/>
    <w:rsid w:val="00311498"/>
    <w:rsid w:val="00311B2D"/>
    <w:rsid w:val="00311B69"/>
    <w:rsid w:val="00312202"/>
    <w:rsid w:val="00312304"/>
    <w:rsid w:val="003124F8"/>
    <w:rsid w:val="00312BA3"/>
    <w:rsid w:val="003132E6"/>
    <w:rsid w:val="003137B9"/>
    <w:rsid w:val="003138BF"/>
    <w:rsid w:val="003138E2"/>
    <w:rsid w:val="00313C7F"/>
    <w:rsid w:val="00313D20"/>
    <w:rsid w:val="00313FC3"/>
    <w:rsid w:val="0031405B"/>
    <w:rsid w:val="003140E0"/>
    <w:rsid w:val="003141F6"/>
    <w:rsid w:val="003143F7"/>
    <w:rsid w:val="003149E9"/>
    <w:rsid w:val="00314F08"/>
    <w:rsid w:val="00315102"/>
    <w:rsid w:val="003156F7"/>
    <w:rsid w:val="00315954"/>
    <w:rsid w:val="003159DC"/>
    <w:rsid w:val="00320BB4"/>
    <w:rsid w:val="0032170D"/>
    <w:rsid w:val="003217A9"/>
    <w:rsid w:val="003218D7"/>
    <w:rsid w:val="00321A3B"/>
    <w:rsid w:val="00321D54"/>
    <w:rsid w:val="003220BD"/>
    <w:rsid w:val="0032212C"/>
    <w:rsid w:val="003223B8"/>
    <w:rsid w:val="00324AA7"/>
    <w:rsid w:val="00324D7F"/>
    <w:rsid w:val="00325654"/>
    <w:rsid w:val="003259DA"/>
    <w:rsid w:val="00325F47"/>
    <w:rsid w:val="00326075"/>
    <w:rsid w:val="0032635E"/>
    <w:rsid w:val="00327392"/>
    <w:rsid w:val="00327BFD"/>
    <w:rsid w:val="00327CD6"/>
    <w:rsid w:val="00327F55"/>
    <w:rsid w:val="003300FF"/>
    <w:rsid w:val="00330199"/>
    <w:rsid w:val="00330327"/>
    <w:rsid w:val="00330A6B"/>
    <w:rsid w:val="00331C37"/>
    <w:rsid w:val="00331C54"/>
    <w:rsid w:val="00331FE6"/>
    <w:rsid w:val="00332BAD"/>
    <w:rsid w:val="00332C70"/>
    <w:rsid w:val="00333A44"/>
    <w:rsid w:val="00333C8A"/>
    <w:rsid w:val="00334093"/>
    <w:rsid w:val="00334118"/>
    <w:rsid w:val="0033503C"/>
    <w:rsid w:val="00335D76"/>
    <w:rsid w:val="0033679B"/>
    <w:rsid w:val="003368EB"/>
    <w:rsid w:val="00336D36"/>
    <w:rsid w:val="003374C1"/>
    <w:rsid w:val="00337849"/>
    <w:rsid w:val="00337BEA"/>
    <w:rsid w:val="00340094"/>
    <w:rsid w:val="003400BB"/>
    <w:rsid w:val="00340130"/>
    <w:rsid w:val="0034021C"/>
    <w:rsid w:val="003403E1"/>
    <w:rsid w:val="00342B6A"/>
    <w:rsid w:val="00342C4B"/>
    <w:rsid w:val="00343091"/>
    <w:rsid w:val="003434F2"/>
    <w:rsid w:val="003438E8"/>
    <w:rsid w:val="00343A9C"/>
    <w:rsid w:val="00343C28"/>
    <w:rsid w:val="00343F0D"/>
    <w:rsid w:val="00343FC4"/>
    <w:rsid w:val="00344294"/>
    <w:rsid w:val="00345121"/>
    <w:rsid w:val="003452B1"/>
    <w:rsid w:val="003459F8"/>
    <w:rsid w:val="00345A82"/>
    <w:rsid w:val="00345E53"/>
    <w:rsid w:val="00346A34"/>
    <w:rsid w:val="00346C65"/>
    <w:rsid w:val="0034786E"/>
    <w:rsid w:val="003478F3"/>
    <w:rsid w:val="00347A8B"/>
    <w:rsid w:val="00347FF9"/>
    <w:rsid w:val="00350DDB"/>
    <w:rsid w:val="00351133"/>
    <w:rsid w:val="003520A1"/>
    <w:rsid w:val="00352A45"/>
    <w:rsid w:val="00352C6E"/>
    <w:rsid w:val="00352FB3"/>
    <w:rsid w:val="00353246"/>
    <w:rsid w:val="00353D40"/>
    <w:rsid w:val="00354479"/>
    <w:rsid w:val="003556A3"/>
    <w:rsid w:val="003558BE"/>
    <w:rsid w:val="00355903"/>
    <w:rsid w:val="00355982"/>
    <w:rsid w:val="00356773"/>
    <w:rsid w:val="00356E89"/>
    <w:rsid w:val="00357117"/>
    <w:rsid w:val="00357CD1"/>
    <w:rsid w:val="00357F63"/>
    <w:rsid w:val="00357F8E"/>
    <w:rsid w:val="00360F19"/>
    <w:rsid w:val="0036112F"/>
    <w:rsid w:val="003616A1"/>
    <w:rsid w:val="0036172B"/>
    <w:rsid w:val="00361D60"/>
    <w:rsid w:val="00362127"/>
    <w:rsid w:val="00362574"/>
    <w:rsid w:val="0036264E"/>
    <w:rsid w:val="003626F5"/>
    <w:rsid w:val="00363336"/>
    <w:rsid w:val="00363969"/>
    <w:rsid w:val="00363B53"/>
    <w:rsid w:val="0036415F"/>
    <w:rsid w:val="00364443"/>
    <w:rsid w:val="00364C5C"/>
    <w:rsid w:val="00364EBB"/>
    <w:rsid w:val="003658B7"/>
    <w:rsid w:val="003666D2"/>
    <w:rsid w:val="00366794"/>
    <w:rsid w:val="00366E0D"/>
    <w:rsid w:val="003673A9"/>
    <w:rsid w:val="003703D0"/>
    <w:rsid w:val="003704F7"/>
    <w:rsid w:val="0037056C"/>
    <w:rsid w:val="00370576"/>
    <w:rsid w:val="00370D79"/>
    <w:rsid w:val="00371525"/>
    <w:rsid w:val="00371593"/>
    <w:rsid w:val="00371653"/>
    <w:rsid w:val="00372FB1"/>
    <w:rsid w:val="00373028"/>
    <w:rsid w:val="00373AEA"/>
    <w:rsid w:val="00373E3E"/>
    <w:rsid w:val="00373FD7"/>
    <w:rsid w:val="00374407"/>
    <w:rsid w:val="003745EA"/>
    <w:rsid w:val="00374946"/>
    <w:rsid w:val="003753F9"/>
    <w:rsid w:val="003755F5"/>
    <w:rsid w:val="00375C47"/>
    <w:rsid w:val="00377CDE"/>
    <w:rsid w:val="003805B9"/>
    <w:rsid w:val="00380A28"/>
    <w:rsid w:val="00380D47"/>
    <w:rsid w:val="003812AC"/>
    <w:rsid w:val="003813DF"/>
    <w:rsid w:val="0038147E"/>
    <w:rsid w:val="00381CC3"/>
    <w:rsid w:val="00381F95"/>
    <w:rsid w:val="0038229D"/>
    <w:rsid w:val="00382364"/>
    <w:rsid w:val="003826D9"/>
    <w:rsid w:val="00382961"/>
    <w:rsid w:val="00383190"/>
    <w:rsid w:val="003837E0"/>
    <w:rsid w:val="00383BF5"/>
    <w:rsid w:val="00383D4B"/>
    <w:rsid w:val="00383FF2"/>
    <w:rsid w:val="00385352"/>
    <w:rsid w:val="003853EB"/>
    <w:rsid w:val="00385759"/>
    <w:rsid w:val="00386492"/>
    <w:rsid w:val="003867D7"/>
    <w:rsid w:val="00387414"/>
    <w:rsid w:val="00387647"/>
    <w:rsid w:val="00387B23"/>
    <w:rsid w:val="00387E40"/>
    <w:rsid w:val="00390552"/>
    <w:rsid w:val="003907F9"/>
    <w:rsid w:val="003908C5"/>
    <w:rsid w:val="00390DDA"/>
    <w:rsid w:val="0039144F"/>
    <w:rsid w:val="0039169F"/>
    <w:rsid w:val="00391C82"/>
    <w:rsid w:val="00391EE6"/>
    <w:rsid w:val="003927BE"/>
    <w:rsid w:val="00392C11"/>
    <w:rsid w:val="00392FFD"/>
    <w:rsid w:val="0039346B"/>
    <w:rsid w:val="00393539"/>
    <w:rsid w:val="003936AB"/>
    <w:rsid w:val="00393795"/>
    <w:rsid w:val="00394410"/>
    <w:rsid w:val="00394FF1"/>
    <w:rsid w:val="003953E6"/>
    <w:rsid w:val="003953F1"/>
    <w:rsid w:val="00395F5A"/>
    <w:rsid w:val="003962D7"/>
    <w:rsid w:val="003967F5"/>
    <w:rsid w:val="00397094"/>
    <w:rsid w:val="00397314"/>
    <w:rsid w:val="00397A77"/>
    <w:rsid w:val="003A0318"/>
    <w:rsid w:val="003A06D4"/>
    <w:rsid w:val="003A0835"/>
    <w:rsid w:val="003A0C05"/>
    <w:rsid w:val="003A1178"/>
    <w:rsid w:val="003A1469"/>
    <w:rsid w:val="003A1B96"/>
    <w:rsid w:val="003A1FDA"/>
    <w:rsid w:val="003A200A"/>
    <w:rsid w:val="003A246C"/>
    <w:rsid w:val="003A2798"/>
    <w:rsid w:val="003A2D2C"/>
    <w:rsid w:val="003A3138"/>
    <w:rsid w:val="003A3877"/>
    <w:rsid w:val="003A449C"/>
    <w:rsid w:val="003A497B"/>
    <w:rsid w:val="003A4C8B"/>
    <w:rsid w:val="003A519F"/>
    <w:rsid w:val="003A5743"/>
    <w:rsid w:val="003A5D8C"/>
    <w:rsid w:val="003A6791"/>
    <w:rsid w:val="003A6DC7"/>
    <w:rsid w:val="003A7174"/>
    <w:rsid w:val="003A7214"/>
    <w:rsid w:val="003A7464"/>
    <w:rsid w:val="003A7887"/>
    <w:rsid w:val="003B00F4"/>
    <w:rsid w:val="003B06B9"/>
    <w:rsid w:val="003B0722"/>
    <w:rsid w:val="003B0886"/>
    <w:rsid w:val="003B176A"/>
    <w:rsid w:val="003B20D7"/>
    <w:rsid w:val="003B253B"/>
    <w:rsid w:val="003B2558"/>
    <w:rsid w:val="003B25F0"/>
    <w:rsid w:val="003B2712"/>
    <w:rsid w:val="003B2C15"/>
    <w:rsid w:val="003B2CA8"/>
    <w:rsid w:val="003B2E93"/>
    <w:rsid w:val="003B3112"/>
    <w:rsid w:val="003B3533"/>
    <w:rsid w:val="003B3552"/>
    <w:rsid w:val="003B3DBB"/>
    <w:rsid w:val="003B488D"/>
    <w:rsid w:val="003B6C57"/>
    <w:rsid w:val="003B6D71"/>
    <w:rsid w:val="003B7060"/>
    <w:rsid w:val="003B70EE"/>
    <w:rsid w:val="003B7776"/>
    <w:rsid w:val="003B7BFF"/>
    <w:rsid w:val="003C050A"/>
    <w:rsid w:val="003C0FB5"/>
    <w:rsid w:val="003C1804"/>
    <w:rsid w:val="003C1853"/>
    <w:rsid w:val="003C1BB1"/>
    <w:rsid w:val="003C1F77"/>
    <w:rsid w:val="003C2409"/>
    <w:rsid w:val="003C2566"/>
    <w:rsid w:val="003C2C8A"/>
    <w:rsid w:val="003C3168"/>
    <w:rsid w:val="003C38F0"/>
    <w:rsid w:val="003C3AAB"/>
    <w:rsid w:val="003C3ADB"/>
    <w:rsid w:val="003C3B79"/>
    <w:rsid w:val="003C3EE5"/>
    <w:rsid w:val="003C3FD5"/>
    <w:rsid w:val="003C41B3"/>
    <w:rsid w:val="003C4307"/>
    <w:rsid w:val="003C4422"/>
    <w:rsid w:val="003C5B8C"/>
    <w:rsid w:val="003C60B9"/>
    <w:rsid w:val="003C61F4"/>
    <w:rsid w:val="003C6B2B"/>
    <w:rsid w:val="003C7853"/>
    <w:rsid w:val="003C786B"/>
    <w:rsid w:val="003C7D80"/>
    <w:rsid w:val="003D09CF"/>
    <w:rsid w:val="003D10E9"/>
    <w:rsid w:val="003D1657"/>
    <w:rsid w:val="003D17D0"/>
    <w:rsid w:val="003D1863"/>
    <w:rsid w:val="003D199D"/>
    <w:rsid w:val="003D1D1F"/>
    <w:rsid w:val="003D25AF"/>
    <w:rsid w:val="003D2AA3"/>
    <w:rsid w:val="003D2B11"/>
    <w:rsid w:val="003D2B70"/>
    <w:rsid w:val="003D3CED"/>
    <w:rsid w:val="003D431C"/>
    <w:rsid w:val="003D485B"/>
    <w:rsid w:val="003D4D5D"/>
    <w:rsid w:val="003D56DE"/>
    <w:rsid w:val="003D5E1F"/>
    <w:rsid w:val="003D63B8"/>
    <w:rsid w:val="003D655D"/>
    <w:rsid w:val="003D69CB"/>
    <w:rsid w:val="003D6ABD"/>
    <w:rsid w:val="003D6D45"/>
    <w:rsid w:val="003D6D88"/>
    <w:rsid w:val="003D725D"/>
    <w:rsid w:val="003D7822"/>
    <w:rsid w:val="003D78E0"/>
    <w:rsid w:val="003D7A1E"/>
    <w:rsid w:val="003D7C99"/>
    <w:rsid w:val="003D7F50"/>
    <w:rsid w:val="003E098F"/>
    <w:rsid w:val="003E20C3"/>
    <w:rsid w:val="003E2598"/>
    <w:rsid w:val="003E272D"/>
    <w:rsid w:val="003E2CFB"/>
    <w:rsid w:val="003E2D91"/>
    <w:rsid w:val="003E3102"/>
    <w:rsid w:val="003E3220"/>
    <w:rsid w:val="003E3766"/>
    <w:rsid w:val="003E391A"/>
    <w:rsid w:val="003E47E0"/>
    <w:rsid w:val="003E4982"/>
    <w:rsid w:val="003E49D1"/>
    <w:rsid w:val="003E4C18"/>
    <w:rsid w:val="003E4C79"/>
    <w:rsid w:val="003E4EF2"/>
    <w:rsid w:val="003E5145"/>
    <w:rsid w:val="003E52DA"/>
    <w:rsid w:val="003E575E"/>
    <w:rsid w:val="003E5814"/>
    <w:rsid w:val="003E6D0B"/>
    <w:rsid w:val="003E6D10"/>
    <w:rsid w:val="003E7051"/>
    <w:rsid w:val="003E7AEC"/>
    <w:rsid w:val="003F02D2"/>
    <w:rsid w:val="003F036D"/>
    <w:rsid w:val="003F048B"/>
    <w:rsid w:val="003F05A0"/>
    <w:rsid w:val="003F1103"/>
    <w:rsid w:val="003F1439"/>
    <w:rsid w:val="003F15BB"/>
    <w:rsid w:val="003F16A4"/>
    <w:rsid w:val="003F17BB"/>
    <w:rsid w:val="003F1AC7"/>
    <w:rsid w:val="003F1BF2"/>
    <w:rsid w:val="003F20EC"/>
    <w:rsid w:val="003F23A1"/>
    <w:rsid w:val="003F3523"/>
    <w:rsid w:val="003F35E2"/>
    <w:rsid w:val="003F3D6D"/>
    <w:rsid w:val="003F460E"/>
    <w:rsid w:val="003F5FB4"/>
    <w:rsid w:val="003F610C"/>
    <w:rsid w:val="003F635B"/>
    <w:rsid w:val="003F6A7C"/>
    <w:rsid w:val="003F7C95"/>
    <w:rsid w:val="003F7FA8"/>
    <w:rsid w:val="0040079F"/>
    <w:rsid w:val="00400DB5"/>
    <w:rsid w:val="00400EAB"/>
    <w:rsid w:val="00401111"/>
    <w:rsid w:val="00401378"/>
    <w:rsid w:val="0040156B"/>
    <w:rsid w:val="00401772"/>
    <w:rsid w:val="0040271E"/>
    <w:rsid w:val="004041EF"/>
    <w:rsid w:val="004049B3"/>
    <w:rsid w:val="0040521E"/>
    <w:rsid w:val="00405C0A"/>
    <w:rsid w:val="00406023"/>
    <w:rsid w:val="00407110"/>
    <w:rsid w:val="00407936"/>
    <w:rsid w:val="00407D18"/>
    <w:rsid w:val="00410166"/>
    <w:rsid w:val="0041056A"/>
    <w:rsid w:val="004105F7"/>
    <w:rsid w:val="00410796"/>
    <w:rsid w:val="00410B23"/>
    <w:rsid w:val="00411130"/>
    <w:rsid w:val="00411C7E"/>
    <w:rsid w:val="004120DF"/>
    <w:rsid w:val="00412186"/>
    <w:rsid w:val="0041268F"/>
    <w:rsid w:val="004129D0"/>
    <w:rsid w:val="00412D44"/>
    <w:rsid w:val="004133D9"/>
    <w:rsid w:val="00413C08"/>
    <w:rsid w:val="00413D64"/>
    <w:rsid w:val="00415291"/>
    <w:rsid w:val="004158C5"/>
    <w:rsid w:val="00415A1B"/>
    <w:rsid w:val="00415B69"/>
    <w:rsid w:val="00415CDC"/>
    <w:rsid w:val="004162FF"/>
    <w:rsid w:val="0041685B"/>
    <w:rsid w:val="00416D84"/>
    <w:rsid w:val="00417984"/>
    <w:rsid w:val="0042083B"/>
    <w:rsid w:val="00420863"/>
    <w:rsid w:val="00420ECE"/>
    <w:rsid w:val="00421566"/>
    <w:rsid w:val="004216B5"/>
    <w:rsid w:val="00422449"/>
    <w:rsid w:val="00422858"/>
    <w:rsid w:val="004228F8"/>
    <w:rsid w:val="0042298A"/>
    <w:rsid w:val="00422E48"/>
    <w:rsid w:val="00423007"/>
    <w:rsid w:val="00423307"/>
    <w:rsid w:val="004233B3"/>
    <w:rsid w:val="00423556"/>
    <w:rsid w:val="00423994"/>
    <w:rsid w:val="00423F7E"/>
    <w:rsid w:val="0042505E"/>
    <w:rsid w:val="004250B8"/>
    <w:rsid w:val="004254D2"/>
    <w:rsid w:val="0042556C"/>
    <w:rsid w:val="004255D6"/>
    <w:rsid w:val="0042594B"/>
    <w:rsid w:val="00425F4C"/>
    <w:rsid w:val="00426554"/>
    <w:rsid w:val="0042766A"/>
    <w:rsid w:val="0043000A"/>
    <w:rsid w:val="0043001B"/>
    <w:rsid w:val="004304C0"/>
    <w:rsid w:val="004305E3"/>
    <w:rsid w:val="0043093C"/>
    <w:rsid w:val="00430F6F"/>
    <w:rsid w:val="004310AA"/>
    <w:rsid w:val="0043144C"/>
    <w:rsid w:val="0043168D"/>
    <w:rsid w:val="004317F7"/>
    <w:rsid w:val="004319EB"/>
    <w:rsid w:val="0043231D"/>
    <w:rsid w:val="00432A37"/>
    <w:rsid w:val="00432C7A"/>
    <w:rsid w:val="004350F2"/>
    <w:rsid w:val="004357B9"/>
    <w:rsid w:val="00436204"/>
    <w:rsid w:val="0043622D"/>
    <w:rsid w:val="00436490"/>
    <w:rsid w:val="00436A46"/>
    <w:rsid w:val="00436BBC"/>
    <w:rsid w:val="004377DA"/>
    <w:rsid w:val="004377E2"/>
    <w:rsid w:val="004402E9"/>
    <w:rsid w:val="004404A0"/>
    <w:rsid w:val="004408E7"/>
    <w:rsid w:val="0044135F"/>
    <w:rsid w:val="00441843"/>
    <w:rsid w:val="00441B7D"/>
    <w:rsid w:val="0044279C"/>
    <w:rsid w:val="004427C3"/>
    <w:rsid w:val="00442A42"/>
    <w:rsid w:val="00442CA0"/>
    <w:rsid w:val="00443003"/>
    <w:rsid w:val="00443DD0"/>
    <w:rsid w:val="0044539D"/>
    <w:rsid w:val="00445E06"/>
    <w:rsid w:val="0044639C"/>
    <w:rsid w:val="004466B6"/>
    <w:rsid w:val="00446875"/>
    <w:rsid w:val="0044768C"/>
    <w:rsid w:val="00447E17"/>
    <w:rsid w:val="00450266"/>
    <w:rsid w:val="0045099E"/>
    <w:rsid w:val="00450A2E"/>
    <w:rsid w:val="00451220"/>
    <w:rsid w:val="0045128A"/>
    <w:rsid w:val="0045134F"/>
    <w:rsid w:val="0045151A"/>
    <w:rsid w:val="00451B63"/>
    <w:rsid w:val="004528AB"/>
    <w:rsid w:val="00452EBC"/>
    <w:rsid w:val="00452FEF"/>
    <w:rsid w:val="00453156"/>
    <w:rsid w:val="00453999"/>
    <w:rsid w:val="00454082"/>
    <w:rsid w:val="00454139"/>
    <w:rsid w:val="00454CFC"/>
    <w:rsid w:val="004551FB"/>
    <w:rsid w:val="0045523B"/>
    <w:rsid w:val="00455364"/>
    <w:rsid w:val="00455B49"/>
    <w:rsid w:val="004562C1"/>
    <w:rsid w:val="004567EB"/>
    <w:rsid w:val="0045709F"/>
    <w:rsid w:val="00457928"/>
    <w:rsid w:val="004600E4"/>
    <w:rsid w:val="004603C7"/>
    <w:rsid w:val="00460A9C"/>
    <w:rsid w:val="00461A5A"/>
    <w:rsid w:val="00462058"/>
    <w:rsid w:val="004629A2"/>
    <w:rsid w:val="00462B1A"/>
    <w:rsid w:val="00462BAB"/>
    <w:rsid w:val="00462DD9"/>
    <w:rsid w:val="004633A7"/>
    <w:rsid w:val="00464292"/>
    <w:rsid w:val="004647DB"/>
    <w:rsid w:val="00464898"/>
    <w:rsid w:val="00464DCB"/>
    <w:rsid w:val="00464F34"/>
    <w:rsid w:val="00466708"/>
    <w:rsid w:val="004668D7"/>
    <w:rsid w:val="0046697C"/>
    <w:rsid w:val="00466D6B"/>
    <w:rsid w:val="00466F09"/>
    <w:rsid w:val="00467483"/>
    <w:rsid w:val="004676C5"/>
    <w:rsid w:val="0046788C"/>
    <w:rsid w:val="00467F08"/>
    <w:rsid w:val="00470F2E"/>
    <w:rsid w:val="00470FC7"/>
    <w:rsid w:val="00471A96"/>
    <w:rsid w:val="00471F0B"/>
    <w:rsid w:val="00472745"/>
    <w:rsid w:val="00472B5A"/>
    <w:rsid w:val="004736B2"/>
    <w:rsid w:val="00473D48"/>
    <w:rsid w:val="00473DE6"/>
    <w:rsid w:val="00474874"/>
    <w:rsid w:val="00474A85"/>
    <w:rsid w:val="00474C49"/>
    <w:rsid w:val="00474C68"/>
    <w:rsid w:val="0047503C"/>
    <w:rsid w:val="0047513B"/>
    <w:rsid w:val="0047563E"/>
    <w:rsid w:val="00475B6A"/>
    <w:rsid w:val="00475D9B"/>
    <w:rsid w:val="0047602E"/>
    <w:rsid w:val="00476209"/>
    <w:rsid w:val="00476566"/>
    <w:rsid w:val="004766D4"/>
    <w:rsid w:val="0047693D"/>
    <w:rsid w:val="00476AC3"/>
    <w:rsid w:val="00476DB8"/>
    <w:rsid w:val="00477000"/>
    <w:rsid w:val="004773AB"/>
    <w:rsid w:val="00477C45"/>
    <w:rsid w:val="00477CB6"/>
    <w:rsid w:val="004801E8"/>
    <w:rsid w:val="004808AC"/>
    <w:rsid w:val="00480A69"/>
    <w:rsid w:val="004810B5"/>
    <w:rsid w:val="0048116C"/>
    <w:rsid w:val="0048143B"/>
    <w:rsid w:val="0048198B"/>
    <w:rsid w:val="00482ADC"/>
    <w:rsid w:val="00482BE8"/>
    <w:rsid w:val="00482DB4"/>
    <w:rsid w:val="00483FC9"/>
    <w:rsid w:val="00484070"/>
    <w:rsid w:val="004846FA"/>
    <w:rsid w:val="00484DDA"/>
    <w:rsid w:val="004852B9"/>
    <w:rsid w:val="00486778"/>
    <w:rsid w:val="00486CA1"/>
    <w:rsid w:val="00486DA5"/>
    <w:rsid w:val="00487197"/>
    <w:rsid w:val="00487597"/>
    <w:rsid w:val="00487771"/>
    <w:rsid w:val="004901BE"/>
    <w:rsid w:val="0049066C"/>
    <w:rsid w:val="00490A70"/>
    <w:rsid w:val="00490BFC"/>
    <w:rsid w:val="00490F1C"/>
    <w:rsid w:val="00491113"/>
    <w:rsid w:val="004913CE"/>
    <w:rsid w:val="00491993"/>
    <w:rsid w:val="00491D20"/>
    <w:rsid w:val="00491F4D"/>
    <w:rsid w:val="004920F0"/>
    <w:rsid w:val="00492D77"/>
    <w:rsid w:val="00492E67"/>
    <w:rsid w:val="004933CE"/>
    <w:rsid w:val="004934E2"/>
    <w:rsid w:val="00493C79"/>
    <w:rsid w:val="00493D5E"/>
    <w:rsid w:val="00493D74"/>
    <w:rsid w:val="00493F68"/>
    <w:rsid w:val="00494B72"/>
    <w:rsid w:val="00494B90"/>
    <w:rsid w:val="004955F2"/>
    <w:rsid w:val="00495E4D"/>
    <w:rsid w:val="004967ED"/>
    <w:rsid w:val="00496C53"/>
    <w:rsid w:val="00496F5D"/>
    <w:rsid w:val="004970FA"/>
    <w:rsid w:val="00497871"/>
    <w:rsid w:val="00497D60"/>
    <w:rsid w:val="004A01B7"/>
    <w:rsid w:val="004A01BF"/>
    <w:rsid w:val="004A084A"/>
    <w:rsid w:val="004A0885"/>
    <w:rsid w:val="004A0D4A"/>
    <w:rsid w:val="004A1101"/>
    <w:rsid w:val="004A11BD"/>
    <w:rsid w:val="004A1949"/>
    <w:rsid w:val="004A1AAE"/>
    <w:rsid w:val="004A1D97"/>
    <w:rsid w:val="004A323E"/>
    <w:rsid w:val="004A3247"/>
    <w:rsid w:val="004A331D"/>
    <w:rsid w:val="004A3A58"/>
    <w:rsid w:val="004A3A8F"/>
    <w:rsid w:val="004A3B3D"/>
    <w:rsid w:val="004A3B5E"/>
    <w:rsid w:val="004A3DEE"/>
    <w:rsid w:val="004A40B8"/>
    <w:rsid w:val="004A426D"/>
    <w:rsid w:val="004A46C7"/>
    <w:rsid w:val="004A4826"/>
    <w:rsid w:val="004A4FAF"/>
    <w:rsid w:val="004A568C"/>
    <w:rsid w:val="004A5880"/>
    <w:rsid w:val="004A5A9B"/>
    <w:rsid w:val="004A608C"/>
    <w:rsid w:val="004A688F"/>
    <w:rsid w:val="004A6C52"/>
    <w:rsid w:val="004A705D"/>
    <w:rsid w:val="004A7294"/>
    <w:rsid w:val="004A75ED"/>
    <w:rsid w:val="004A7617"/>
    <w:rsid w:val="004A7B60"/>
    <w:rsid w:val="004B031B"/>
    <w:rsid w:val="004B135C"/>
    <w:rsid w:val="004B1747"/>
    <w:rsid w:val="004B1A38"/>
    <w:rsid w:val="004B2A17"/>
    <w:rsid w:val="004B2BE0"/>
    <w:rsid w:val="004B2C89"/>
    <w:rsid w:val="004B2E84"/>
    <w:rsid w:val="004B317D"/>
    <w:rsid w:val="004B38D3"/>
    <w:rsid w:val="004B38D7"/>
    <w:rsid w:val="004B3B58"/>
    <w:rsid w:val="004B4181"/>
    <w:rsid w:val="004B4AC1"/>
    <w:rsid w:val="004B4DF9"/>
    <w:rsid w:val="004B5087"/>
    <w:rsid w:val="004B5478"/>
    <w:rsid w:val="004B572C"/>
    <w:rsid w:val="004B5870"/>
    <w:rsid w:val="004B6691"/>
    <w:rsid w:val="004B67ED"/>
    <w:rsid w:val="004B686C"/>
    <w:rsid w:val="004B691C"/>
    <w:rsid w:val="004B6F2B"/>
    <w:rsid w:val="004B7F4A"/>
    <w:rsid w:val="004C03BC"/>
    <w:rsid w:val="004C0508"/>
    <w:rsid w:val="004C058F"/>
    <w:rsid w:val="004C15A0"/>
    <w:rsid w:val="004C1ACF"/>
    <w:rsid w:val="004C1C0A"/>
    <w:rsid w:val="004C2281"/>
    <w:rsid w:val="004C22A2"/>
    <w:rsid w:val="004C296F"/>
    <w:rsid w:val="004C2AE3"/>
    <w:rsid w:val="004C2FE9"/>
    <w:rsid w:val="004C3111"/>
    <w:rsid w:val="004C31C2"/>
    <w:rsid w:val="004C4478"/>
    <w:rsid w:val="004C4A22"/>
    <w:rsid w:val="004C5F1C"/>
    <w:rsid w:val="004C66D4"/>
    <w:rsid w:val="004C67EF"/>
    <w:rsid w:val="004C6E6F"/>
    <w:rsid w:val="004C74EC"/>
    <w:rsid w:val="004C7CBE"/>
    <w:rsid w:val="004D0582"/>
    <w:rsid w:val="004D0C15"/>
    <w:rsid w:val="004D1673"/>
    <w:rsid w:val="004D1693"/>
    <w:rsid w:val="004D2031"/>
    <w:rsid w:val="004D2753"/>
    <w:rsid w:val="004D2DDC"/>
    <w:rsid w:val="004D36B6"/>
    <w:rsid w:val="004D42F4"/>
    <w:rsid w:val="004D4419"/>
    <w:rsid w:val="004D44D7"/>
    <w:rsid w:val="004D45AA"/>
    <w:rsid w:val="004D5161"/>
    <w:rsid w:val="004D5673"/>
    <w:rsid w:val="004D5C29"/>
    <w:rsid w:val="004D5F72"/>
    <w:rsid w:val="004D65ED"/>
    <w:rsid w:val="004D6755"/>
    <w:rsid w:val="004D6AE5"/>
    <w:rsid w:val="004D6C74"/>
    <w:rsid w:val="004D780C"/>
    <w:rsid w:val="004D7864"/>
    <w:rsid w:val="004D7CCC"/>
    <w:rsid w:val="004E0244"/>
    <w:rsid w:val="004E04BF"/>
    <w:rsid w:val="004E081B"/>
    <w:rsid w:val="004E0A91"/>
    <w:rsid w:val="004E0CE9"/>
    <w:rsid w:val="004E19CD"/>
    <w:rsid w:val="004E2725"/>
    <w:rsid w:val="004E28B1"/>
    <w:rsid w:val="004E2BE7"/>
    <w:rsid w:val="004E40E0"/>
    <w:rsid w:val="004E4A6F"/>
    <w:rsid w:val="004E4ABD"/>
    <w:rsid w:val="004E5B02"/>
    <w:rsid w:val="004E5CF6"/>
    <w:rsid w:val="004E6D5F"/>
    <w:rsid w:val="004E6F46"/>
    <w:rsid w:val="004E7936"/>
    <w:rsid w:val="004E7DF2"/>
    <w:rsid w:val="004F0284"/>
    <w:rsid w:val="004F0D16"/>
    <w:rsid w:val="004F0D3D"/>
    <w:rsid w:val="004F1099"/>
    <w:rsid w:val="004F1362"/>
    <w:rsid w:val="004F2025"/>
    <w:rsid w:val="004F2A5C"/>
    <w:rsid w:val="004F2B30"/>
    <w:rsid w:val="004F3766"/>
    <w:rsid w:val="004F3C2F"/>
    <w:rsid w:val="004F458D"/>
    <w:rsid w:val="004F4775"/>
    <w:rsid w:val="004F47D0"/>
    <w:rsid w:val="004F4BB8"/>
    <w:rsid w:val="004F4ED3"/>
    <w:rsid w:val="004F50AF"/>
    <w:rsid w:val="004F519D"/>
    <w:rsid w:val="004F540B"/>
    <w:rsid w:val="004F5906"/>
    <w:rsid w:val="004F5C89"/>
    <w:rsid w:val="004F6194"/>
    <w:rsid w:val="004F6747"/>
    <w:rsid w:val="004F67A8"/>
    <w:rsid w:val="004F6B6B"/>
    <w:rsid w:val="004F776D"/>
    <w:rsid w:val="004F7BD3"/>
    <w:rsid w:val="005011AF"/>
    <w:rsid w:val="00501BC3"/>
    <w:rsid w:val="00501F7C"/>
    <w:rsid w:val="0050227C"/>
    <w:rsid w:val="00502363"/>
    <w:rsid w:val="00502461"/>
    <w:rsid w:val="00502BC6"/>
    <w:rsid w:val="00502F70"/>
    <w:rsid w:val="00502FC6"/>
    <w:rsid w:val="0050394C"/>
    <w:rsid w:val="0050399F"/>
    <w:rsid w:val="00503F93"/>
    <w:rsid w:val="00504029"/>
    <w:rsid w:val="00504A16"/>
    <w:rsid w:val="005050CE"/>
    <w:rsid w:val="00505B5C"/>
    <w:rsid w:val="00505F3E"/>
    <w:rsid w:val="00506251"/>
    <w:rsid w:val="00506408"/>
    <w:rsid w:val="005067A1"/>
    <w:rsid w:val="00506932"/>
    <w:rsid w:val="0050813F"/>
    <w:rsid w:val="00511476"/>
    <w:rsid w:val="00511B51"/>
    <w:rsid w:val="00511CBB"/>
    <w:rsid w:val="00512CC3"/>
    <w:rsid w:val="005130D9"/>
    <w:rsid w:val="005132CD"/>
    <w:rsid w:val="005135D6"/>
    <w:rsid w:val="00513645"/>
    <w:rsid w:val="00513822"/>
    <w:rsid w:val="00513A2B"/>
    <w:rsid w:val="00514158"/>
    <w:rsid w:val="005145A6"/>
    <w:rsid w:val="00514783"/>
    <w:rsid w:val="005149AA"/>
    <w:rsid w:val="00514B66"/>
    <w:rsid w:val="0051576B"/>
    <w:rsid w:val="00517042"/>
    <w:rsid w:val="005170C5"/>
    <w:rsid w:val="0051734F"/>
    <w:rsid w:val="00517C44"/>
    <w:rsid w:val="0052019A"/>
    <w:rsid w:val="00520816"/>
    <w:rsid w:val="00520E61"/>
    <w:rsid w:val="00521D56"/>
    <w:rsid w:val="00521F26"/>
    <w:rsid w:val="005225D7"/>
    <w:rsid w:val="00522F33"/>
    <w:rsid w:val="0052367C"/>
    <w:rsid w:val="005238F8"/>
    <w:rsid w:val="00523DD6"/>
    <w:rsid w:val="0052443A"/>
    <w:rsid w:val="00524CE6"/>
    <w:rsid w:val="00525F0E"/>
    <w:rsid w:val="005279F7"/>
    <w:rsid w:val="00527E90"/>
    <w:rsid w:val="00527EF6"/>
    <w:rsid w:val="005306C4"/>
    <w:rsid w:val="0053078D"/>
    <w:rsid w:val="00530830"/>
    <w:rsid w:val="00530BA1"/>
    <w:rsid w:val="00530D4E"/>
    <w:rsid w:val="00530FC7"/>
    <w:rsid w:val="00531B36"/>
    <w:rsid w:val="00531D9F"/>
    <w:rsid w:val="00531FC9"/>
    <w:rsid w:val="00531FDD"/>
    <w:rsid w:val="00532026"/>
    <w:rsid w:val="0053327A"/>
    <w:rsid w:val="005333D5"/>
    <w:rsid w:val="00533D6A"/>
    <w:rsid w:val="00533D84"/>
    <w:rsid w:val="00533E53"/>
    <w:rsid w:val="005342A5"/>
    <w:rsid w:val="00534721"/>
    <w:rsid w:val="00534F88"/>
    <w:rsid w:val="00535350"/>
    <w:rsid w:val="00535515"/>
    <w:rsid w:val="005358F0"/>
    <w:rsid w:val="00535A98"/>
    <w:rsid w:val="00535FA2"/>
    <w:rsid w:val="005360A3"/>
    <w:rsid w:val="00536360"/>
    <w:rsid w:val="00536B6D"/>
    <w:rsid w:val="00536EFA"/>
    <w:rsid w:val="0053702D"/>
    <w:rsid w:val="005373DB"/>
    <w:rsid w:val="005404ED"/>
    <w:rsid w:val="005406AD"/>
    <w:rsid w:val="00541716"/>
    <w:rsid w:val="005418C9"/>
    <w:rsid w:val="00541E37"/>
    <w:rsid w:val="0054248F"/>
    <w:rsid w:val="005429A0"/>
    <w:rsid w:val="00542C33"/>
    <w:rsid w:val="00542DE2"/>
    <w:rsid w:val="00542E0D"/>
    <w:rsid w:val="00542EAE"/>
    <w:rsid w:val="00543438"/>
    <w:rsid w:val="00543964"/>
    <w:rsid w:val="00543AB9"/>
    <w:rsid w:val="00543DBD"/>
    <w:rsid w:val="0054446A"/>
    <w:rsid w:val="00544AC0"/>
    <w:rsid w:val="00544C58"/>
    <w:rsid w:val="00544DA4"/>
    <w:rsid w:val="00544E37"/>
    <w:rsid w:val="00545461"/>
    <w:rsid w:val="00546AE8"/>
    <w:rsid w:val="00547047"/>
    <w:rsid w:val="00547294"/>
    <w:rsid w:val="00547774"/>
    <w:rsid w:val="00547B50"/>
    <w:rsid w:val="00547D9D"/>
    <w:rsid w:val="00550113"/>
    <w:rsid w:val="005506DD"/>
    <w:rsid w:val="00550DD0"/>
    <w:rsid w:val="00551014"/>
    <w:rsid w:val="005511AD"/>
    <w:rsid w:val="00551271"/>
    <w:rsid w:val="005516D2"/>
    <w:rsid w:val="005522A9"/>
    <w:rsid w:val="0055245C"/>
    <w:rsid w:val="005524DF"/>
    <w:rsid w:val="005528C1"/>
    <w:rsid w:val="00552A83"/>
    <w:rsid w:val="00552E3E"/>
    <w:rsid w:val="00553429"/>
    <w:rsid w:val="00553744"/>
    <w:rsid w:val="005538A7"/>
    <w:rsid w:val="00553A57"/>
    <w:rsid w:val="0055473C"/>
    <w:rsid w:val="00554886"/>
    <w:rsid w:val="00554A32"/>
    <w:rsid w:val="00554EFF"/>
    <w:rsid w:val="005551DD"/>
    <w:rsid w:val="005551F9"/>
    <w:rsid w:val="00555830"/>
    <w:rsid w:val="00555D94"/>
    <w:rsid w:val="005563DA"/>
    <w:rsid w:val="0055657F"/>
    <w:rsid w:val="00556822"/>
    <w:rsid w:val="00556E89"/>
    <w:rsid w:val="0055791B"/>
    <w:rsid w:val="00557CBB"/>
    <w:rsid w:val="00557CEB"/>
    <w:rsid w:val="00557D09"/>
    <w:rsid w:val="00557D2E"/>
    <w:rsid w:val="0056083C"/>
    <w:rsid w:val="005609D1"/>
    <w:rsid w:val="00560A14"/>
    <w:rsid w:val="00560A5C"/>
    <w:rsid w:val="00561375"/>
    <w:rsid w:val="005617F7"/>
    <w:rsid w:val="0056181B"/>
    <w:rsid w:val="00562181"/>
    <w:rsid w:val="00562B8B"/>
    <w:rsid w:val="00563313"/>
    <w:rsid w:val="00563474"/>
    <w:rsid w:val="005634C3"/>
    <w:rsid w:val="005643EA"/>
    <w:rsid w:val="0056494B"/>
    <w:rsid w:val="00564A89"/>
    <w:rsid w:val="00565031"/>
    <w:rsid w:val="0056568B"/>
    <w:rsid w:val="00566615"/>
    <w:rsid w:val="005666F4"/>
    <w:rsid w:val="00566A45"/>
    <w:rsid w:val="0057104C"/>
    <w:rsid w:val="00571F4D"/>
    <w:rsid w:val="005723E9"/>
    <w:rsid w:val="005727AA"/>
    <w:rsid w:val="005727DB"/>
    <w:rsid w:val="00572C82"/>
    <w:rsid w:val="00572FA8"/>
    <w:rsid w:val="0057350E"/>
    <w:rsid w:val="0057364B"/>
    <w:rsid w:val="00573BD4"/>
    <w:rsid w:val="00573DB4"/>
    <w:rsid w:val="005740BA"/>
    <w:rsid w:val="005749A1"/>
    <w:rsid w:val="00574C08"/>
    <w:rsid w:val="005756F8"/>
    <w:rsid w:val="00575D38"/>
    <w:rsid w:val="00575F1F"/>
    <w:rsid w:val="00576215"/>
    <w:rsid w:val="0057632A"/>
    <w:rsid w:val="005764D6"/>
    <w:rsid w:val="00576702"/>
    <w:rsid w:val="005769BF"/>
    <w:rsid w:val="00576C84"/>
    <w:rsid w:val="00576E55"/>
    <w:rsid w:val="0057753A"/>
    <w:rsid w:val="00577A1C"/>
    <w:rsid w:val="005808DE"/>
    <w:rsid w:val="00581030"/>
    <w:rsid w:val="00581274"/>
    <w:rsid w:val="005815B0"/>
    <w:rsid w:val="005819C0"/>
    <w:rsid w:val="00581FA5"/>
    <w:rsid w:val="00582156"/>
    <w:rsid w:val="005822C8"/>
    <w:rsid w:val="00582496"/>
    <w:rsid w:val="00582923"/>
    <w:rsid w:val="00582A58"/>
    <w:rsid w:val="00583884"/>
    <w:rsid w:val="005839C1"/>
    <w:rsid w:val="00583ECC"/>
    <w:rsid w:val="00583FE1"/>
    <w:rsid w:val="00584165"/>
    <w:rsid w:val="00584598"/>
    <w:rsid w:val="00584AD6"/>
    <w:rsid w:val="00584B3F"/>
    <w:rsid w:val="00584E37"/>
    <w:rsid w:val="00585466"/>
    <w:rsid w:val="00585C1D"/>
    <w:rsid w:val="0058617B"/>
    <w:rsid w:val="00586538"/>
    <w:rsid w:val="0059005C"/>
    <w:rsid w:val="00590386"/>
    <w:rsid w:val="005911AC"/>
    <w:rsid w:val="0059137F"/>
    <w:rsid w:val="0059138D"/>
    <w:rsid w:val="00591990"/>
    <w:rsid w:val="005930CA"/>
    <w:rsid w:val="005931B3"/>
    <w:rsid w:val="005937D1"/>
    <w:rsid w:val="0059388B"/>
    <w:rsid w:val="00593E1F"/>
    <w:rsid w:val="0059475A"/>
    <w:rsid w:val="00595017"/>
    <w:rsid w:val="00595DEC"/>
    <w:rsid w:val="0059604A"/>
    <w:rsid w:val="0059657D"/>
    <w:rsid w:val="005965CE"/>
    <w:rsid w:val="00596B6C"/>
    <w:rsid w:val="0059713C"/>
    <w:rsid w:val="00597425"/>
    <w:rsid w:val="00597452"/>
    <w:rsid w:val="005975C3"/>
    <w:rsid w:val="00597BBC"/>
    <w:rsid w:val="00597E9E"/>
    <w:rsid w:val="005A020C"/>
    <w:rsid w:val="005A0453"/>
    <w:rsid w:val="005A137D"/>
    <w:rsid w:val="005A18FB"/>
    <w:rsid w:val="005A1E30"/>
    <w:rsid w:val="005A2182"/>
    <w:rsid w:val="005A2363"/>
    <w:rsid w:val="005A2646"/>
    <w:rsid w:val="005A2AEA"/>
    <w:rsid w:val="005A2C21"/>
    <w:rsid w:val="005A2E33"/>
    <w:rsid w:val="005A326B"/>
    <w:rsid w:val="005A3A01"/>
    <w:rsid w:val="005A3BAA"/>
    <w:rsid w:val="005A3D5B"/>
    <w:rsid w:val="005A43B1"/>
    <w:rsid w:val="005A4E71"/>
    <w:rsid w:val="005A510E"/>
    <w:rsid w:val="005A52E6"/>
    <w:rsid w:val="005A5863"/>
    <w:rsid w:val="005A5960"/>
    <w:rsid w:val="005A5CCD"/>
    <w:rsid w:val="005A5E6F"/>
    <w:rsid w:val="005A6081"/>
    <w:rsid w:val="005A60A5"/>
    <w:rsid w:val="005A6305"/>
    <w:rsid w:val="005A63A1"/>
    <w:rsid w:val="005A670F"/>
    <w:rsid w:val="005A68BC"/>
    <w:rsid w:val="005A6940"/>
    <w:rsid w:val="005A6F9B"/>
    <w:rsid w:val="005A70DD"/>
    <w:rsid w:val="005A760D"/>
    <w:rsid w:val="005A7CA9"/>
    <w:rsid w:val="005B02DE"/>
    <w:rsid w:val="005B03FD"/>
    <w:rsid w:val="005B0463"/>
    <w:rsid w:val="005B04C9"/>
    <w:rsid w:val="005B089A"/>
    <w:rsid w:val="005B0C36"/>
    <w:rsid w:val="005B0C8D"/>
    <w:rsid w:val="005B10B8"/>
    <w:rsid w:val="005B13A0"/>
    <w:rsid w:val="005B17C9"/>
    <w:rsid w:val="005B1C67"/>
    <w:rsid w:val="005B24C3"/>
    <w:rsid w:val="005B321D"/>
    <w:rsid w:val="005B33EE"/>
    <w:rsid w:val="005B3AEF"/>
    <w:rsid w:val="005B3B7C"/>
    <w:rsid w:val="005B408D"/>
    <w:rsid w:val="005B508C"/>
    <w:rsid w:val="005B50C3"/>
    <w:rsid w:val="005B54BB"/>
    <w:rsid w:val="005B555E"/>
    <w:rsid w:val="005B5D85"/>
    <w:rsid w:val="005B64DF"/>
    <w:rsid w:val="005B7BD6"/>
    <w:rsid w:val="005B7EFB"/>
    <w:rsid w:val="005C14B0"/>
    <w:rsid w:val="005C1BC9"/>
    <w:rsid w:val="005C287F"/>
    <w:rsid w:val="005C2A1D"/>
    <w:rsid w:val="005C2BC8"/>
    <w:rsid w:val="005C2DE8"/>
    <w:rsid w:val="005C4591"/>
    <w:rsid w:val="005C5136"/>
    <w:rsid w:val="005C517E"/>
    <w:rsid w:val="005C5773"/>
    <w:rsid w:val="005C58BD"/>
    <w:rsid w:val="005C68AD"/>
    <w:rsid w:val="005C6C7F"/>
    <w:rsid w:val="005C6CF7"/>
    <w:rsid w:val="005C6DEB"/>
    <w:rsid w:val="005C7590"/>
    <w:rsid w:val="005C7A91"/>
    <w:rsid w:val="005D07DF"/>
    <w:rsid w:val="005D09EB"/>
    <w:rsid w:val="005D1562"/>
    <w:rsid w:val="005D20C0"/>
    <w:rsid w:val="005D277B"/>
    <w:rsid w:val="005D2E06"/>
    <w:rsid w:val="005D2F62"/>
    <w:rsid w:val="005D3318"/>
    <w:rsid w:val="005D3493"/>
    <w:rsid w:val="005D35A0"/>
    <w:rsid w:val="005D3ACB"/>
    <w:rsid w:val="005D3DD9"/>
    <w:rsid w:val="005D3E00"/>
    <w:rsid w:val="005D40D9"/>
    <w:rsid w:val="005D476E"/>
    <w:rsid w:val="005D48F6"/>
    <w:rsid w:val="005D4E27"/>
    <w:rsid w:val="005D50AB"/>
    <w:rsid w:val="005D5228"/>
    <w:rsid w:val="005D5509"/>
    <w:rsid w:val="005D5914"/>
    <w:rsid w:val="005D5E4A"/>
    <w:rsid w:val="005D6337"/>
    <w:rsid w:val="005D6F8E"/>
    <w:rsid w:val="005E0301"/>
    <w:rsid w:val="005E03B8"/>
    <w:rsid w:val="005E079C"/>
    <w:rsid w:val="005E0917"/>
    <w:rsid w:val="005E0A37"/>
    <w:rsid w:val="005E1B10"/>
    <w:rsid w:val="005E23B0"/>
    <w:rsid w:val="005E295E"/>
    <w:rsid w:val="005E2D6F"/>
    <w:rsid w:val="005E3309"/>
    <w:rsid w:val="005E3471"/>
    <w:rsid w:val="005E38B5"/>
    <w:rsid w:val="005E39E6"/>
    <w:rsid w:val="005E3D60"/>
    <w:rsid w:val="005E4226"/>
    <w:rsid w:val="005E4BEC"/>
    <w:rsid w:val="005E4EB0"/>
    <w:rsid w:val="005E5070"/>
    <w:rsid w:val="005E51C6"/>
    <w:rsid w:val="005E6DE5"/>
    <w:rsid w:val="005E6E2E"/>
    <w:rsid w:val="005E72BA"/>
    <w:rsid w:val="005E7377"/>
    <w:rsid w:val="005E7DF2"/>
    <w:rsid w:val="005F0520"/>
    <w:rsid w:val="005F05ED"/>
    <w:rsid w:val="005F0821"/>
    <w:rsid w:val="005F088A"/>
    <w:rsid w:val="005F09FB"/>
    <w:rsid w:val="005F0A8B"/>
    <w:rsid w:val="005F0AEE"/>
    <w:rsid w:val="005F0DAE"/>
    <w:rsid w:val="005F1095"/>
    <w:rsid w:val="005F12F9"/>
    <w:rsid w:val="005F136C"/>
    <w:rsid w:val="005F1957"/>
    <w:rsid w:val="005F1990"/>
    <w:rsid w:val="005F1EB8"/>
    <w:rsid w:val="005F20CB"/>
    <w:rsid w:val="005F2B2B"/>
    <w:rsid w:val="005F3409"/>
    <w:rsid w:val="005F3AC1"/>
    <w:rsid w:val="005F3BBE"/>
    <w:rsid w:val="005F42EF"/>
    <w:rsid w:val="005F4887"/>
    <w:rsid w:val="005F4F28"/>
    <w:rsid w:val="005F52EC"/>
    <w:rsid w:val="005F5B6B"/>
    <w:rsid w:val="005F5DF8"/>
    <w:rsid w:val="005F6354"/>
    <w:rsid w:val="005F6603"/>
    <w:rsid w:val="005F6854"/>
    <w:rsid w:val="005F6AA2"/>
    <w:rsid w:val="005F6F93"/>
    <w:rsid w:val="005F6FDF"/>
    <w:rsid w:val="005F70C4"/>
    <w:rsid w:val="0060010C"/>
    <w:rsid w:val="006002BE"/>
    <w:rsid w:val="0060043C"/>
    <w:rsid w:val="00600733"/>
    <w:rsid w:val="00600B75"/>
    <w:rsid w:val="00601450"/>
    <w:rsid w:val="006015FF"/>
    <w:rsid w:val="006016BB"/>
    <w:rsid w:val="0060179C"/>
    <w:rsid w:val="006022CB"/>
    <w:rsid w:val="00602FA5"/>
    <w:rsid w:val="00603276"/>
    <w:rsid w:val="00603DEF"/>
    <w:rsid w:val="006043A5"/>
    <w:rsid w:val="00604786"/>
    <w:rsid w:val="00604C8D"/>
    <w:rsid w:val="00604E5F"/>
    <w:rsid w:val="0060500C"/>
    <w:rsid w:val="00605A9A"/>
    <w:rsid w:val="00605C13"/>
    <w:rsid w:val="00605F23"/>
    <w:rsid w:val="00606414"/>
    <w:rsid w:val="00606690"/>
    <w:rsid w:val="0060673F"/>
    <w:rsid w:val="00606885"/>
    <w:rsid w:val="0060723F"/>
    <w:rsid w:val="006072F5"/>
    <w:rsid w:val="00607523"/>
    <w:rsid w:val="00607B3B"/>
    <w:rsid w:val="006102A9"/>
    <w:rsid w:val="00610349"/>
    <w:rsid w:val="00610500"/>
    <w:rsid w:val="006108B8"/>
    <w:rsid w:val="00610920"/>
    <w:rsid w:val="00610B56"/>
    <w:rsid w:val="00611073"/>
    <w:rsid w:val="00611885"/>
    <w:rsid w:val="00611C39"/>
    <w:rsid w:val="00611DFE"/>
    <w:rsid w:val="0061222C"/>
    <w:rsid w:val="0061248F"/>
    <w:rsid w:val="00612780"/>
    <w:rsid w:val="006128D7"/>
    <w:rsid w:val="006137FD"/>
    <w:rsid w:val="00614509"/>
    <w:rsid w:val="0061482E"/>
    <w:rsid w:val="00615178"/>
    <w:rsid w:val="0061536B"/>
    <w:rsid w:val="0061552A"/>
    <w:rsid w:val="0061552D"/>
    <w:rsid w:val="0061562E"/>
    <w:rsid w:val="00615CD6"/>
    <w:rsid w:val="006160B1"/>
    <w:rsid w:val="00616264"/>
    <w:rsid w:val="00616690"/>
    <w:rsid w:val="00616E90"/>
    <w:rsid w:val="00617121"/>
    <w:rsid w:val="0061722C"/>
    <w:rsid w:val="00617AD4"/>
    <w:rsid w:val="00620325"/>
    <w:rsid w:val="00620AB3"/>
    <w:rsid w:val="00622B37"/>
    <w:rsid w:val="00622DD8"/>
    <w:rsid w:val="00622DF8"/>
    <w:rsid w:val="006238FA"/>
    <w:rsid w:val="00623B51"/>
    <w:rsid w:val="00623BD2"/>
    <w:rsid w:val="00623EAD"/>
    <w:rsid w:val="00624305"/>
    <w:rsid w:val="00624624"/>
    <w:rsid w:val="0062558D"/>
    <w:rsid w:val="006259C7"/>
    <w:rsid w:val="0062658C"/>
    <w:rsid w:val="006269F7"/>
    <w:rsid w:val="00626A88"/>
    <w:rsid w:val="00627143"/>
    <w:rsid w:val="0062788E"/>
    <w:rsid w:val="00630711"/>
    <w:rsid w:val="006317A9"/>
    <w:rsid w:val="006317CC"/>
    <w:rsid w:val="00631BF2"/>
    <w:rsid w:val="00632092"/>
    <w:rsid w:val="00632EDA"/>
    <w:rsid w:val="0063314E"/>
    <w:rsid w:val="0063337F"/>
    <w:rsid w:val="0063349C"/>
    <w:rsid w:val="00633D3C"/>
    <w:rsid w:val="00633DEB"/>
    <w:rsid w:val="0063421C"/>
    <w:rsid w:val="006343AC"/>
    <w:rsid w:val="0063493E"/>
    <w:rsid w:val="0063501E"/>
    <w:rsid w:val="006350F8"/>
    <w:rsid w:val="00635AED"/>
    <w:rsid w:val="00635D6C"/>
    <w:rsid w:val="006364E5"/>
    <w:rsid w:val="00640475"/>
    <w:rsid w:val="00640831"/>
    <w:rsid w:val="00640E17"/>
    <w:rsid w:val="00641571"/>
    <w:rsid w:val="00641E3B"/>
    <w:rsid w:val="0064247A"/>
    <w:rsid w:val="00643011"/>
    <w:rsid w:val="00643250"/>
    <w:rsid w:val="00643362"/>
    <w:rsid w:val="00643D03"/>
    <w:rsid w:val="00644400"/>
    <w:rsid w:val="00644563"/>
    <w:rsid w:val="00644831"/>
    <w:rsid w:val="0064497A"/>
    <w:rsid w:val="0064499D"/>
    <w:rsid w:val="00645015"/>
    <w:rsid w:val="006452A4"/>
    <w:rsid w:val="00645573"/>
    <w:rsid w:val="006455B0"/>
    <w:rsid w:val="00645ADD"/>
    <w:rsid w:val="00646287"/>
    <w:rsid w:val="006462E3"/>
    <w:rsid w:val="00646404"/>
    <w:rsid w:val="0064687B"/>
    <w:rsid w:val="00646C26"/>
    <w:rsid w:val="00646D1B"/>
    <w:rsid w:val="00647115"/>
    <w:rsid w:val="00647374"/>
    <w:rsid w:val="0064767A"/>
    <w:rsid w:val="006477B8"/>
    <w:rsid w:val="00647828"/>
    <w:rsid w:val="00647F9C"/>
    <w:rsid w:val="0065016E"/>
    <w:rsid w:val="00650B6C"/>
    <w:rsid w:val="00650D5A"/>
    <w:rsid w:val="00650DB8"/>
    <w:rsid w:val="00651910"/>
    <w:rsid w:val="00651C18"/>
    <w:rsid w:val="00651E27"/>
    <w:rsid w:val="00652460"/>
    <w:rsid w:val="006527CF"/>
    <w:rsid w:val="00652DF7"/>
    <w:rsid w:val="00652F11"/>
    <w:rsid w:val="00652FA2"/>
    <w:rsid w:val="00652FBC"/>
    <w:rsid w:val="006545B9"/>
    <w:rsid w:val="00654769"/>
    <w:rsid w:val="00654A02"/>
    <w:rsid w:val="00654B28"/>
    <w:rsid w:val="006561F2"/>
    <w:rsid w:val="0065624C"/>
    <w:rsid w:val="00656780"/>
    <w:rsid w:val="00656BF0"/>
    <w:rsid w:val="00657BE8"/>
    <w:rsid w:val="0066029F"/>
    <w:rsid w:val="00660FF9"/>
    <w:rsid w:val="00661415"/>
    <w:rsid w:val="0066173C"/>
    <w:rsid w:val="0066186C"/>
    <w:rsid w:val="00662545"/>
    <w:rsid w:val="00664008"/>
    <w:rsid w:val="00664361"/>
    <w:rsid w:val="006646B6"/>
    <w:rsid w:val="00664874"/>
    <w:rsid w:val="006659D2"/>
    <w:rsid w:val="00665E12"/>
    <w:rsid w:val="006660B9"/>
    <w:rsid w:val="00666996"/>
    <w:rsid w:val="00670C25"/>
    <w:rsid w:val="006710A3"/>
    <w:rsid w:val="00671180"/>
    <w:rsid w:val="00672A65"/>
    <w:rsid w:val="00672CA4"/>
    <w:rsid w:val="00672D2A"/>
    <w:rsid w:val="00673B73"/>
    <w:rsid w:val="00673B96"/>
    <w:rsid w:val="006746DB"/>
    <w:rsid w:val="00674A3C"/>
    <w:rsid w:val="00674BF5"/>
    <w:rsid w:val="00674CCB"/>
    <w:rsid w:val="006750B8"/>
    <w:rsid w:val="006759D7"/>
    <w:rsid w:val="00676819"/>
    <w:rsid w:val="00676B42"/>
    <w:rsid w:val="00676B98"/>
    <w:rsid w:val="00676E10"/>
    <w:rsid w:val="00676EAF"/>
    <w:rsid w:val="006771CE"/>
    <w:rsid w:val="00677398"/>
    <w:rsid w:val="00677540"/>
    <w:rsid w:val="006778A2"/>
    <w:rsid w:val="00677A91"/>
    <w:rsid w:val="00680478"/>
    <w:rsid w:val="00681382"/>
    <w:rsid w:val="00683093"/>
    <w:rsid w:val="00684138"/>
    <w:rsid w:val="00684CE6"/>
    <w:rsid w:val="00684E08"/>
    <w:rsid w:val="00684EA1"/>
    <w:rsid w:val="0068509B"/>
    <w:rsid w:val="00685182"/>
    <w:rsid w:val="006857B5"/>
    <w:rsid w:val="0068594D"/>
    <w:rsid w:val="00685C3A"/>
    <w:rsid w:val="006862BC"/>
    <w:rsid w:val="006865F1"/>
    <w:rsid w:val="00686932"/>
    <w:rsid w:val="0068695A"/>
    <w:rsid w:val="00686AE9"/>
    <w:rsid w:val="0068743C"/>
    <w:rsid w:val="00690D01"/>
    <w:rsid w:val="00691342"/>
    <w:rsid w:val="006916DC"/>
    <w:rsid w:val="006917A5"/>
    <w:rsid w:val="00691F49"/>
    <w:rsid w:val="00691F9C"/>
    <w:rsid w:val="00692342"/>
    <w:rsid w:val="006929CF"/>
    <w:rsid w:val="00692A55"/>
    <w:rsid w:val="00692B10"/>
    <w:rsid w:val="00693056"/>
    <w:rsid w:val="00693092"/>
    <w:rsid w:val="006936F5"/>
    <w:rsid w:val="00693B95"/>
    <w:rsid w:val="00693F4C"/>
    <w:rsid w:val="00694260"/>
    <w:rsid w:val="00694507"/>
    <w:rsid w:val="00694CA0"/>
    <w:rsid w:val="00694DE2"/>
    <w:rsid w:val="00694FC2"/>
    <w:rsid w:val="006952C4"/>
    <w:rsid w:val="0069572F"/>
    <w:rsid w:val="0069619C"/>
    <w:rsid w:val="0069667E"/>
    <w:rsid w:val="006966FF"/>
    <w:rsid w:val="00696CB4"/>
    <w:rsid w:val="00696D98"/>
    <w:rsid w:val="00696F12"/>
    <w:rsid w:val="006972E8"/>
    <w:rsid w:val="006A01F5"/>
    <w:rsid w:val="006A0471"/>
    <w:rsid w:val="006A14F6"/>
    <w:rsid w:val="006A20A0"/>
    <w:rsid w:val="006A2291"/>
    <w:rsid w:val="006A2CF7"/>
    <w:rsid w:val="006A3201"/>
    <w:rsid w:val="006A3874"/>
    <w:rsid w:val="006A3A82"/>
    <w:rsid w:val="006A48FF"/>
    <w:rsid w:val="006A4B1B"/>
    <w:rsid w:val="006A4F15"/>
    <w:rsid w:val="006A580B"/>
    <w:rsid w:val="006A5840"/>
    <w:rsid w:val="006A5AD2"/>
    <w:rsid w:val="006A6049"/>
    <w:rsid w:val="006A6072"/>
    <w:rsid w:val="006A66C9"/>
    <w:rsid w:val="006A6822"/>
    <w:rsid w:val="006A6CCF"/>
    <w:rsid w:val="006A74E7"/>
    <w:rsid w:val="006A7AEE"/>
    <w:rsid w:val="006A7DF0"/>
    <w:rsid w:val="006B06DE"/>
    <w:rsid w:val="006B08A5"/>
    <w:rsid w:val="006B114E"/>
    <w:rsid w:val="006B126A"/>
    <w:rsid w:val="006B19A0"/>
    <w:rsid w:val="006B1A77"/>
    <w:rsid w:val="006B1D7B"/>
    <w:rsid w:val="006B2333"/>
    <w:rsid w:val="006B2A31"/>
    <w:rsid w:val="006B2C5D"/>
    <w:rsid w:val="006B3029"/>
    <w:rsid w:val="006B36C2"/>
    <w:rsid w:val="006B3BAE"/>
    <w:rsid w:val="006B42A7"/>
    <w:rsid w:val="006B42BD"/>
    <w:rsid w:val="006B4773"/>
    <w:rsid w:val="006B4AC8"/>
    <w:rsid w:val="006B55D6"/>
    <w:rsid w:val="006B5A2B"/>
    <w:rsid w:val="006B5BA8"/>
    <w:rsid w:val="006B5FEC"/>
    <w:rsid w:val="006B6D0F"/>
    <w:rsid w:val="006B6D4F"/>
    <w:rsid w:val="006B6E6A"/>
    <w:rsid w:val="006B7228"/>
    <w:rsid w:val="006B72F3"/>
    <w:rsid w:val="006B77CA"/>
    <w:rsid w:val="006B796B"/>
    <w:rsid w:val="006B7AD9"/>
    <w:rsid w:val="006B7FD0"/>
    <w:rsid w:val="006C0177"/>
    <w:rsid w:val="006C03E6"/>
    <w:rsid w:val="006C05D4"/>
    <w:rsid w:val="006C0691"/>
    <w:rsid w:val="006C0915"/>
    <w:rsid w:val="006C0EF3"/>
    <w:rsid w:val="006C10E4"/>
    <w:rsid w:val="006C11BB"/>
    <w:rsid w:val="006C163A"/>
    <w:rsid w:val="006C1FB5"/>
    <w:rsid w:val="006C21BA"/>
    <w:rsid w:val="006C2F61"/>
    <w:rsid w:val="006C35BA"/>
    <w:rsid w:val="006C3FA1"/>
    <w:rsid w:val="006C3FF9"/>
    <w:rsid w:val="006C4136"/>
    <w:rsid w:val="006C4174"/>
    <w:rsid w:val="006C45C6"/>
    <w:rsid w:val="006C4A8F"/>
    <w:rsid w:val="006C4D76"/>
    <w:rsid w:val="006C4FB6"/>
    <w:rsid w:val="006C52E6"/>
    <w:rsid w:val="006C65A8"/>
    <w:rsid w:val="006C66DB"/>
    <w:rsid w:val="006C6CA7"/>
    <w:rsid w:val="006C6D3F"/>
    <w:rsid w:val="006C6EE0"/>
    <w:rsid w:val="006C719F"/>
    <w:rsid w:val="006C7201"/>
    <w:rsid w:val="006C72AE"/>
    <w:rsid w:val="006C77F3"/>
    <w:rsid w:val="006D03F0"/>
    <w:rsid w:val="006D05DA"/>
    <w:rsid w:val="006D1EB6"/>
    <w:rsid w:val="006D2D2D"/>
    <w:rsid w:val="006D35FC"/>
    <w:rsid w:val="006D36E6"/>
    <w:rsid w:val="006D3733"/>
    <w:rsid w:val="006D3B1A"/>
    <w:rsid w:val="006D3D8C"/>
    <w:rsid w:val="006D49F3"/>
    <w:rsid w:val="006D665A"/>
    <w:rsid w:val="006D69BF"/>
    <w:rsid w:val="006D6AE0"/>
    <w:rsid w:val="006D720D"/>
    <w:rsid w:val="006D730B"/>
    <w:rsid w:val="006D7512"/>
    <w:rsid w:val="006D7A5E"/>
    <w:rsid w:val="006D7AEC"/>
    <w:rsid w:val="006D7FBB"/>
    <w:rsid w:val="006D7FD3"/>
    <w:rsid w:val="006E01DA"/>
    <w:rsid w:val="006E0809"/>
    <w:rsid w:val="006E20E4"/>
    <w:rsid w:val="006E3440"/>
    <w:rsid w:val="006E345B"/>
    <w:rsid w:val="006E4174"/>
    <w:rsid w:val="006E465B"/>
    <w:rsid w:val="006E51FB"/>
    <w:rsid w:val="006E52E7"/>
    <w:rsid w:val="006E5518"/>
    <w:rsid w:val="006E559D"/>
    <w:rsid w:val="006E5D07"/>
    <w:rsid w:val="006E5FCC"/>
    <w:rsid w:val="006E61E4"/>
    <w:rsid w:val="006E6778"/>
    <w:rsid w:val="006E6AEF"/>
    <w:rsid w:val="006E73A1"/>
    <w:rsid w:val="006E7B6B"/>
    <w:rsid w:val="006F0968"/>
    <w:rsid w:val="006F18EC"/>
    <w:rsid w:val="006F20A4"/>
    <w:rsid w:val="006F25BE"/>
    <w:rsid w:val="006F2637"/>
    <w:rsid w:val="006F2761"/>
    <w:rsid w:val="006F2799"/>
    <w:rsid w:val="006F2989"/>
    <w:rsid w:val="006F3251"/>
    <w:rsid w:val="006F3626"/>
    <w:rsid w:val="006F369C"/>
    <w:rsid w:val="006F39CE"/>
    <w:rsid w:val="006F4170"/>
    <w:rsid w:val="006F4B79"/>
    <w:rsid w:val="006F503D"/>
    <w:rsid w:val="006F53D7"/>
    <w:rsid w:val="006F6973"/>
    <w:rsid w:val="006F7212"/>
    <w:rsid w:val="0070008E"/>
    <w:rsid w:val="007000CF"/>
    <w:rsid w:val="00700DE8"/>
    <w:rsid w:val="00700DFD"/>
    <w:rsid w:val="00700FD8"/>
    <w:rsid w:val="007016AD"/>
    <w:rsid w:val="0070245C"/>
    <w:rsid w:val="007031E9"/>
    <w:rsid w:val="00703255"/>
    <w:rsid w:val="0070372D"/>
    <w:rsid w:val="00703C87"/>
    <w:rsid w:val="00704BFF"/>
    <w:rsid w:val="00705025"/>
    <w:rsid w:val="0070505F"/>
    <w:rsid w:val="00705EB9"/>
    <w:rsid w:val="00706212"/>
    <w:rsid w:val="007064A9"/>
    <w:rsid w:val="007064E0"/>
    <w:rsid w:val="007065FE"/>
    <w:rsid w:val="00706A32"/>
    <w:rsid w:val="00706A83"/>
    <w:rsid w:val="00706D25"/>
    <w:rsid w:val="00707045"/>
    <w:rsid w:val="007074CA"/>
    <w:rsid w:val="0070781A"/>
    <w:rsid w:val="007106FB"/>
    <w:rsid w:val="00710CEE"/>
    <w:rsid w:val="00710F31"/>
    <w:rsid w:val="007111B3"/>
    <w:rsid w:val="00711D19"/>
    <w:rsid w:val="00711EC8"/>
    <w:rsid w:val="00711F3A"/>
    <w:rsid w:val="007121C9"/>
    <w:rsid w:val="00712943"/>
    <w:rsid w:val="00712B6C"/>
    <w:rsid w:val="00712C8C"/>
    <w:rsid w:val="007130D0"/>
    <w:rsid w:val="0071377A"/>
    <w:rsid w:val="00713E91"/>
    <w:rsid w:val="0071427D"/>
    <w:rsid w:val="00714293"/>
    <w:rsid w:val="00714BAF"/>
    <w:rsid w:val="00716053"/>
    <w:rsid w:val="007175AE"/>
    <w:rsid w:val="00717FF7"/>
    <w:rsid w:val="007201BC"/>
    <w:rsid w:val="00720A74"/>
    <w:rsid w:val="00720ADC"/>
    <w:rsid w:val="00720B36"/>
    <w:rsid w:val="00721A22"/>
    <w:rsid w:val="00721CEA"/>
    <w:rsid w:val="00721D96"/>
    <w:rsid w:val="00721EE0"/>
    <w:rsid w:val="0072265E"/>
    <w:rsid w:val="007229C5"/>
    <w:rsid w:val="00722A10"/>
    <w:rsid w:val="00722EEC"/>
    <w:rsid w:val="007233B1"/>
    <w:rsid w:val="007237FD"/>
    <w:rsid w:val="00723A40"/>
    <w:rsid w:val="00723AD0"/>
    <w:rsid w:val="007241D3"/>
    <w:rsid w:val="007247ED"/>
    <w:rsid w:val="007248BD"/>
    <w:rsid w:val="00725062"/>
    <w:rsid w:val="00725558"/>
    <w:rsid w:val="00725ABB"/>
    <w:rsid w:val="007260DA"/>
    <w:rsid w:val="00726A9C"/>
    <w:rsid w:val="00727420"/>
    <w:rsid w:val="0072750B"/>
    <w:rsid w:val="00727756"/>
    <w:rsid w:val="0072778F"/>
    <w:rsid w:val="00730040"/>
    <w:rsid w:val="00730255"/>
    <w:rsid w:val="0073032D"/>
    <w:rsid w:val="00730CC7"/>
    <w:rsid w:val="00731232"/>
    <w:rsid w:val="0073242B"/>
    <w:rsid w:val="0073247A"/>
    <w:rsid w:val="00732D6D"/>
    <w:rsid w:val="00732E24"/>
    <w:rsid w:val="0073317D"/>
    <w:rsid w:val="0073320D"/>
    <w:rsid w:val="00733A66"/>
    <w:rsid w:val="00733B77"/>
    <w:rsid w:val="007345BC"/>
    <w:rsid w:val="007345D3"/>
    <w:rsid w:val="0073473E"/>
    <w:rsid w:val="0073527C"/>
    <w:rsid w:val="0073581C"/>
    <w:rsid w:val="00736098"/>
    <w:rsid w:val="00736331"/>
    <w:rsid w:val="0073640A"/>
    <w:rsid w:val="007364B7"/>
    <w:rsid w:val="007365BA"/>
    <w:rsid w:val="00736664"/>
    <w:rsid w:val="00736AD5"/>
    <w:rsid w:val="00736B59"/>
    <w:rsid w:val="00736D27"/>
    <w:rsid w:val="00736E70"/>
    <w:rsid w:val="00736F34"/>
    <w:rsid w:val="00736F86"/>
    <w:rsid w:val="0074085C"/>
    <w:rsid w:val="007414CB"/>
    <w:rsid w:val="00741AF5"/>
    <w:rsid w:val="00741BA6"/>
    <w:rsid w:val="00741D72"/>
    <w:rsid w:val="00741F94"/>
    <w:rsid w:val="007420C6"/>
    <w:rsid w:val="00742305"/>
    <w:rsid w:val="00743048"/>
    <w:rsid w:val="007434D0"/>
    <w:rsid w:val="007436D0"/>
    <w:rsid w:val="00744035"/>
    <w:rsid w:val="007441D7"/>
    <w:rsid w:val="007443FF"/>
    <w:rsid w:val="007445C4"/>
    <w:rsid w:val="007446C9"/>
    <w:rsid w:val="00744926"/>
    <w:rsid w:val="00744C12"/>
    <w:rsid w:val="00745142"/>
    <w:rsid w:val="00745369"/>
    <w:rsid w:val="00745425"/>
    <w:rsid w:val="00745572"/>
    <w:rsid w:val="00745B84"/>
    <w:rsid w:val="007463E2"/>
    <w:rsid w:val="007466A4"/>
    <w:rsid w:val="0074755E"/>
    <w:rsid w:val="0074774F"/>
    <w:rsid w:val="007477B6"/>
    <w:rsid w:val="00747F5A"/>
    <w:rsid w:val="00747FFA"/>
    <w:rsid w:val="007503D4"/>
    <w:rsid w:val="007504D9"/>
    <w:rsid w:val="007510AA"/>
    <w:rsid w:val="0075112B"/>
    <w:rsid w:val="007512B0"/>
    <w:rsid w:val="007513C2"/>
    <w:rsid w:val="007515E5"/>
    <w:rsid w:val="007515FF"/>
    <w:rsid w:val="00752B94"/>
    <w:rsid w:val="0075303E"/>
    <w:rsid w:val="00753251"/>
    <w:rsid w:val="00754015"/>
    <w:rsid w:val="007546CD"/>
    <w:rsid w:val="007549E0"/>
    <w:rsid w:val="00754BBD"/>
    <w:rsid w:val="00754F6F"/>
    <w:rsid w:val="0075517F"/>
    <w:rsid w:val="007552A5"/>
    <w:rsid w:val="00755FD9"/>
    <w:rsid w:val="00756060"/>
    <w:rsid w:val="00756982"/>
    <w:rsid w:val="00756E80"/>
    <w:rsid w:val="007574C3"/>
    <w:rsid w:val="007576C8"/>
    <w:rsid w:val="00757C76"/>
    <w:rsid w:val="007608E4"/>
    <w:rsid w:val="007610E0"/>
    <w:rsid w:val="007615A8"/>
    <w:rsid w:val="00761856"/>
    <w:rsid w:val="00761891"/>
    <w:rsid w:val="00761BB7"/>
    <w:rsid w:val="007623A0"/>
    <w:rsid w:val="00762441"/>
    <w:rsid w:val="0076257F"/>
    <w:rsid w:val="007625B2"/>
    <w:rsid w:val="007632B5"/>
    <w:rsid w:val="0076391F"/>
    <w:rsid w:val="0076398F"/>
    <w:rsid w:val="00763A4B"/>
    <w:rsid w:val="00763B4B"/>
    <w:rsid w:val="00764100"/>
    <w:rsid w:val="0076457A"/>
    <w:rsid w:val="00764B7A"/>
    <w:rsid w:val="00764BC5"/>
    <w:rsid w:val="00764E61"/>
    <w:rsid w:val="00765008"/>
    <w:rsid w:val="0076500E"/>
    <w:rsid w:val="0076530D"/>
    <w:rsid w:val="00765A4E"/>
    <w:rsid w:val="00766856"/>
    <w:rsid w:val="007668FF"/>
    <w:rsid w:val="00766BB5"/>
    <w:rsid w:val="007676ED"/>
    <w:rsid w:val="007679BF"/>
    <w:rsid w:val="00767DFE"/>
    <w:rsid w:val="007704F0"/>
    <w:rsid w:val="0077079E"/>
    <w:rsid w:val="00770830"/>
    <w:rsid w:val="00770D40"/>
    <w:rsid w:val="00770EAF"/>
    <w:rsid w:val="00770F0C"/>
    <w:rsid w:val="007711E7"/>
    <w:rsid w:val="007715D6"/>
    <w:rsid w:val="00771B83"/>
    <w:rsid w:val="00771E97"/>
    <w:rsid w:val="00772027"/>
    <w:rsid w:val="0077276E"/>
    <w:rsid w:val="007729B3"/>
    <w:rsid w:val="00772D0F"/>
    <w:rsid w:val="0077455F"/>
    <w:rsid w:val="007745EB"/>
    <w:rsid w:val="00774653"/>
    <w:rsid w:val="00774698"/>
    <w:rsid w:val="00774931"/>
    <w:rsid w:val="00774DA9"/>
    <w:rsid w:val="00775570"/>
    <w:rsid w:val="0077559A"/>
    <w:rsid w:val="00776552"/>
    <w:rsid w:val="0077785C"/>
    <w:rsid w:val="00777FCF"/>
    <w:rsid w:val="0078015D"/>
    <w:rsid w:val="00781160"/>
    <w:rsid w:val="0078122E"/>
    <w:rsid w:val="007816C5"/>
    <w:rsid w:val="007827A3"/>
    <w:rsid w:val="00782D54"/>
    <w:rsid w:val="007832A1"/>
    <w:rsid w:val="00783881"/>
    <w:rsid w:val="00783DA7"/>
    <w:rsid w:val="00784477"/>
    <w:rsid w:val="00784A19"/>
    <w:rsid w:val="0078506A"/>
    <w:rsid w:val="00785E60"/>
    <w:rsid w:val="00785F3E"/>
    <w:rsid w:val="00786186"/>
    <w:rsid w:val="007864CA"/>
    <w:rsid w:val="00786973"/>
    <w:rsid w:val="00786997"/>
    <w:rsid w:val="00786D30"/>
    <w:rsid w:val="00786EB7"/>
    <w:rsid w:val="00787028"/>
    <w:rsid w:val="00787CDE"/>
    <w:rsid w:val="007904FB"/>
    <w:rsid w:val="00791079"/>
    <w:rsid w:val="007913B1"/>
    <w:rsid w:val="00791DA9"/>
    <w:rsid w:val="00791DF7"/>
    <w:rsid w:val="00791E52"/>
    <w:rsid w:val="007926F8"/>
    <w:rsid w:val="0079311D"/>
    <w:rsid w:val="00793A05"/>
    <w:rsid w:val="00795018"/>
    <w:rsid w:val="0079588F"/>
    <w:rsid w:val="00795C64"/>
    <w:rsid w:val="00795EC6"/>
    <w:rsid w:val="007963FC"/>
    <w:rsid w:val="00796906"/>
    <w:rsid w:val="007969A4"/>
    <w:rsid w:val="0079745A"/>
    <w:rsid w:val="00797715"/>
    <w:rsid w:val="00797C89"/>
    <w:rsid w:val="007A00D6"/>
    <w:rsid w:val="007A045D"/>
    <w:rsid w:val="007A1067"/>
    <w:rsid w:val="007A125B"/>
    <w:rsid w:val="007A1D61"/>
    <w:rsid w:val="007A1E2E"/>
    <w:rsid w:val="007A212A"/>
    <w:rsid w:val="007A2331"/>
    <w:rsid w:val="007A25C2"/>
    <w:rsid w:val="007A2776"/>
    <w:rsid w:val="007A3BF9"/>
    <w:rsid w:val="007A3DC5"/>
    <w:rsid w:val="007A3F70"/>
    <w:rsid w:val="007A40CB"/>
    <w:rsid w:val="007A4538"/>
    <w:rsid w:val="007A49AC"/>
    <w:rsid w:val="007A4CFD"/>
    <w:rsid w:val="007A5DA9"/>
    <w:rsid w:val="007A5E30"/>
    <w:rsid w:val="007A6ECD"/>
    <w:rsid w:val="007A71F9"/>
    <w:rsid w:val="007A7596"/>
    <w:rsid w:val="007A7C5D"/>
    <w:rsid w:val="007B0068"/>
    <w:rsid w:val="007B017A"/>
    <w:rsid w:val="007B025E"/>
    <w:rsid w:val="007B054E"/>
    <w:rsid w:val="007B0AC3"/>
    <w:rsid w:val="007B10CD"/>
    <w:rsid w:val="007B1297"/>
    <w:rsid w:val="007B16A3"/>
    <w:rsid w:val="007B1B88"/>
    <w:rsid w:val="007B2661"/>
    <w:rsid w:val="007B285B"/>
    <w:rsid w:val="007B2E04"/>
    <w:rsid w:val="007B2F85"/>
    <w:rsid w:val="007B3AB2"/>
    <w:rsid w:val="007B4E72"/>
    <w:rsid w:val="007B4F0B"/>
    <w:rsid w:val="007B4FD3"/>
    <w:rsid w:val="007B5523"/>
    <w:rsid w:val="007B576C"/>
    <w:rsid w:val="007B5773"/>
    <w:rsid w:val="007B60A7"/>
    <w:rsid w:val="007B61A9"/>
    <w:rsid w:val="007B6219"/>
    <w:rsid w:val="007B6DA1"/>
    <w:rsid w:val="007B7274"/>
    <w:rsid w:val="007C06F3"/>
    <w:rsid w:val="007C099C"/>
    <w:rsid w:val="007C0C5D"/>
    <w:rsid w:val="007C1F07"/>
    <w:rsid w:val="007C1F92"/>
    <w:rsid w:val="007C3027"/>
    <w:rsid w:val="007C34CB"/>
    <w:rsid w:val="007C3B71"/>
    <w:rsid w:val="007C3E83"/>
    <w:rsid w:val="007C40B0"/>
    <w:rsid w:val="007C4C33"/>
    <w:rsid w:val="007C50A3"/>
    <w:rsid w:val="007C5390"/>
    <w:rsid w:val="007C5872"/>
    <w:rsid w:val="007C58BD"/>
    <w:rsid w:val="007C5DF2"/>
    <w:rsid w:val="007C64F7"/>
    <w:rsid w:val="007C6E13"/>
    <w:rsid w:val="007C6E66"/>
    <w:rsid w:val="007C7637"/>
    <w:rsid w:val="007C795D"/>
    <w:rsid w:val="007D02A6"/>
    <w:rsid w:val="007D0FC8"/>
    <w:rsid w:val="007D1117"/>
    <w:rsid w:val="007D15B4"/>
    <w:rsid w:val="007D1696"/>
    <w:rsid w:val="007D183F"/>
    <w:rsid w:val="007D185D"/>
    <w:rsid w:val="007D1A3B"/>
    <w:rsid w:val="007D1A4B"/>
    <w:rsid w:val="007D1F12"/>
    <w:rsid w:val="007D21A1"/>
    <w:rsid w:val="007D2AEF"/>
    <w:rsid w:val="007D2CE6"/>
    <w:rsid w:val="007D3997"/>
    <w:rsid w:val="007D3B8D"/>
    <w:rsid w:val="007D3BBA"/>
    <w:rsid w:val="007D4FF8"/>
    <w:rsid w:val="007D506C"/>
    <w:rsid w:val="007D5FD0"/>
    <w:rsid w:val="007D633B"/>
    <w:rsid w:val="007D63B3"/>
    <w:rsid w:val="007D6447"/>
    <w:rsid w:val="007D652B"/>
    <w:rsid w:val="007D6714"/>
    <w:rsid w:val="007D7D1F"/>
    <w:rsid w:val="007D7D73"/>
    <w:rsid w:val="007E0D01"/>
    <w:rsid w:val="007E11FB"/>
    <w:rsid w:val="007E16E5"/>
    <w:rsid w:val="007E18BB"/>
    <w:rsid w:val="007E1BD6"/>
    <w:rsid w:val="007E1DEB"/>
    <w:rsid w:val="007E1E9C"/>
    <w:rsid w:val="007E2078"/>
    <w:rsid w:val="007E2D0F"/>
    <w:rsid w:val="007E33D4"/>
    <w:rsid w:val="007E39E6"/>
    <w:rsid w:val="007E3DCF"/>
    <w:rsid w:val="007E475F"/>
    <w:rsid w:val="007E5285"/>
    <w:rsid w:val="007E56CD"/>
    <w:rsid w:val="007E629E"/>
    <w:rsid w:val="007E639D"/>
    <w:rsid w:val="007E69CD"/>
    <w:rsid w:val="007E6F35"/>
    <w:rsid w:val="007E717E"/>
    <w:rsid w:val="007E7340"/>
    <w:rsid w:val="007E7C67"/>
    <w:rsid w:val="007F03F9"/>
    <w:rsid w:val="007F0442"/>
    <w:rsid w:val="007F09EB"/>
    <w:rsid w:val="007F123A"/>
    <w:rsid w:val="007F1292"/>
    <w:rsid w:val="007F17EE"/>
    <w:rsid w:val="007F1970"/>
    <w:rsid w:val="007F28A2"/>
    <w:rsid w:val="007F2932"/>
    <w:rsid w:val="007F2C65"/>
    <w:rsid w:val="007F2EFD"/>
    <w:rsid w:val="007F3089"/>
    <w:rsid w:val="007F360A"/>
    <w:rsid w:val="007F3D32"/>
    <w:rsid w:val="007F45ED"/>
    <w:rsid w:val="007F5225"/>
    <w:rsid w:val="007F5488"/>
    <w:rsid w:val="007F56E5"/>
    <w:rsid w:val="007F62B7"/>
    <w:rsid w:val="007F6979"/>
    <w:rsid w:val="007F6D99"/>
    <w:rsid w:val="007F6EA3"/>
    <w:rsid w:val="007F7831"/>
    <w:rsid w:val="007F7A60"/>
    <w:rsid w:val="008003BB"/>
    <w:rsid w:val="00800491"/>
    <w:rsid w:val="008004DF"/>
    <w:rsid w:val="00800755"/>
    <w:rsid w:val="008015A0"/>
    <w:rsid w:val="008018C1"/>
    <w:rsid w:val="00801EF7"/>
    <w:rsid w:val="00801FE7"/>
    <w:rsid w:val="00802421"/>
    <w:rsid w:val="008024B2"/>
    <w:rsid w:val="008024BD"/>
    <w:rsid w:val="00802958"/>
    <w:rsid w:val="008031BA"/>
    <w:rsid w:val="008035E2"/>
    <w:rsid w:val="00804116"/>
    <w:rsid w:val="00804871"/>
    <w:rsid w:val="008048A6"/>
    <w:rsid w:val="00804D43"/>
    <w:rsid w:val="00805255"/>
    <w:rsid w:val="00805C7A"/>
    <w:rsid w:val="0080634D"/>
    <w:rsid w:val="00806501"/>
    <w:rsid w:val="0080653E"/>
    <w:rsid w:val="00807F1C"/>
    <w:rsid w:val="00810131"/>
    <w:rsid w:val="008101C2"/>
    <w:rsid w:val="008101C9"/>
    <w:rsid w:val="008103BC"/>
    <w:rsid w:val="00810585"/>
    <w:rsid w:val="00810CC3"/>
    <w:rsid w:val="00810D73"/>
    <w:rsid w:val="00810F87"/>
    <w:rsid w:val="00811564"/>
    <w:rsid w:val="0081176B"/>
    <w:rsid w:val="00812582"/>
    <w:rsid w:val="008125D7"/>
    <w:rsid w:val="008136B4"/>
    <w:rsid w:val="00813AEC"/>
    <w:rsid w:val="00813F28"/>
    <w:rsid w:val="008143BC"/>
    <w:rsid w:val="008151A6"/>
    <w:rsid w:val="00816941"/>
    <w:rsid w:val="00816B32"/>
    <w:rsid w:val="00816E70"/>
    <w:rsid w:val="00816F2D"/>
    <w:rsid w:val="00816FC9"/>
    <w:rsid w:val="00820E23"/>
    <w:rsid w:val="0082105B"/>
    <w:rsid w:val="00821569"/>
    <w:rsid w:val="00822B4B"/>
    <w:rsid w:val="00822FA0"/>
    <w:rsid w:val="008241B9"/>
    <w:rsid w:val="00824291"/>
    <w:rsid w:val="00824622"/>
    <w:rsid w:val="008247BA"/>
    <w:rsid w:val="008248E0"/>
    <w:rsid w:val="00824DAD"/>
    <w:rsid w:val="00824FB7"/>
    <w:rsid w:val="00825507"/>
    <w:rsid w:val="0082576D"/>
    <w:rsid w:val="00827009"/>
    <w:rsid w:val="0082750D"/>
    <w:rsid w:val="00827C9A"/>
    <w:rsid w:val="0083031C"/>
    <w:rsid w:val="008304E8"/>
    <w:rsid w:val="00830637"/>
    <w:rsid w:val="00830F86"/>
    <w:rsid w:val="00831701"/>
    <w:rsid w:val="008317AE"/>
    <w:rsid w:val="00831AF8"/>
    <w:rsid w:val="00831F72"/>
    <w:rsid w:val="008322BB"/>
    <w:rsid w:val="0083260B"/>
    <w:rsid w:val="0083278B"/>
    <w:rsid w:val="0083285D"/>
    <w:rsid w:val="0083285E"/>
    <w:rsid w:val="00832C9F"/>
    <w:rsid w:val="008331BD"/>
    <w:rsid w:val="0083364A"/>
    <w:rsid w:val="00833839"/>
    <w:rsid w:val="00833A1F"/>
    <w:rsid w:val="00833EC0"/>
    <w:rsid w:val="0083437E"/>
    <w:rsid w:val="008343BD"/>
    <w:rsid w:val="0083444D"/>
    <w:rsid w:val="00834B9C"/>
    <w:rsid w:val="00834CDC"/>
    <w:rsid w:val="0083557A"/>
    <w:rsid w:val="008360EA"/>
    <w:rsid w:val="00836845"/>
    <w:rsid w:val="00836B9C"/>
    <w:rsid w:val="00837158"/>
    <w:rsid w:val="00837E6A"/>
    <w:rsid w:val="0084043F"/>
    <w:rsid w:val="0084075C"/>
    <w:rsid w:val="00840B46"/>
    <w:rsid w:val="00841322"/>
    <w:rsid w:val="00841645"/>
    <w:rsid w:val="00841CA8"/>
    <w:rsid w:val="00841D88"/>
    <w:rsid w:val="008420D9"/>
    <w:rsid w:val="008427C5"/>
    <w:rsid w:val="00842A5C"/>
    <w:rsid w:val="00842C37"/>
    <w:rsid w:val="00843869"/>
    <w:rsid w:val="008438BC"/>
    <w:rsid w:val="00844184"/>
    <w:rsid w:val="00844689"/>
    <w:rsid w:val="00844F0C"/>
    <w:rsid w:val="008454E7"/>
    <w:rsid w:val="00845545"/>
    <w:rsid w:val="00845700"/>
    <w:rsid w:val="008457C1"/>
    <w:rsid w:val="00845A45"/>
    <w:rsid w:val="0084651B"/>
    <w:rsid w:val="008467E0"/>
    <w:rsid w:val="008469DF"/>
    <w:rsid w:val="00846C16"/>
    <w:rsid w:val="008473FF"/>
    <w:rsid w:val="00847804"/>
    <w:rsid w:val="0084785C"/>
    <w:rsid w:val="008478F8"/>
    <w:rsid w:val="0085004B"/>
    <w:rsid w:val="008503E1"/>
    <w:rsid w:val="00850BEB"/>
    <w:rsid w:val="00850C75"/>
    <w:rsid w:val="00851D1D"/>
    <w:rsid w:val="00851DD6"/>
    <w:rsid w:val="008526C1"/>
    <w:rsid w:val="00852CAD"/>
    <w:rsid w:val="00852D06"/>
    <w:rsid w:val="00853A86"/>
    <w:rsid w:val="00853B8B"/>
    <w:rsid w:val="00853C11"/>
    <w:rsid w:val="00853CE0"/>
    <w:rsid w:val="00853D0D"/>
    <w:rsid w:val="008542CA"/>
    <w:rsid w:val="008548C4"/>
    <w:rsid w:val="00854E5A"/>
    <w:rsid w:val="00854FAA"/>
    <w:rsid w:val="0085520E"/>
    <w:rsid w:val="0085527D"/>
    <w:rsid w:val="00855447"/>
    <w:rsid w:val="0085593F"/>
    <w:rsid w:val="00855A8F"/>
    <w:rsid w:val="00855B4C"/>
    <w:rsid w:val="00855D5F"/>
    <w:rsid w:val="008564FF"/>
    <w:rsid w:val="00856854"/>
    <w:rsid w:val="0085692D"/>
    <w:rsid w:val="00856E3D"/>
    <w:rsid w:val="00856E42"/>
    <w:rsid w:val="00857FC7"/>
    <w:rsid w:val="0085E2AA"/>
    <w:rsid w:val="008600EF"/>
    <w:rsid w:val="00860E53"/>
    <w:rsid w:val="0086119A"/>
    <w:rsid w:val="00861669"/>
    <w:rsid w:val="00861853"/>
    <w:rsid w:val="00861A64"/>
    <w:rsid w:val="00861CC2"/>
    <w:rsid w:val="00862DF2"/>
    <w:rsid w:val="0086327D"/>
    <w:rsid w:val="008634C9"/>
    <w:rsid w:val="00864814"/>
    <w:rsid w:val="00864829"/>
    <w:rsid w:val="00864D33"/>
    <w:rsid w:val="00865677"/>
    <w:rsid w:val="00865EEF"/>
    <w:rsid w:val="0086634C"/>
    <w:rsid w:val="00866571"/>
    <w:rsid w:val="0086688B"/>
    <w:rsid w:val="00866A39"/>
    <w:rsid w:val="008670D4"/>
    <w:rsid w:val="00867EDC"/>
    <w:rsid w:val="00870531"/>
    <w:rsid w:val="0087087C"/>
    <w:rsid w:val="0087092A"/>
    <w:rsid w:val="008713CE"/>
    <w:rsid w:val="00871877"/>
    <w:rsid w:val="00871CAF"/>
    <w:rsid w:val="00871DA4"/>
    <w:rsid w:val="00871ECA"/>
    <w:rsid w:val="0087230A"/>
    <w:rsid w:val="008726CA"/>
    <w:rsid w:val="008737EA"/>
    <w:rsid w:val="00873855"/>
    <w:rsid w:val="00873BC6"/>
    <w:rsid w:val="0087411F"/>
    <w:rsid w:val="008744A5"/>
    <w:rsid w:val="008745D3"/>
    <w:rsid w:val="0087489F"/>
    <w:rsid w:val="00874C0D"/>
    <w:rsid w:val="00874F0C"/>
    <w:rsid w:val="00875044"/>
    <w:rsid w:val="00875C7F"/>
    <w:rsid w:val="00880D3E"/>
    <w:rsid w:val="00880ED1"/>
    <w:rsid w:val="00881127"/>
    <w:rsid w:val="00881135"/>
    <w:rsid w:val="008811DB"/>
    <w:rsid w:val="00881281"/>
    <w:rsid w:val="00881542"/>
    <w:rsid w:val="008815DE"/>
    <w:rsid w:val="0088172D"/>
    <w:rsid w:val="00882103"/>
    <w:rsid w:val="008821FE"/>
    <w:rsid w:val="008824B3"/>
    <w:rsid w:val="00883142"/>
    <w:rsid w:val="00883733"/>
    <w:rsid w:val="00883F1C"/>
    <w:rsid w:val="00884660"/>
    <w:rsid w:val="00884B2C"/>
    <w:rsid w:val="00884CD1"/>
    <w:rsid w:val="00884FEB"/>
    <w:rsid w:val="00885185"/>
    <w:rsid w:val="008852BF"/>
    <w:rsid w:val="00885309"/>
    <w:rsid w:val="008857EC"/>
    <w:rsid w:val="0088587E"/>
    <w:rsid w:val="00885928"/>
    <w:rsid w:val="0088619E"/>
    <w:rsid w:val="0088630E"/>
    <w:rsid w:val="0088659E"/>
    <w:rsid w:val="00886875"/>
    <w:rsid w:val="00887637"/>
    <w:rsid w:val="0088795E"/>
    <w:rsid w:val="00887A83"/>
    <w:rsid w:val="0089002A"/>
    <w:rsid w:val="0089010B"/>
    <w:rsid w:val="00890405"/>
    <w:rsid w:val="00891229"/>
    <w:rsid w:val="0089165E"/>
    <w:rsid w:val="00891CA7"/>
    <w:rsid w:val="00892F48"/>
    <w:rsid w:val="00893133"/>
    <w:rsid w:val="008932B5"/>
    <w:rsid w:val="00893517"/>
    <w:rsid w:val="00894221"/>
    <w:rsid w:val="00894CF8"/>
    <w:rsid w:val="0089599B"/>
    <w:rsid w:val="008963CC"/>
    <w:rsid w:val="008968A4"/>
    <w:rsid w:val="00897812"/>
    <w:rsid w:val="00897938"/>
    <w:rsid w:val="00897C2A"/>
    <w:rsid w:val="008A025E"/>
    <w:rsid w:val="008A0983"/>
    <w:rsid w:val="008A13DA"/>
    <w:rsid w:val="008A192D"/>
    <w:rsid w:val="008A1A1E"/>
    <w:rsid w:val="008A1C51"/>
    <w:rsid w:val="008A1D97"/>
    <w:rsid w:val="008A1F3D"/>
    <w:rsid w:val="008A200A"/>
    <w:rsid w:val="008A221D"/>
    <w:rsid w:val="008A2C77"/>
    <w:rsid w:val="008A301C"/>
    <w:rsid w:val="008A3152"/>
    <w:rsid w:val="008A35E8"/>
    <w:rsid w:val="008A37AB"/>
    <w:rsid w:val="008A3D96"/>
    <w:rsid w:val="008A49E8"/>
    <w:rsid w:val="008A509C"/>
    <w:rsid w:val="008A50EB"/>
    <w:rsid w:val="008A5D76"/>
    <w:rsid w:val="008A5DBC"/>
    <w:rsid w:val="008A61B3"/>
    <w:rsid w:val="008A6C2C"/>
    <w:rsid w:val="008A6D04"/>
    <w:rsid w:val="008A6E97"/>
    <w:rsid w:val="008A6EC9"/>
    <w:rsid w:val="008A6F7B"/>
    <w:rsid w:val="008A7079"/>
    <w:rsid w:val="008A7A5D"/>
    <w:rsid w:val="008B01DA"/>
    <w:rsid w:val="008B0835"/>
    <w:rsid w:val="008B0909"/>
    <w:rsid w:val="008B0911"/>
    <w:rsid w:val="008B0CB7"/>
    <w:rsid w:val="008B0DE1"/>
    <w:rsid w:val="008B187E"/>
    <w:rsid w:val="008B1A0F"/>
    <w:rsid w:val="008B2119"/>
    <w:rsid w:val="008B2F5E"/>
    <w:rsid w:val="008B3266"/>
    <w:rsid w:val="008B37B1"/>
    <w:rsid w:val="008B3953"/>
    <w:rsid w:val="008B3E8F"/>
    <w:rsid w:val="008B5C8E"/>
    <w:rsid w:val="008B6066"/>
    <w:rsid w:val="008B6358"/>
    <w:rsid w:val="008B695F"/>
    <w:rsid w:val="008B69FE"/>
    <w:rsid w:val="008B6B86"/>
    <w:rsid w:val="008B6D35"/>
    <w:rsid w:val="008B7267"/>
    <w:rsid w:val="008B73EE"/>
    <w:rsid w:val="008B7672"/>
    <w:rsid w:val="008B7B6E"/>
    <w:rsid w:val="008B7B93"/>
    <w:rsid w:val="008B7C6B"/>
    <w:rsid w:val="008B7D3A"/>
    <w:rsid w:val="008C017D"/>
    <w:rsid w:val="008C09FE"/>
    <w:rsid w:val="008C11D3"/>
    <w:rsid w:val="008C122C"/>
    <w:rsid w:val="008C1F56"/>
    <w:rsid w:val="008C1F5D"/>
    <w:rsid w:val="008C2330"/>
    <w:rsid w:val="008C26F8"/>
    <w:rsid w:val="008C2DC4"/>
    <w:rsid w:val="008C3506"/>
    <w:rsid w:val="008C3A01"/>
    <w:rsid w:val="008C402F"/>
    <w:rsid w:val="008C40D1"/>
    <w:rsid w:val="008C49A6"/>
    <w:rsid w:val="008C5233"/>
    <w:rsid w:val="008C548F"/>
    <w:rsid w:val="008C58DA"/>
    <w:rsid w:val="008C5EF5"/>
    <w:rsid w:val="008C624D"/>
    <w:rsid w:val="008C6415"/>
    <w:rsid w:val="008C6A9B"/>
    <w:rsid w:val="008C6E0B"/>
    <w:rsid w:val="008C7D30"/>
    <w:rsid w:val="008C7F7F"/>
    <w:rsid w:val="008D056C"/>
    <w:rsid w:val="008D0D6A"/>
    <w:rsid w:val="008D16C6"/>
    <w:rsid w:val="008D1961"/>
    <w:rsid w:val="008D1D6C"/>
    <w:rsid w:val="008D2210"/>
    <w:rsid w:val="008D230A"/>
    <w:rsid w:val="008D24A6"/>
    <w:rsid w:val="008D274F"/>
    <w:rsid w:val="008D30D0"/>
    <w:rsid w:val="008D30F0"/>
    <w:rsid w:val="008D34F0"/>
    <w:rsid w:val="008D3534"/>
    <w:rsid w:val="008D4535"/>
    <w:rsid w:val="008D53B8"/>
    <w:rsid w:val="008D5428"/>
    <w:rsid w:val="008D56F8"/>
    <w:rsid w:val="008D6256"/>
    <w:rsid w:val="008D6581"/>
    <w:rsid w:val="008D6E8E"/>
    <w:rsid w:val="008D75AE"/>
    <w:rsid w:val="008D7D83"/>
    <w:rsid w:val="008D7DF7"/>
    <w:rsid w:val="008E004C"/>
    <w:rsid w:val="008E057C"/>
    <w:rsid w:val="008E0D48"/>
    <w:rsid w:val="008E0E86"/>
    <w:rsid w:val="008E0F08"/>
    <w:rsid w:val="008E10EF"/>
    <w:rsid w:val="008E1C7D"/>
    <w:rsid w:val="008E20BD"/>
    <w:rsid w:val="008E2572"/>
    <w:rsid w:val="008E32A9"/>
    <w:rsid w:val="008E32FB"/>
    <w:rsid w:val="008E3376"/>
    <w:rsid w:val="008E36DC"/>
    <w:rsid w:val="008E39A9"/>
    <w:rsid w:val="008E3CA9"/>
    <w:rsid w:val="008E3E19"/>
    <w:rsid w:val="008E3E2B"/>
    <w:rsid w:val="008E410E"/>
    <w:rsid w:val="008E4499"/>
    <w:rsid w:val="008E47D2"/>
    <w:rsid w:val="008E5ADB"/>
    <w:rsid w:val="008E6AB5"/>
    <w:rsid w:val="008E7064"/>
    <w:rsid w:val="008E797B"/>
    <w:rsid w:val="008F0BB5"/>
    <w:rsid w:val="008F0FD7"/>
    <w:rsid w:val="008F1D51"/>
    <w:rsid w:val="008F26F7"/>
    <w:rsid w:val="008F2C6B"/>
    <w:rsid w:val="008F2D4E"/>
    <w:rsid w:val="008F30F6"/>
    <w:rsid w:val="008F33FA"/>
    <w:rsid w:val="008F3562"/>
    <w:rsid w:val="008F3EC2"/>
    <w:rsid w:val="008F42E6"/>
    <w:rsid w:val="008F4A03"/>
    <w:rsid w:val="008F504F"/>
    <w:rsid w:val="008F50DF"/>
    <w:rsid w:val="008F54B0"/>
    <w:rsid w:val="008F5597"/>
    <w:rsid w:val="008F5BFE"/>
    <w:rsid w:val="008F63E5"/>
    <w:rsid w:val="008F7BA1"/>
    <w:rsid w:val="008F7C56"/>
    <w:rsid w:val="008F7EB6"/>
    <w:rsid w:val="009001D0"/>
    <w:rsid w:val="0090036A"/>
    <w:rsid w:val="009008C5"/>
    <w:rsid w:val="00900C1D"/>
    <w:rsid w:val="00900D81"/>
    <w:rsid w:val="009014E3"/>
    <w:rsid w:val="00901501"/>
    <w:rsid w:val="00901571"/>
    <w:rsid w:val="00901CBA"/>
    <w:rsid w:val="009028CA"/>
    <w:rsid w:val="00902A50"/>
    <w:rsid w:val="00902EFC"/>
    <w:rsid w:val="00903207"/>
    <w:rsid w:val="009040A8"/>
    <w:rsid w:val="0090512A"/>
    <w:rsid w:val="00905281"/>
    <w:rsid w:val="009055E9"/>
    <w:rsid w:val="0090560C"/>
    <w:rsid w:val="00905EA9"/>
    <w:rsid w:val="009068C9"/>
    <w:rsid w:val="00906ACE"/>
    <w:rsid w:val="00906CE3"/>
    <w:rsid w:val="00907115"/>
    <w:rsid w:val="00907513"/>
    <w:rsid w:val="009076D1"/>
    <w:rsid w:val="00907EE3"/>
    <w:rsid w:val="00910030"/>
    <w:rsid w:val="00910210"/>
    <w:rsid w:val="00910355"/>
    <w:rsid w:val="00910670"/>
    <w:rsid w:val="009109C8"/>
    <w:rsid w:val="00910D9F"/>
    <w:rsid w:val="00911248"/>
    <w:rsid w:val="009118EE"/>
    <w:rsid w:val="00911EE4"/>
    <w:rsid w:val="00912ADD"/>
    <w:rsid w:val="00912C44"/>
    <w:rsid w:val="00912D02"/>
    <w:rsid w:val="00912DF5"/>
    <w:rsid w:val="00913122"/>
    <w:rsid w:val="009132C0"/>
    <w:rsid w:val="00913B07"/>
    <w:rsid w:val="00913B80"/>
    <w:rsid w:val="00914105"/>
    <w:rsid w:val="00915179"/>
    <w:rsid w:val="00915620"/>
    <w:rsid w:val="00915E10"/>
    <w:rsid w:val="009166F8"/>
    <w:rsid w:val="009167CA"/>
    <w:rsid w:val="00917444"/>
    <w:rsid w:val="00917B09"/>
    <w:rsid w:val="00917BF7"/>
    <w:rsid w:val="00917F77"/>
    <w:rsid w:val="00920491"/>
    <w:rsid w:val="00920670"/>
    <w:rsid w:val="009206BE"/>
    <w:rsid w:val="009207A3"/>
    <w:rsid w:val="00920F12"/>
    <w:rsid w:val="00921565"/>
    <w:rsid w:val="00921700"/>
    <w:rsid w:val="00921758"/>
    <w:rsid w:val="00921AA6"/>
    <w:rsid w:val="00922BF8"/>
    <w:rsid w:val="00922F04"/>
    <w:rsid w:val="00923153"/>
    <w:rsid w:val="0092379C"/>
    <w:rsid w:val="009243FB"/>
    <w:rsid w:val="009247A0"/>
    <w:rsid w:val="00924DF1"/>
    <w:rsid w:val="00924EEF"/>
    <w:rsid w:val="00924FE7"/>
    <w:rsid w:val="00925966"/>
    <w:rsid w:val="009263EF"/>
    <w:rsid w:val="009265F9"/>
    <w:rsid w:val="00926F25"/>
    <w:rsid w:val="009270B8"/>
    <w:rsid w:val="009270FE"/>
    <w:rsid w:val="009273BF"/>
    <w:rsid w:val="00927A7A"/>
    <w:rsid w:val="00927A8B"/>
    <w:rsid w:val="00927F02"/>
    <w:rsid w:val="009304EF"/>
    <w:rsid w:val="0093055F"/>
    <w:rsid w:val="009306AD"/>
    <w:rsid w:val="00930817"/>
    <w:rsid w:val="009308DB"/>
    <w:rsid w:val="00931528"/>
    <w:rsid w:val="0093153F"/>
    <w:rsid w:val="009317AA"/>
    <w:rsid w:val="00931BD2"/>
    <w:rsid w:val="0093202C"/>
    <w:rsid w:val="0093242C"/>
    <w:rsid w:val="00932C88"/>
    <w:rsid w:val="00932E47"/>
    <w:rsid w:val="00933232"/>
    <w:rsid w:val="0093350B"/>
    <w:rsid w:val="009337A7"/>
    <w:rsid w:val="009338E1"/>
    <w:rsid w:val="009339C1"/>
    <w:rsid w:val="00933A4C"/>
    <w:rsid w:val="00933C56"/>
    <w:rsid w:val="0093491B"/>
    <w:rsid w:val="00934BDB"/>
    <w:rsid w:val="00934F04"/>
    <w:rsid w:val="00935898"/>
    <w:rsid w:val="00935945"/>
    <w:rsid w:val="0093597F"/>
    <w:rsid w:val="00935C83"/>
    <w:rsid w:val="00935CE7"/>
    <w:rsid w:val="00936395"/>
    <w:rsid w:val="009364AD"/>
    <w:rsid w:val="009364B5"/>
    <w:rsid w:val="00936BB3"/>
    <w:rsid w:val="00936BBA"/>
    <w:rsid w:val="00936DD1"/>
    <w:rsid w:val="00936E87"/>
    <w:rsid w:val="009371BA"/>
    <w:rsid w:val="00937E2F"/>
    <w:rsid w:val="00940746"/>
    <w:rsid w:val="00940ED2"/>
    <w:rsid w:val="0094162B"/>
    <w:rsid w:val="00941843"/>
    <w:rsid w:val="009418B6"/>
    <w:rsid w:val="00941C08"/>
    <w:rsid w:val="00942368"/>
    <w:rsid w:val="009424DA"/>
    <w:rsid w:val="00942EAC"/>
    <w:rsid w:val="00942FCC"/>
    <w:rsid w:val="00942FEE"/>
    <w:rsid w:val="009433BC"/>
    <w:rsid w:val="0094380A"/>
    <w:rsid w:val="00943B03"/>
    <w:rsid w:val="00943B93"/>
    <w:rsid w:val="009441A3"/>
    <w:rsid w:val="00944530"/>
    <w:rsid w:val="00945182"/>
    <w:rsid w:val="009451F3"/>
    <w:rsid w:val="00946116"/>
    <w:rsid w:val="0094619B"/>
    <w:rsid w:val="0094651A"/>
    <w:rsid w:val="00946E7A"/>
    <w:rsid w:val="00947028"/>
    <w:rsid w:val="00947A01"/>
    <w:rsid w:val="00950563"/>
    <w:rsid w:val="009508C0"/>
    <w:rsid w:val="00950950"/>
    <w:rsid w:val="00950B09"/>
    <w:rsid w:val="0095142E"/>
    <w:rsid w:val="0095156A"/>
    <w:rsid w:val="0095276A"/>
    <w:rsid w:val="00953861"/>
    <w:rsid w:val="00953F5C"/>
    <w:rsid w:val="00954485"/>
    <w:rsid w:val="00954771"/>
    <w:rsid w:val="00954A0C"/>
    <w:rsid w:val="00954BFA"/>
    <w:rsid w:val="00954F58"/>
    <w:rsid w:val="009551D4"/>
    <w:rsid w:val="009554D7"/>
    <w:rsid w:val="00955A85"/>
    <w:rsid w:val="00955AA6"/>
    <w:rsid w:val="00955C81"/>
    <w:rsid w:val="00955F25"/>
    <w:rsid w:val="00956197"/>
    <w:rsid w:val="00956CEF"/>
    <w:rsid w:val="00957067"/>
    <w:rsid w:val="00960638"/>
    <w:rsid w:val="00960B47"/>
    <w:rsid w:val="00960E2F"/>
    <w:rsid w:val="00960E3B"/>
    <w:rsid w:val="00960EF7"/>
    <w:rsid w:val="00961426"/>
    <w:rsid w:val="00961B7D"/>
    <w:rsid w:val="0096266F"/>
    <w:rsid w:val="00962BBD"/>
    <w:rsid w:val="00962DEE"/>
    <w:rsid w:val="009631DA"/>
    <w:rsid w:val="00963301"/>
    <w:rsid w:val="00963750"/>
    <w:rsid w:val="0096378F"/>
    <w:rsid w:val="009643D9"/>
    <w:rsid w:val="00964E1D"/>
    <w:rsid w:val="00965272"/>
    <w:rsid w:val="00965D27"/>
    <w:rsid w:val="00966633"/>
    <w:rsid w:val="00966663"/>
    <w:rsid w:val="009668B9"/>
    <w:rsid w:val="009676E1"/>
    <w:rsid w:val="00967868"/>
    <w:rsid w:val="00967FAE"/>
    <w:rsid w:val="0097023D"/>
    <w:rsid w:val="0097112A"/>
    <w:rsid w:val="00971815"/>
    <w:rsid w:val="00971A2C"/>
    <w:rsid w:val="009720F9"/>
    <w:rsid w:val="00972227"/>
    <w:rsid w:val="00972A1C"/>
    <w:rsid w:val="00972F24"/>
    <w:rsid w:val="00973355"/>
    <w:rsid w:val="009734BF"/>
    <w:rsid w:val="00973707"/>
    <w:rsid w:val="00973B8E"/>
    <w:rsid w:val="00974150"/>
    <w:rsid w:val="009746FF"/>
    <w:rsid w:val="00974E1D"/>
    <w:rsid w:val="00974E3F"/>
    <w:rsid w:val="0097510A"/>
    <w:rsid w:val="00975976"/>
    <w:rsid w:val="00975CA2"/>
    <w:rsid w:val="00975F7F"/>
    <w:rsid w:val="009761F1"/>
    <w:rsid w:val="009769DE"/>
    <w:rsid w:val="00976E8F"/>
    <w:rsid w:val="0097708C"/>
    <w:rsid w:val="00977776"/>
    <w:rsid w:val="00980D69"/>
    <w:rsid w:val="00981540"/>
    <w:rsid w:val="00981703"/>
    <w:rsid w:val="0098182F"/>
    <w:rsid w:val="0098245F"/>
    <w:rsid w:val="009828BC"/>
    <w:rsid w:val="00982985"/>
    <w:rsid w:val="009830F6"/>
    <w:rsid w:val="00983A75"/>
    <w:rsid w:val="0098483D"/>
    <w:rsid w:val="00984A5C"/>
    <w:rsid w:val="00984ED7"/>
    <w:rsid w:val="00985397"/>
    <w:rsid w:val="00985958"/>
    <w:rsid w:val="00985F14"/>
    <w:rsid w:val="00985F4C"/>
    <w:rsid w:val="0098606E"/>
    <w:rsid w:val="0098615B"/>
    <w:rsid w:val="00986581"/>
    <w:rsid w:val="00986885"/>
    <w:rsid w:val="00986FA9"/>
    <w:rsid w:val="0098757C"/>
    <w:rsid w:val="0098778D"/>
    <w:rsid w:val="00987B4A"/>
    <w:rsid w:val="00987CF4"/>
    <w:rsid w:val="00987EBE"/>
    <w:rsid w:val="00987FC0"/>
    <w:rsid w:val="00990DAF"/>
    <w:rsid w:val="00990E61"/>
    <w:rsid w:val="00991C37"/>
    <w:rsid w:val="00991D59"/>
    <w:rsid w:val="00991F99"/>
    <w:rsid w:val="009921F0"/>
    <w:rsid w:val="0099270E"/>
    <w:rsid w:val="009928FF"/>
    <w:rsid w:val="00992FA2"/>
    <w:rsid w:val="00993200"/>
    <w:rsid w:val="0099403E"/>
    <w:rsid w:val="00995332"/>
    <w:rsid w:val="00995A7F"/>
    <w:rsid w:val="00995B12"/>
    <w:rsid w:val="009964E1"/>
    <w:rsid w:val="0099694B"/>
    <w:rsid w:val="00996DA3"/>
    <w:rsid w:val="009A03CD"/>
    <w:rsid w:val="009A0900"/>
    <w:rsid w:val="009A11F9"/>
    <w:rsid w:val="009A1317"/>
    <w:rsid w:val="009A1763"/>
    <w:rsid w:val="009A17B1"/>
    <w:rsid w:val="009A1A9B"/>
    <w:rsid w:val="009A1ACA"/>
    <w:rsid w:val="009A2864"/>
    <w:rsid w:val="009A2D83"/>
    <w:rsid w:val="009A2E43"/>
    <w:rsid w:val="009A30B3"/>
    <w:rsid w:val="009A337E"/>
    <w:rsid w:val="009A3874"/>
    <w:rsid w:val="009A455A"/>
    <w:rsid w:val="009A47E2"/>
    <w:rsid w:val="009A4B3E"/>
    <w:rsid w:val="009A5612"/>
    <w:rsid w:val="009A5752"/>
    <w:rsid w:val="009A5A9D"/>
    <w:rsid w:val="009A6E08"/>
    <w:rsid w:val="009A7222"/>
    <w:rsid w:val="009A77F8"/>
    <w:rsid w:val="009A7A38"/>
    <w:rsid w:val="009A7F35"/>
    <w:rsid w:val="009B09F5"/>
    <w:rsid w:val="009B0E38"/>
    <w:rsid w:val="009B25C7"/>
    <w:rsid w:val="009B29C1"/>
    <w:rsid w:val="009B355E"/>
    <w:rsid w:val="009B403F"/>
    <w:rsid w:val="009B511B"/>
    <w:rsid w:val="009B526D"/>
    <w:rsid w:val="009B591B"/>
    <w:rsid w:val="009B5985"/>
    <w:rsid w:val="009B6CE4"/>
    <w:rsid w:val="009B7004"/>
    <w:rsid w:val="009B74EB"/>
    <w:rsid w:val="009B7C88"/>
    <w:rsid w:val="009C001E"/>
    <w:rsid w:val="009C083D"/>
    <w:rsid w:val="009C0888"/>
    <w:rsid w:val="009C0CAD"/>
    <w:rsid w:val="009C1A96"/>
    <w:rsid w:val="009C1C8C"/>
    <w:rsid w:val="009C1F0C"/>
    <w:rsid w:val="009C20E1"/>
    <w:rsid w:val="009C2831"/>
    <w:rsid w:val="009C2C58"/>
    <w:rsid w:val="009C301E"/>
    <w:rsid w:val="009C345D"/>
    <w:rsid w:val="009C3680"/>
    <w:rsid w:val="009C3801"/>
    <w:rsid w:val="009C3B60"/>
    <w:rsid w:val="009C3D16"/>
    <w:rsid w:val="009C3DD6"/>
    <w:rsid w:val="009C4291"/>
    <w:rsid w:val="009C42F0"/>
    <w:rsid w:val="009C44E7"/>
    <w:rsid w:val="009C4702"/>
    <w:rsid w:val="009C5551"/>
    <w:rsid w:val="009C5582"/>
    <w:rsid w:val="009C57C5"/>
    <w:rsid w:val="009C5826"/>
    <w:rsid w:val="009C68BF"/>
    <w:rsid w:val="009C7112"/>
    <w:rsid w:val="009C7695"/>
    <w:rsid w:val="009C7899"/>
    <w:rsid w:val="009C7D6A"/>
    <w:rsid w:val="009D0C9A"/>
    <w:rsid w:val="009D106B"/>
    <w:rsid w:val="009D1072"/>
    <w:rsid w:val="009D12B6"/>
    <w:rsid w:val="009D1EFD"/>
    <w:rsid w:val="009D2F08"/>
    <w:rsid w:val="009D30AF"/>
    <w:rsid w:val="009D3244"/>
    <w:rsid w:val="009D4D61"/>
    <w:rsid w:val="009D50E7"/>
    <w:rsid w:val="009D5501"/>
    <w:rsid w:val="009D5901"/>
    <w:rsid w:val="009D5D1A"/>
    <w:rsid w:val="009D5DE3"/>
    <w:rsid w:val="009D614B"/>
    <w:rsid w:val="009D62B1"/>
    <w:rsid w:val="009D6914"/>
    <w:rsid w:val="009D6EDB"/>
    <w:rsid w:val="009D7384"/>
    <w:rsid w:val="009D7386"/>
    <w:rsid w:val="009D74A6"/>
    <w:rsid w:val="009D7A90"/>
    <w:rsid w:val="009D7B21"/>
    <w:rsid w:val="009E0145"/>
    <w:rsid w:val="009E03C8"/>
    <w:rsid w:val="009E1644"/>
    <w:rsid w:val="009E1ABE"/>
    <w:rsid w:val="009E283E"/>
    <w:rsid w:val="009E2BBD"/>
    <w:rsid w:val="009E42EE"/>
    <w:rsid w:val="009E4FA0"/>
    <w:rsid w:val="009E5111"/>
    <w:rsid w:val="009E536A"/>
    <w:rsid w:val="009E563E"/>
    <w:rsid w:val="009E5DCC"/>
    <w:rsid w:val="009E5DE6"/>
    <w:rsid w:val="009E655E"/>
    <w:rsid w:val="009E718A"/>
    <w:rsid w:val="009E7AD9"/>
    <w:rsid w:val="009E7D4D"/>
    <w:rsid w:val="009F0653"/>
    <w:rsid w:val="009F096C"/>
    <w:rsid w:val="009F0B7E"/>
    <w:rsid w:val="009F0FB5"/>
    <w:rsid w:val="009F1070"/>
    <w:rsid w:val="009F1084"/>
    <w:rsid w:val="009F1550"/>
    <w:rsid w:val="009F168E"/>
    <w:rsid w:val="009F1F3F"/>
    <w:rsid w:val="009F2B54"/>
    <w:rsid w:val="009F325E"/>
    <w:rsid w:val="009F3573"/>
    <w:rsid w:val="009F3AD0"/>
    <w:rsid w:val="009F3B58"/>
    <w:rsid w:val="009F45B7"/>
    <w:rsid w:val="009F50A3"/>
    <w:rsid w:val="009F523B"/>
    <w:rsid w:val="009F5244"/>
    <w:rsid w:val="009F5262"/>
    <w:rsid w:val="009F5435"/>
    <w:rsid w:val="009F59DF"/>
    <w:rsid w:val="009F5FA4"/>
    <w:rsid w:val="009F78B4"/>
    <w:rsid w:val="009F7AD0"/>
    <w:rsid w:val="009F7C08"/>
    <w:rsid w:val="009F7D63"/>
    <w:rsid w:val="00A00316"/>
    <w:rsid w:val="00A00835"/>
    <w:rsid w:val="00A00EBD"/>
    <w:rsid w:val="00A01278"/>
    <w:rsid w:val="00A014DF"/>
    <w:rsid w:val="00A01C72"/>
    <w:rsid w:val="00A01F19"/>
    <w:rsid w:val="00A02850"/>
    <w:rsid w:val="00A0371C"/>
    <w:rsid w:val="00A03C89"/>
    <w:rsid w:val="00A03DC9"/>
    <w:rsid w:val="00A045D1"/>
    <w:rsid w:val="00A0483F"/>
    <w:rsid w:val="00A04CFA"/>
    <w:rsid w:val="00A05A8B"/>
    <w:rsid w:val="00A05D6E"/>
    <w:rsid w:val="00A0602E"/>
    <w:rsid w:val="00A07845"/>
    <w:rsid w:val="00A10C90"/>
    <w:rsid w:val="00A11279"/>
    <w:rsid w:val="00A1142D"/>
    <w:rsid w:val="00A11939"/>
    <w:rsid w:val="00A11C6E"/>
    <w:rsid w:val="00A127BA"/>
    <w:rsid w:val="00A12837"/>
    <w:rsid w:val="00A12B66"/>
    <w:rsid w:val="00A13601"/>
    <w:rsid w:val="00A136CD"/>
    <w:rsid w:val="00A14137"/>
    <w:rsid w:val="00A14679"/>
    <w:rsid w:val="00A1638A"/>
    <w:rsid w:val="00A16759"/>
    <w:rsid w:val="00A16FFF"/>
    <w:rsid w:val="00A177B8"/>
    <w:rsid w:val="00A17B9E"/>
    <w:rsid w:val="00A201CF"/>
    <w:rsid w:val="00A203C1"/>
    <w:rsid w:val="00A21301"/>
    <w:rsid w:val="00A2183A"/>
    <w:rsid w:val="00A22A88"/>
    <w:rsid w:val="00A232F8"/>
    <w:rsid w:val="00A24153"/>
    <w:rsid w:val="00A24751"/>
    <w:rsid w:val="00A248E2"/>
    <w:rsid w:val="00A250C4"/>
    <w:rsid w:val="00A25A0F"/>
    <w:rsid w:val="00A25F56"/>
    <w:rsid w:val="00A25F7A"/>
    <w:rsid w:val="00A25FF7"/>
    <w:rsid w:val="00A26662"/>
    <w:rsid w:val="00A2674E"/>
    <w:rsid w:val="00A27295"/>
    <w:rsid w:val="00A2757B"/>
    <w:rsid w:val="00A27876"/>
    <w:rsid w:val="00A278BE"/>
    <w:rsid w:val="00A27DB9"/>
    <w:rsid w:val="00A30C4C"/>
    <w:rsid w:val="00A31125"/>
    <w:rsid w:val="00A31BDD"/>
    <w:rsid w:val="00A31FA4"/>
    <w:rsid w:val="00A31FB5"/>
    <w:rsid w:val="00A320B1"/>
    <w:rsid w:val="00A32103"/>
    <w:rsid w:val="00A325F5"/>
    <w:rsid w:val="00A327E0"/>
    <w:rsid w:val="00A32C84"/>
    <w:rsid w:val="00A32F17"/>
    <w:rsid w:val="00A33695"/>
    <w:rsid w:val="00A33C55"/>
    <w:rsid w:val="00A34026"/>
    <w:rsid w:val="00A3414E"/>
    <w:rsid w:val="00A34B2E"/>
    <w:rsid w:val="00A369B8"/>
    <w:rsid w:val="00A369C3"/>
    <w:rsid w:val="00A36BEF"/>
    <w:rsid w:val="00A36E5F"/>
    <w:rsid w:val="00A36F51"/>
    <w:rsid w:val="00A37710"/>
    <w:rsid w:val="00A37887"/>
    <w:rsid w:val="00A37988"/>
    <w:rsid w:val="00A37A04"/>
    <w:rsid w:val="00A37FDF"/>
    <w:rsid w:val="00A402A8"/>
    <w:rsid w:val="00A40C93"/>
    <w:rsid w:val="00A413BA"/>
    <w:rsid w:val="00A41540"/>
    <w:rsid w:val="00A41661"/>
    <w:rsid w:val="00A41D3F"/>
    <w:rsid w:val="00A4250A"/>
    <w:rsid w:val="00A42705"/>
    <w:rsid w:val="00A4281F"/>
    <w:rsid w:val="00A4309F"/>
    <w:rsid w:val="00A4319E"/>
    <w:rsid w:val="00A4357A"/>
    <w:rsid w:val="00A43AAC"/>
    <w:rsid w:val="00A4472C"/>
    <w:rsid w:val="00A447EF"/>
    <w:rsid w:val="00A45097"/>
    <w:rsid w:val="00A45F10"/>
    <w:rsid w:val="00A50B73"/>
    <w:rsid w:val="00A50DA1"/>
    <w:rsid w:val="00A50EB7"/>
    <w:rsid w:val="00A51AA9"/>
    <w:rsid w:val="00A5221E"/>
    <w:rsid w:val="00A52651"/>
    <w:rsid w:val="00A53023"/>
    <w:rsid w:val="00A5305C"/>
    <w:rsid w:val="00A53B59"/>
    <w:rsid w:val="00A53C11"/>
    <w:rsid w:val="00A5585A"/>
    <w:rsid w:val="00A56B4D"/>
    <w:rsid w:val="00A56F0F"/>
    <w:rsid w:val="00A57171"/>
    <w:rsid w:val="00A57DF9"/>
    <w:rsid w:val="00A60195"/>
    <w:rsid w:val="00A60344"/>
    <w:rsid w:val="00A604F1"/>
    <w:rsid w:val="00A60833"/>
    <w:rsid w:val="00A60A1B"/>
    <w:rsid w:val="00A618C4"/>
    <w:rsid w:val="00A61E20"/>
    <w:rsid w:val="00A6215F"/>
    <w:rsid w:val="00A62472"/>
    <w:rsid w:val="00A6371B"/>
    <w:rsid w:val="00A63823"/>
    <w:rsid w:val="00A6394C"/>
    <w:rsid w:val="00A63D5B"/>
    <w:rsid w:val="00A64421"/>
    <w:rsid w:val="00A6489B"/>
    <w:rsid w:val="00A648C2"/>
    <w:rsid w:val="00A65377"/>
    <w:rsid w:val="00A65572"/>
    <w:rsid w:val="00A6594D"/>
    <w:rsid w:val="00A6661B"/>
    <w:rsid w:val="00A667B3"/>
    <w:rsid w:val="00A6683C"/>
    <w:rsid w:val="00A66D4C"/>
    <w:rsid w:val="00A66EA8"/>
    <w:rsid w:val="00A66EC6"/>
    <w:rsid w:val="00A66EFB"/>
    <w:rsid w:val="00A6706B"/>
    <w:rsid w:val="00A671F5"/>
    <w:rsid w:val="00A675D9"/>
    <w:rsid w:val="00A67B72"/>
    <w:rsid w:val="00A70159"/>
    <w:rsid w:val="00A70245"/>
    <w:rsid w:val="00A7054F"/>
    <w:rsid w:val="00A70EBB"/>
    <w:rsid w:val="00A720BB"/>
    <w:rsid w:val="00A7231D"/>
    <w:rsid w:val="00A725DE"/>
    <w:rsid w:val="00A72764"/>
    <w:rsid w:val="00A72DAE"/>
    <w:rsid w:val="00A72DF3"/>
    <w:rsid w:val="00A73282"/>
    <w:rsid w:val="00A7376F"/>
    <w:rsid w:val="00A737A0"/>
    <w:rsid w:val="00A7480D"/>
    <w:rsid w:val="00A74817"/>
    <w:rsid w:val="00A74B40"/>
    <w:rsid w:val="00A74D8D"/>
    <w:rsid w:val="00A75E8D"/>
    <w:rsid w:val="00A7601C"/>
    <w:rsid w:val="00A762B8"/>
    <w:rsid w:val="00A76381"/>
    <w:rsid w:val="00A76AAD"/>
    <w:rsid w:val="00A76DA6"/>
    <w:rsid w:val="00A76FC9"/>
    <w:rsid w:val="00A77190"/>
    <w:rsid w:val="00A772B4"/>
    <w:rsid w:val="00A774C1"/>
    <w:rsid w:val="00A7769C"/>
    <w:rsid w:val="00A779E9"/>
    <w:rsid w:val="00A77B37"/>
    <w:rsid w:val="00A77F62"/>
    <w:rsid w:val="00A8004B"/>
    <w:rsid w:val="00A801A9"/>
    <w:rsid w:val="00A803F1"/>
    <w:rsid w:val="00A808DC"/>
    <w:rsid w:val="00A80A02"/>
    <w:rsid w:val="00A80C2E"/>
    <w:rsid w:val="00A8189E"/>
    <w:rsid w:val="00A81AFC"/>
    <w:rsid w:val="00A8231D"/>
    <w:rsid w:val="00A82540"/>
    <w:rsid w:val="00A827A8"/>
    <w:rsid w:val="00A8299B"/>
    <w:rsid w:val="00A82F95"/>
    <w:rsid w:val="00A8318E"/>
    <w:rsid w:val="00A837E5"/>
    <w:rsid w:val="00A83E73"/>
    <w:rsid w:val="00A840BE"/>
    <w:rsid w:val="00A840D5"/>
    <w:rsid w:val="00A852A4"/>
    <w:rsid w:val="00A85CE0"/>
    <w:rsid w:val="00A85DE6"/>
    <w:rsid w:val="00A85E91"/>
    <w:rsid w:val="00A86139"/>
    <w:rsid w:val="00A86AC2"/>
    <w:rsid w:val="00A86EB4"/>
    <w:rsid w:val="00A87249"/>
    <w:rsid w:val="00A87F92"/>
    <w:rsid w:val="00A90916"/>
    <w:rsid w:val="00A90BDF"/>
    <w:rsid w:val="00A90C51"/>
    <w:rsid w:val="00A91E36"/>
    <w:rsid w:val="00A928F5"/>
    <w:rsid w:val="00A92CFF"/>
    <w:rsid w:val="00A92F0D"/>
    <w:rsid w:val="00A931FA"/>
    <w:rsid w:val="00A9428A"/>
    <w:rsid w:val="00A94862"/>
    <w:rsid w:val="00A94F5F"/>
    <w:rsid w:val="00A94FBC"/>
    <w:rsid w:val="00A952FE"/>
    <w:rsid w:val="00A9559C"/>
    <w:rsid w:val="00A95A3D"/>
    <w:rsid w:val="00A95E03"/>
    <w:rsid w:val="00A95EBD"/>
    <w:rsid w:val="00A95FD0"/>
    <w:rsid w:val="00A96476"/>
    <w:rsid w:val="00A96577"/>
    <w:rsid w:val="00A96627"/>
    <w:rsid w:val="00A968D0"/>
    <w:rsid w:val="00A976D9"/>
    <w:rsid w:val="00A97750"/>
    <w:rsid w:val="00A97CCE"/>
    <w:rsid w:val="00A97F0D"/>
    <w:rsid w:val="00AA02BE"/>
    <w:rsid w:val="00AA02FF"/>
    <w:rsid w:val="00AA04D7"/>
    <w:rsid w:val="00AA058E"/>
    <w:rsid w:val="00AA0E8C"/>
    <w:rsid w:val="00AA1B66"/>
    <w:rsid w:val="00AA1E93"/>
    <w:rsid w:val="00AA3189"/>
    <w:rsid w:val="00AA4392"/>
    <w:rsid w:val="00AA629F"/>
    <w:rsid w:val="00AA64B0"/>
    <w:rsid w:val="00AA6642"/>
    <w:rsid w:val="00AA6996"/>
    <w:rsid w:val="00AA6A66"/>
    <w:rsid w:val="00AA6BDD"/>
    <w:rsid w:val="00AA7658"/>
    <w:rsid w:val="00AA7DAB"/>
    <w:rsid w:val="00AA7E82"/>
    <w:rsid w:val="00AB00A2"/>
    <w:rsid w:val="00AB01A1"/>
    <w:rsid w:val="00AB0412"/>
    <w:rsid w:val="00AB1025"/>
    <w:rsid w:val="00AB165B"/>
    <w:rsid w:val="00AB1BC3"/>
    <w:rsid w:val="00AB1C4B"/>
    <w:rsid w:val="00AB232D"/>
    <w:rsid w:val="00AB2397"/>
    <w:rsid w:val="00AB2B90"/>
    <w:rsid w:val="00AB2C97"/>
    <w:rsid w:val="00AB2DDE"/>
    <w:rsid w:val="00AB2F46"/>
    <w:rsid w:val="00AB3319"/>
    <w:rsid w:val="00AB3837"/>
    <w:rsid w:val="00AB393F"/>
    <w:rsid w:val="00AB3A99"/>
    <w:rsid w:val="00AB3D67"/>
    <w:rsid w:val="00AB3FE1"/>
    <w:rsid w:val="00AB40BA"/>
    <w:rsid w:val="00AB413E"/>
    <w:rsid w:val="00AB4CE3"/>
    <w:rsid w:val="00AB4E51"/>
    <w:rsid w:val="00AB550F"/>
    <w:rsid w:val="00AB638B"/>
    <w:rsid w:val="00AB63E5"/>
    <w:rsid w:val="00AB6610"/>
    <w:rsid w:val="00AB67AA"/>
    <w:rsid w:val="00AB6BEF"/>
    <w:rsid w:val="00AB70B4"/>
    <w:rsid w:val="00AB725A"/>
    <w:rsid w:val="00AB78C9"/>
    <w:rsid w:val="00AB796B"/>
    <w:rsid w:val="00AB7970"/>
    <w:rsid w:val="00AB7B8D"/>
    <w:rsid w:val="00AB7EF6"/>
    <w:rsid w:val="00AC06B8"/>
    <w:rsid w:val="00AC072A"/>
    <w:rsid w:val="00AC0B58"/>
    <w:rsid w:val="00AC0C9F"/>
    <w:rsid w:val="00AC0F2C"/>
    <w:rsid w:val="00AC14E2"/>
    <w:rsid w:val="00AC1E28"/>
    <w:rsid w:val="00AC3054"/>
    <w:rsid w:val="00AC38F7"/>
    <w:rsid w:val="00AC4299"/>
    <w:rsid w:val="00AC4963"/>
    <w:rsid w:val="00AC49BB"/>
    <w:rsid w:val="00AC4C96"/>
    <w:rsid w:val="00AC4E3A"/>
    <w:rsid w:val="00AC4E9C"/>
    <w:rsid w:val="00AC5975"/>
    <w:rsid w:val="00AC5BC1"/>
    <w:rsid w:val="00AC5D72"/>
    <w:rsid w:val="00AC5F45"/>
    <w:rsid w:val="00AC6255"/>
    <w:rsid w:val="00AC6339"/>
    <w:rsid w:val="00AC654C"/>
    <w:rsid w:val="00AC6570"/>
    <w:rsid w:val="00AC70D3"/>
    <w:rsid w:val="00AC7107"/>
    <w:rsid w:val="00AC7261"/>
    <w:rsid w:val="00AD0050"/>
    <w:rsid w:val="00AD02DF"/>
    <w:rsid w:val="00AD061B"/>
    <w:rsid w:val="00AD0C6F"/>
    <w:rsid w:val="00AD18D0"/>
    <w:rsid w:val="00AD1A08"/>
    <w:rsid w:val="00AD24F3"/>
    <w:rsid w:val="00AD3E7C"/>
    <w:rsid w:val="00AD4321"/>
    <w:rsid w:val="00AD4571"/>
    <w:rsid w:val="00AD4A76"/>
    <w:rsid w:val="00AD4A9F"/>
    <w:rsid w:val="00AD4C07"/>
    <w:rsid w:val="00AD5151"/>
    <w:rsid w:val="00AD6000"/>
    <w:rsid w:val="00AD627C"/>
    <w:rsid w:val="00AD6F03"/>
    <w:rsid w:val="00AD6FCE"/>
    <w:rsid w:val="00AD6FF1"/>
    <w:rsid w:val="00AD70F1"/>
    <w:rsid w:val="00AD7434"/>
    <w:rsid w:val="00AE08E4"/>
    <w:rsid w:val="00AE0A6A"/>
    <w:rsid w:val="00AE0C1B"/>
    <w:rsid w:val="00AE1C7D"/>
    <w:rsid w:val="00AE1CD7"/>
    <w:rsid w:val="00AE28A0"/>
    <w:rsid w:val="00AE2AA1"/>
    <w:rsid w:val="00AE3011"/>
    <w:rsid w:val="00AE391C"/>
    <w:rsid w:val="00AE3D0A"/>
    <w:rsid w:val="00AE3D79"/>
    <w:rsid w:val="00AE47EF"/>
    <w:rsid w:val="00AE49B2"/>
    <w:rsid w:val="00AE4AE4"/>
    <w:rsid w:val="00AE4C83"/>
    <w:rsid w:val="00AE510C"/>
    <w:rsid w:val="00AE54E9"/>
    <w:rsid w:val="00AE6655"/>
    <w:rsid w:val="00AE6CB8"/>
    <w:rsid w:val="00AE7CD3"/>
    <w:rsid w:val="00AF0017"/>
    <w:rsid w:val="00AF003B"/>
    <w:rsid w:val="00AF07E2"/>
    <w:rsid w:val="00AF0D6E"/>
    <w:rsid w:val="00AF0EDC"/>
    <w:rsid w:val="00AF1037"/>
    <w:rsid w:val="00AF1104"/>
    <w:rsid w:val="00AF18F2"/>
    <w:rsid w:val="00AF19C5"/>
    <w:rsid w:val="00AF1C9B"/>
    <w:rsid w:val="00AF1E50"/>
    <w:rsid w:val="00AF1F57"/>
    <w:rsid w:val="00AF269A"/>
    <w:rsid w:val="00AF2AB4"/>
    <w:rsid w:val="00AF2EF6"/>
    <w:rsid w:val="00AF300C"/>
    <w:rsid w:val="00AF3C10"/>
    <w:rsid w:val="00AF3D7A"/>
    <w:rsid w:val="00AF4B50"/>
    <w:rsid w:val="00AF4ED2"/>
    <w:rsid w:val="00AF4F1C"/>
    <w:rsid w:val="00AF5025"/>
    <w:rsid w:val="00AF5965"/>
    <w:rsid w:val="00AF5A06"/>
    <w:rsid w:val="00AF5A7D"/>
    <w:rsid w:val="00AF62BC"/>
    <w:rsid w:val="00AF672F"/>
    <w:rsid w:val="00AF6B95"/>
    <w:rsid w:val="00AF6F2C"/>
    <w:rsid w:val="00AF7783"/>
    <w:rsid w:val="00AF7B78"/>
    <w:rsid w:val="00AF7B8B"/>
    <w:rsid w:val="00AF7FA5"/>
    <w:rsid w:val="00B00469"/>
    <w:rsid w:val="00B006E9"/>
    <w:rsid w:val="00B0111E"/>
    <w:rsid w:val="00B01163"/>
    <w:rsid w:val="00B011E2"/>
    <w:rsid w:val="00B01D1D"/>
    <w:rsid w:val="00B0203E"/>
    <w:rsid w:val="00B0233A"/>
    <w:rsid w:val="00B024AD"/>
    <w:rsid w:val="00B024D7"/>
    <w:rsid w:val="00B0261B"/>
    <w:rsid w:val="00B026C4"/>
    <w:rsid w:val="00B0371A"/>
    <w:rsid w:val="00B042CB"/>
    <w:rsid w:val="00B048F1"/>
    <w:rsid w:val="00B049B4"/>
    <w:rsid w:val="00B04D23"/>
    <w:rsid w:val="00B0509E"/>
    <w:rsid w:val="00B057CA"/>
    <w:rsid w:val="00B05E03"/>
    <w:rsid w:val="00B0641E"/>
    <w:rsid w:val="00B065CA"/>
    <w:rsid w:val="00B10004"/>
    <w:rsid w:val="00B104A0"/>
    <w:rsid w:val="00B1053F"/>
    <w:rsid w:val="00B11248"/>
    <w:rsid w:val="00B11505"/>
    <w:rsid w:val="00B1174D"/>
    <w:rsid w:val="00B11D0D"/>
    <w:rsid w:val="00B11D4D"/>
    <w:rsid w:val="00B11D50"/>
    <w:rsid w:val="00B11E71"/>
    <w:rsid w:val="00B12632"/>
    <w:rsid w:val="00B12EA6"/>
    <w:rsid w:val="00B13061"/>
    <w:rsid w:val="00B1337C"/>
    <w:rsid w:val="00B13638"/>
    <w:rsid w:val="00B1367F"/>
    <w:rsid w:val="00B1403F"/>
    <w:rsid w:val="00B1417C"/>
    <w:rsid w:val="00B14216"/>
    <w:rsid w:val="00B14253"/>
    <w:rsid w:val="00B145A2"/>
    <w:rsid w:val="00B148D1"/>
    <w:rsid w:val="00B14BBF"/>
    <w:rsid w:val="00B14C95"/>
    <w:rsid w:val="00B15280"/>
    <w:rsid w:val="00B15DB6"/>
    <w:rsid w:val="00B15E5A"/>
    <w:rsid w:val="00B1618D"/>
    <w:rsid w:val="00B161D3"/>
    <w:rsid w:val="00B16847"/>
    <w:rsid w:val="00B16A6A"/>
    <w:rsid w:val="00B17100"/>
    <w:rsid w:val="00B171C0"/>
    <w:rsid w:val="00B1769B"/>
    <w:rsid w:val="00B17999"/>
    <w:rsid w:val="00B17DFF"/>
    <w:rsid w:val="00B17F52"/>
    <w:rsid w:val="00B20317"/>
    <w:rsid w:val="00B20585"/>
    <w:rsid w:val="00B20894"/>
    <w:rsid w:val="00B20B37"/>
    <w:rsid w:val="00B20E5D"/>
    <w:rsid w:val="00B2107A"/>
    <w:rsid w:val="00B2164F"/>
    <w:rsid w:val="00B21B15"/>
    <w:rsid w:val="00B21DE2"/>
    <w:rsid w:val="00B21E50"/>
    <w:rsid w:val="00B22110"/>
    <w:rsid w:val="00B222B6"/>
    <w:rsid w:val="00B223EC"/>
    <w:rsid w:val="00B224F7"/>
    <w:rsid w:val="00B2266E"/>
    <w:rsid w:val="00B22E27"/>
    <w:rsid w:val="00B22F22"/>
    <w:rsid w:val="00B23005"/>
    <w:rsid w:val="00B23AFC"/>
    <w:rsid w:val="00B24168"/>
    <w:rsid w:val="00B24CA5"/>
    <w:rsid w:val="00B251BF"/>
    <w:rsid w:val="00B25EC5"/>
    <w:rsid w:val="00B261CE"/>
    <w:rsid w:val="00B267A1"/>
    <w:rsid w:val="00B26927"/>
    <w:rsid w:val="00B27DE8"/>
    <w:rsid w:val="00B30046"/>
    <w:rsid w:val="00B30480"/>
    <w:rsid w:val="00B30873"/>
    <w:rsid w:val="00B3089D"/>
    <w:rsid w:val="00B30DF8"/>
    <w:rsid w:val="00B30FAC"/>
    <w:rsid w:val="00B31429"/>
    <w:rsid w:val="00B31D8A"/>
    <w:rsid w:val="00B32012"/>
    <w:rsid w:val="00B32AFB"/>
    <w:rsid w:val="00B32C14"/>
    <w:rsid w:val="00B338E9"/>
    <w:rsid w:val="00B34001"/>
    <w:rsid w:val="00B34346"/>
    <w:rsid w:val="00B3451B"/>
    <w:rsid w:val="00B3451C"/>
    <w:rsid w:val="00B34B0B"/>
    <w:rsid w:val="00B34B77"/>
    <w:rsid w:val="00B34DD6"/>
    <w:rsid w:val="00B34FCD"/>
    <w:rsid w:val="00B3590A"/>
    <w:rsid w:val="00B35C96"/>
    <w:rsid w:val="00B35F80"/>
    <w:rsid w:val="00B36481"/>
    <w:rsid w:val="00B3662F"/>
    <w:rsid w:val="00B36BA6"/>
    <w:rsid w:val="00B36EAA"/>
    <w:rsid w:val="00B37163"/>
    <w:rsid w:val="00B37743"/>
    <w:rsid w:val="00B37BFA"/>
    <w:rsid w:val="00B4177D"/>
    <w:rsid w:val="00B42594"/>
    <w:rsid w:val="00B42994"/>
    <w:rsid w:val="00B42A65"/>
    <w:rsid w:val="00B42D45"/>
    <w:rsid w:val="00B431BD"/>
    <w:rsid w:val="00B43959"/>
    <w:rsid w:val="00B439B1"/>
    <w:rsid w:val="00B43C2A"/>
    <w:rsid w:val="00B43F29"/>
    <w:rsid w:val="00B4423C"/>
    <w:rsid w:val="00B442BD"/>
    <w:rsid w:val="00B44F8C"/>
    <w:rsid w:val="00B4512A"/>
    <w:rsid w:val="00B45B2A"/>
    <w:rsid w:val="00B47F0C"/>
    <w:rsid w:val="00B50194"/>
    <w:rsid w:val="00B501AC"/>
    <w:rsid w:val="00B50D10"/>
    <w:rsid w:val="00B511EE"/>
    <w:rsid w:val="00B5153D"/>
    <w:rsid w:val="00B51CC6"/>
    <w:rsid w:val="00B51F42"/>
    <w:rsid w:val="00B522A4"/>
    <w:rsid w:val="00B52872"/>
    <w:rsid w:val="00B53030"/>
    <w:rsid w:val="00B53847"/>
    <w:rsid w:val="00B53939"/>
    <w:rsid w:val="00B54264"/>
    <w:rsid w:val="00B542AB"/>
    <w:rsid w:val="00B551D4"/>
    <w:rsid w:val="00B5535F"/>
    <w:rsid w:val="00B554AF"/>
    <w:rsid w:val="00B55794"/>
    <w:rsid w:val="00B56331"/>
    <w:rsid w:val="00B56AB8"/>
    <w:rsid w:val="00B571D6"/>
    <w:rsid w:val="00B57DCB"/>
    <w:rsid w:val="00B60371"/>
    <w:rsid w:val="00B611CB"/>
    <w:rsid w:val="00B61D5C"/>
    <w:rsid w:val="00B62277"/>
    <w:rsid w:val="00B62635"/>
    <w:rsid w:val="00B62904"/>
    <w:rsid w:val="00B62F65"/>
    <w:rsid w:val="00B6323B"/>
    <w:rsid w:val="00B63A2F"/>
    <w:rsid w:val="00B643B0"/>
    <w:rsid w:val="00B64DD1"/>
    <w:rsid w:val="00B656B8"/>
    <w:rsid w:val="00B65C62"/>
    <w:rsid w:val="00B6637B"/>
    <w:rsid w:val="00B66DF4"/>
    <w:rsid w:val="00B702C9"/>
    <w:rsid w:val="00B70800"/>
    <w:rsid w:val="00B70A6C"/>
    <w:rsid w:val="00B70A73"/>
    <w:rsid w:val="00B70BF1"/>
    <w:rsid w:val="00B71000"/>
    <w:rsid w:val="00B71532"/>
    <w:rsid w:val="00B7155C"/>
    <w:rsid w:val="00B71CD5"/>
    <w:rsid w:val="00B71DAC"/>
    <w:rsid w:val="00B725BE"/>
    <w:rsid w:val="00B7283C"/>
    <w:rsid w:val="00B72E87"/>
    <w:rsid w:val="00B730C7"/>
    <w:rsid w:val="00B7350E"/>
    <w:rsid w:val="00B7408D"/>
    <w:rsid w:val="00B74792"/>
    <w:rsid w:val="00B74824"/>
    <w:rsid w:val="00B74827"/>
    <w:rsid w:val="00B74B3D"/>
    <w:rsid w:val="00B74FA2"/>
    <w:rsid w:val="00B7589B"/>
    <w:rsid w:val="00B759BA"/>
    <w:rsid w:val="00B75F07"/>
    <w:rsid w:val="00B76A97"/>
    <w:rsid w:val="00B770C6"/>
    <w:rsid w:val="00B77440"/>
    <w:rsid w:val="00B775A9"/>
    <w:rsid w:val="00B77900"/>
    <w:rsid w:val="00B779AF"/>
    <w:rsid w:val="00B80267"/>
    <w:rsid w:val="00B80373"/>
    <w:rsid w:val="00B811B0"/>
    <w:rsid w:val="00B81389"/>
    <w:rsid w:val="00B816A3"/>
    <w:rsid w:val="00B81785"/>
    <w:rsid w:val="00B822A4"/>
    <w:rsid w:val="00B828FF"/>
    <w:rsid w:val="00B82F08"/>
    <w:rsid w:val="00B833FB"/>
    <w:rsid w:val="00B83834"/>
    <w:rsid w:val="00B83D6A"/>
    <w:rsid w:val="00B846EC"/>
    <w:rsid w:val="00B84DD1"/>
    <w:rsid w:val="00B85030"/>
    <w:rsid w:val="00B8560C"/>
    <w:rsid w:val="00B8575F"/>
    <w:rsid w:val="00B85F75"/>
    <w:rsid w:val="00B86114"/>
    <w:rsid w:val="00B86CA9"/>
    <w:rsid w:val="00B86CE4"/>
    <w:rsid w:val="00B86E03"/>
    <w:rsid w:val="00B870D4"/>
    <w:rsid w:val="00B87342"/>
    <w:rsid w:val="00B876A7"/>
    <w:rsid w:val="00B87911"/>
    <w:rsid w:val="00B87C4A"/>
    <w:rsid w:val="00B87D95"/>
    <w:rsid w:val="00B87EBD"/>
    <w:rsid w:val="00B90350"/>
    <w:rsid w:val="00B903C5"/>
    <w:rsid w:val="00B90FED"/>
    <w:rsid w:val="00B91440"/>
    <w:rsid w:val="00B91559"/>
    <w:rsid w:val="00B918B1"/>
    <w:rsid w:val="00B920D8"/>
    <w:rsid w:val="00B92665"/>
    <w:rsid w:val="00B92977"/>
    <w:rsid w:val="00B9368F"/>
    <w:rsid w:val="00B93FA1"/>
    <w:rsid w:val="00B94D32"/>
    <w:rsid w:val="00B954F5"/>
    <w:rsid w:val="00B9562F"/>
    <w:rsid w:val="00B95838"/>
    <w:rsid w:val="00B96B9F"/>
    <w:rsid w:val="00B96F5F"/>
    <w:rsid w:val="00B96FBD"/>
    <w:rsid w:val="00B974E3"/>
    <w:rsid w:val="00B976CF"/>
    <w:rsid w:val="00B979EC"/>
    <w:rsid w:val="00B97F1B"/>
    <w:rsid w:val="00BA034F"/>
    <w:rsid w:val="00BA05FE"/>
    <w:rsid w:val="00BA170E"/>
    <w:rsid w:val="00BA1C6C"/>
    <w:rsid w:val="00BA2863"/>
    <w:rsid w:val="00BA31DF"/>
    <w:rsid w:val="00BA325A"/>
    <w:rsid w:val="00BA39E2"/>
    <w:rsid w:val="00BA52D8"/>
    <w:rsid w:val="00BA53A5"/>
    <w:rsid w:val="00BA5424"/>
    <w:rsid w:val="00BA58FE"/>
    <w:rsid w:val="00BA5C1F"/>
    <w:rsid w:val="00BA6384"/>
    <w:rsid w:val="00BA65DD"/>
    <w:rsid w:val="00BA670F"/>
    <w:rsid w:val="00BA6B9E"/>
    <w:rsid w:val="00BA6E03"/>
    <w:rsid w:val="00BA7215"/>
    <w:rsid w:val="00BA7643"/>
    <w:rsid w:val="00BA7735"/>
    <w:rsid w:val="00BA78EA"/>
    <w:rsid w:val="00BA7C1B"/>
    <w:rsid w:val="00BA7CE0"/>
    <w:rsid w:val="00BA7E96"/>
    <w:rsid w:val="00BB0243"/>
    <w:rsid w:val="00BB0847"/>
    <w:rsid w:val="00BB0EB4"/>
    <w:rsid w:val="00BB1292"/>
    <w:rsid w:val="00BB1699"/>
    <w:rsid w:val="00BB169C"/>
    <w:rsid w:val="00BB1B9E"/>
    <w:rsid w:val="00BB1FA5"/>
    <w:rsid w:val="00BB2063"/>
    <w:rsid w:val="00BB22D4"/>
    <w:rsid w:val="00BB3CBE"/>
    <w:rsid w:val="00BB3F83"/>
    <w:rsid w:val="00BB4176"/>
    <w:rsid w:val="00BB4211"/>
    <w:rsid w:val="00BB4E47"/>
    <w:rsid w:val="00BB503A"/>
    <w:rsid w:val="00BB50BB"/>
    <w:rsid w:val="00BB548D"/>
    <w:rsid w:val="00BB5B5D"/>
    <w:rsid w:val="00BB5C79"/>
    <w:rsid w:val="00BB632B"/>
    <w:rsid w:val="00BB6397"/>
    <w:rsid w:val="00BB6C79"/>
    <w:rsid w:val="00BB73C8"/>
    <w:rsid w:val="00BB7E19"/>
    <w:rsid w:val="00BB7F21"/>
    <w:rsid w:val="00BC05EA"/>
    <w:rsid w:val="00BC0624"/>
    <w:rsid w:val="00BC068F"/>
    <w:rsid w:val="00BC0A7F"/>
    <w:rsid w:val="00BC1220"/>
    <w:rsid w:val="00BC1A06"/>
    <w:rsid w:val="00BC1B09"/>
    <w:rsid w:val="00BC2787"/>
    <w:rsid w:val="00BC27D3"/>
    <w:rsid w:val="00BC2925"/>
    <w:rsid w:val="00BC2C58"/>
    <w:rsid w:val="00BC35BD"/>
    <w:rsid w:val="00BC3CF6"/>
    <w:rsid w:val="00BC3F13"/>
    <w:rsid w:val="00BC40B5"/>
    <w:rsid w:val="00BC43FD"/>
    <w:rsid w:val="00BC47BF"/>
    <w:rsid w:val="00BC4F1C"/>
    <w:rsid w:val="00BC5D00"/>
    <w:rsid w:val="00BC5D7D"/>
    <w:rsid w:val="00BC61CD"/>
    <w:rsid w:val="00BC67C0"/>
    <w:rsid w:val="00BC6EC7"/>
    <w:rsid w:val="00BC6F41"/>
    <w:rsid w:val="00BC7632"/>
    <w:rsid w:val="00BC7784"/>
    <w:rsid w:val="00BC793E"/>
    <w:rsid w:val="00BC7F91"/>
    <w:rsid w:val="00BD1270"/>
    <w:rsid w:val="00BD1288"/>
    <w:rsid w:val="00BD1379"/>
    <w:rsid w:val="00BD2808"/>
    <w:rsid w:val="00BD2FE7"/>
    <w:rsid w:val="00BD35A4"/>
    <w:rsid w:val="00BD36DE"/>
    <w:rsid w:val="00BD414C"/>
    <w:rsid w:val="00BD4E13"/>
    <w:rsid w:val="00BD52C3"/>
    <w:rsid w:val="00BD5485"/>
    <w:rsid w:val="00BD5A3B"/>
    <w:rsid w:val="00BD5CCE"/>
    <w:rsid w:val="00BD5F43"/>
    <w:rsid w:val="00BD63EB"/>
    <w:rsid w:val="00BD661B"/>
    <w:rsid w:val="00BD687C"/>
    <w:rsid w:val="00BD6A76"/>
    <w:rsid w:val="00BD6D73"/>
    <w:rsid w:val="00BD6DB9"/>
    <w:rsid w:val="00BD7412"/>
    <w:rsid w:val="00BD75D1"/>
    <w:rsid w:val="00BD7A7C"/>
    <w:rsid w:val="00BD7ACF"/>
    <w:rsid w:val="00BE029D"/>
    <w:rsid w:val="00BE0363"/>
    <w:rsid w:val="00BE0A45"/>
    <w:rsid w:val="00BE1233"/>
    <w:rsid w:val="00BE1311"/>
    <w:rsid w:val="00BE19C2"/>
    <w:rsid w:val="00BE1B8D"/>
    <w:rsid w:val="00BE2635"/>
    <w:rsid w:val="00BE316D"/>
    <w:rsid w:val="00BE32DE"/>
    <w:rsid w:val="00BE358B"/>
    <w:rsid w:val="00BE3A15"/>
    <w:rsid w:val="00BE3CAA"/>
    <w:rsid w:val="00BE4109"/>
    <w:rsid w:val="00BE42E9"/>
    <w:rsid w:val="00BE432C"/>
    <w:rsid w:val="00BE447B"/>
    <w:rsid w:val="00BE450D"/>
    <w:rsid w:val="00BE4782"/>
    <w:rsid w:val="00BE47D8"/>
    <w:rsid w:val="00BE48EF"/>
    <w:rsid w:val="00BE49A0"/>
    <w:rsid w:val="00BE4E77"/>
    <w:rsid w:val="00BE4FD9"/>
    <w:rsid w:val="00BE567A"/>
    <w:rsid w:val="00BE5B1A"/>
    <w:rsid w:val="00BE5D73"/>
    <w:rsid w:val="00BE61EA"/>
    <w:rsid w:val="00BE6617"/>
    <w:rsid w:val="00BE6DFE"/>
    <w:rsid w:val="00BE6E3B"/>
    <w:rsid w:val="00BE7DD8"/>
    <w:rsid w:val="00BF0637"/>
    <w:rsid w:val="00BF0A6F"/>
    <w:rsid w:val="00BF124A"/>
    <w:rsid w:val="00BF143E"/>
    <w:rsid w:val="00BF25E9"/>
    <w:rsid w:val="00BF2907"/>
    <w:rsid w:val="00BF37A9"/>
    <w:rsid w:val="00BF4551"/>
    <w:rsid w:val="00BF4770"/>
    <w:rsid w:val="00BF496E"/>
    <w:rsid w:val="00BF4B98"/>
    <w:rsid w:val="00BF4C5B"/>
    <w:rsid w:val="00BF4D48"/>
    <w:rsid w:val="00BF5106"/>
    <w:rsid w:val="00BF540A"/>
    <w:rsid w:val="00BF5D03"/>
    <w:rsid w:val="00BF5D10"/>
    <w:rsid w:val="00BF61D3"/>
    <w:rsid w:val="00BF67D7"/>
    <w:rsid w:val="00BF6EC1"/>
    <w:rsid w:val="00BF7257"/>
    <w:rsid w:val="00BF776D"/>
    <w:rsid w:val="00BF7CC2"/>
    <w:rsid w:val="00C003A5"/>
    <w:rsid w:val="00C00C5B"/>
    <w:rsid w:val="00C01220"/>
    <w:rsid w:val="00C017D1"/>
    <w:rsid w:val="00C029BC"/>
    <w:rsid w:val="00C0305E"/>
    <w:rsid w:val="00C03253"/>
    <w:rsid w:val="00C038A4"/>
    <w:rsid w:val="00C03C43"/>
    <w:rsid w:val="00C043E8"/>
    <w:rsid w:val="00C04D37"/>
    <w:rsid w:val="00C05941"/>
    <w:rsid w:val="00C06386"/>
    <w:rsid w:val="00C0643E"/>
    <w:rsid w:val="00C0650B"/>
    <w:rsid w:val="00C0657C"/>
    <w:rsid w:val="00C06B3E"/>
    <w:rsid w:val="00C074C4"/>
    <w:rsid w:val="00C1004A"/>
    <w:rsid w:val="00C10606"/>
    <w:rsid w:val="00C10CD4"/>
    <w:rsid w:val="00C11B21"/>
    <w:rsid w:val="00C11B8D"/>
    <w:rsid w:val="00C11CAB"/>
    <w:rsid w:val="00C11D77"/>
    <w:rsid w:val="00C11F10"/>
    <w:rsid w:val="00C12AE0"/>
    <w:rsid w:val="00C12CCF"/>
    <w:rsid w:val="00C12FEB"/>
    <w:rsid w:val="00C13246"/>
    <w:rsid w:val="00C132CA"/>
    <w:rsid w:val="00C13673"/>
    <w:rsid w:val="00C13743"/>
    <w:rsid w:val="00C13DBA"/>
    <w:rsid w:val="00C140C6"/>
    <w:rsid w:val="00C14261"/>
    <w:rsid w:val="00C144EF"/>
    <w:rsid w:val="00C14E1B"/>
    <w:rsid w:val="00C1534E"/>
    <w:rsid w:val="00C15718"/>
    <w:rsid w:val="00C15B74"/>
    <w:rsid w:val="00C161BA"/>
    <w:rsid w:val="00C1655D"/>
    <w:rsid w:val="00C1716D"/>
    <w:rsid w:val="00C17E95"/>
    <w:rsid w:val="00C2024C"/>
    <w:rsid w:val="00C2047C"/>
    <w:rsid w:val="00C20B1A"/>
    <w:rsid w:val="00C20CE0"/>
    <w:rsid w:val="00C20D6B"/>
    <w:rsid w:val="00C20F78"/>
    <w:rsid w:val="00C211DC"/>
    <w:rsid w:val="00C2135F"/>
    <w:rsid w:val="00C214B9"/>
    <w:rsid w:val="00C216DF"/>
    <w:rsid w:val="00C224A1"/>
    <w:rsid w:val="00C22AF4"/>
    <w:rsid w:val="00C233C6"/>
    <w:rsid w:val="00C234F6"/>
    <w:rsid w:val="00C23945"/>
    <w:rsid w:val="00C23D4E"/>
    <w:rsid w:val="00C23E48"/>
    <w:rsid w:val="00C24D70"/>
    <w:rsid w:val="00C24ED2"/>
    <w:rsid w:val="00C25670"/>
    <w:rsid w:val="00C258C7"/>
    <w:rsid w:val="00C259E2"/>
    <w:rsid w:val="00C2636B"/>
    <w:rsid w:val="00C264C7"/>
    <w:rsid w:val="00C26869"/>
    <w:rsid w:val="00C277FB"/>
    <w:rsid w:val="00C27CEA"/>
    <w:rsid w:val="00C30639"/>
    <w:rsid w:val="00C306B3"/>
    <w:rsid w:val="00C306F6"/>
    <w:rsid w:val="00C30F55"/>
    <w:rsid w:val="00C314FC"/>
    <w:rsid w:val="00C3194E"/>
    <w:rsid w:val="00C31AEC"/>
    <w:rsid w:val="00C31BBB"/>
    <w:rsid w:val="00C3204A"/>
    <w:rsid w:val="00C3336A"/>
    <w:rsid w:val="00C34061"/>
    <w:rsid w:val="00C345ED"/>
    <w:rsid w:val="00C3470B"/>
    <w:rsid w:val="00C34778"/>
    <w:rsid w:val="00C34837"/>
    <w:rsid w:val="00C348B3"/>
    <w:rsid w:val="00C3548F"/>
    <w:rsid w:val="00C356C8"/>
    <w:rsid w:val="00C35970"/>
    <w:rsid w:val="00C367B4"/>
    <w:rsid w:val="00C368AA"/>
    <w:rsid w:val="00C36B2D"/>
    <w:rsid w:val="00C372A7"/>
    <w:rsid w:val="00C37615"/>
    <w:rsid w:val="00C37B29"/>
    <w:rsid w:val="00C37D9E"/>
    <w:rsid w:val="00C4097B"/>
    <w:rsid w:val="00C40C32"/>
    <w:rsid w:val="00C40D23"/>
    <w:rsid w:val="00C40D60"/>
    <w:rsid w:val="00C41B7A"/>
    <w:rsid w:val="00C428CD"/>
    <w:rsid w:val="00C4348B"/>
    <w:rsid w:val="00C439A7"/>
    <w:rsid w:val="00C43A7D"/>
    <w:rsid w:val="00C4425F"/>
    <w:rsid w:val="00C4438C"/>
    <w:rsid w:val="00C44421"/>
    <w:rsid w:val="00C447D2"/>
    <w:rsid w:val="00C44A04"/>
    <w:rsid w:val="00C4599C"/>
    <w:rsid w:val="00C461E0"/>
    <w:rsid w:val="00C463D4"/>
    <w:rsid w:val="00C465E1"/>
    <w:rsid w:val="00C46954"/>
    <w:rsid w:val="00C46B50"/>
    <w:rsid w:val="00C46BFF"/>
    <w:rsid w:val="00C46DB1"/>
    <w:rsid w:val="00C4706F"/>
    <w:rsid w:val="00C473A1"/>
    <w:rsid w:val="00C475BB"/>
    <w:rsid w:val="00C47B79"/>
    <w:rsid w:val="00C47BD3"/>
    <w:rsid w:val="00C50407"/>
    <w:rsid w:val="00C504D3"/>
    <w:rsid w:val="00C51260"/>
    <w:rsid w:val="00C51C51"/>
    <w:rsid w:val="00C520F7"/>
    <w:rsid w:val="00C528BA"/>
    <w:rsid w:val="00C52A7F"/>
    <w:rsid w:val="00C52B3C"/>
    <w:rsid w:val="00C52C8F"/>
    <w:rsid w:val="00C5351C"/>
    <w:rsid w:val="00C536B3"/>
    <w:rsid w:val="00C53B22"/>
    <w:rsid w:val="00C53E68"/>
    <w:rsid w:val="00C54054"/>
    <w:rsid w:val="00C542A9"/>
    <w:rsid w:val="00C5442F"/>
    <w:rsid w:val="00C54467"/>
    <w:rsid w:val="00C54643"/>
    <w:rsid w:val="00C54763"/>
    <w:rsid w:val="00C55547"/>
    <w:rsid w:val="00C55649"/>
    <w:rsid w:val="00C560FD"/>
    <w:rsid w:val="00C563A1"/>
    <w:rsid w:val="00C56B37"/>
    <w:rsid w:val="00C57102"/>
    <w:rsid w:val="00C571BC"/>
    <w:rsid w:val="00C576F8"/>
    <w:rsid w:val="00C578D4"/>
    <w:rsid w:val="00C57BC1"/>
    <w:rsid w:val="00C57F07"/>
    <w:rsid w:val="00C57F69"/>
    <w:rsid w:val="00C57F6D"/>
    <w:rsid w:val="00C604F5"/>
    <w:rsid w:val="00C6077A"/>
    <w:rsid w:val="00C607FF"/>
    <w:rsid w:val="00C60FB9"/>
    <w:rsid w:val="00C614D1"/>
    <w:rsid w:val="00C61FF5"/>
    <w:rsid w:val="00C62CD3"/>
    <w:rsid w:val="00C635CF"/>
    <w:rsid w:val="00C635FD"/>
    <w:rsid w:val="00C64027"/>
    <w:rsid w:val="00C646A9"/>
    <w:rsid w:val="00C657D7"/>
    <w:rsid w:val="00C65E17"/>
    <w:rsid w:val="00C661DD"/>
    <w:rsid w:val="00C66473"/>
    <w:rsid w:val="00C66A4D"/>
    <w:rsid w:val="00C67004"/>
    <w:rsid w:val="00C6707D"/>
    <w:rsid w:val="00C67259"/>
    <w:rsid w:val="00C67387"/>
    <w:rsid w:val="00C679E4"/>
    <w:rsid w:val="00C703F5"/>
    <w:rsid w:val="00C705B1"/>
    <w:rsid w:val="00C70718"/>
    <w:rsid w:val="00C707EE"/>
    <w:rsid w:val="00C7103D"/>
    <w:rsid w:val="00C7156A"/>
    <w:rsid w:val="00C716E5"/>
    <w:rsid w:val="00C717C8"/>
    <w:rsid w:val="00C71862"/>
    <w:rsid w:val="00C7187C"/>
    <w:rsid w:val="00C71AF2"/>
    <w:rsid w:val="00C71B86"/>
    <w:rsid w:val="00C71D62"/>
    <w:rsid w:val="00C723EA"/>
    <w:rsid w:val="00C72492"/>
    <w:rsid w:val="00C72648"/>
    <w:rsid w:val="00C72B5C"/>
    <w:rsid w:val="00C72B70"/>
    <w:rsid w:val="00C73078"/>
    <w:rsid w:val="00C731CE"/>
    <w:rsid w:val="00C74B71"/>
    <w:rsid w:val="00C75665"/>
    <w:rsid w:val="00C763D4"/>
    <w:rsid w:val="00C765CB"/>
    <w:rsid w:val="00C76D68"/>
    <w:rsid w:val="00C76E4A"/>
    <w:rsid w:val="00C7768F"/>
    <w:rsid w:val="00C776FF"/>
    <w:rsid w:val="00C77E9D"/>
    <w:rsid w:val="00C80436"/>
    <w:rsid w:val="00C804AA"/>
    <w:rsid w:val="00C80731"/>
    <w:rsid w:val="00C80811"/>
    <w:rsid w:val="00C80D51"/>
    <w:rsid w:val="00C8137A"/>
    <w:rsid w:val="00C81391"/>
    <w:rsid w:val="00C81743"/>
    <w:rsid w:val="00C81EAF"/>
    <w:rsid w:val="00C8294D"/>
    <w:rsid w:val="00C837F5"/>
    <w:rsid w:val="00C83CAB"/>
    <w:rsid w:val="00C83D79"/>
    <w:rsid w:val="00C84270"/>
    <w:rsid w:val="00C84442"/>
    <w:rsid w:val="00C844C4"/>
    <w:rsid w:val="00C84BAF"/>
    <w:rsid w:val="00C84C64"/>
    <w:rsid w:val="00C84E71"/>
    <w:rsid w:val="00C850D5"/>
    <w:rsid w:val="00C856CF"/>
    <w:rsid w:val="00C8571F"/>
    <w:rsid w:val="00C8747F"/>
    <w:rsid w:val="00C87CEE"/>
    <w:rsid w:val="00C9009E"/>
    <w:rsid w:val="00C90C4F"/>
    <w:rsid w:val="00C90FE0"/>
    <w:rsid w:val="00C917B0"/>
    <w:rsid w:val="00C91AAD"/>
    <w:rsid w:val="00C91DC9"/>
    <w:rsid w:val="00C91EE6"/>
    <w:rsid w:val="00C93207"/>
    <w:rsid w:val="00C93323"/>
    <w:rsid w:val="00C93697"/>
    <w:rsid w:val="00C93FC2"/>
    <w:rsid w:val="00C941FF"/>
    <w:rsid w:val="00C94812"/>
    <w:rsid w:val="00C94AFD"/>
    <w:rsid w:val="00C95414"/>
    <w:rsid w:val="00C95E48"/>
    <w:rsid w:val="00C960CE"/>
    <w:rsid w:val="00C9673B"/>
    <w:rsid w:val="00C9735E"/>
    <w:rsid w:val="00C973B8"/>
    <w:rsid w:val="00C973FB"/>
    <w:rsid w:val="00C9759B"/>
    <w:rsid w:val="00C97EB6"/>
    <w:rsid w:val="00CA08B4"/>
    <w:rsid w:val="00CA0B84"/>
    <w:rsid w:val="00CA0C40"/>
    <w:rsid w:val="00CA126C"/>
    <w:rsid w:val="00CA13B9"/>
    <w:rsid w:val="00CA1ED1"/>
    <w:rsid w:val="00CA21CA"/>
    <w:rsid w:val="00CA236C"/>
    <w:rsid w:val="00CA270D"/>
    <w:rsid w:val="00CA2E80"/>
    <w:rsid w:val="00CA2E92"/>
    <w:rsid w:val="00CA36FB"/>
    <w:rsid w:val="00CA3DAC"/>
    <w:rsid w:val="00CA3E89"/>
    <w:rsid w:val="00CA3F90"/>
    <w:rsid w:val="00CA4EB2"/>
    <w:rsid w:val="00CA58A5"/>
    <w:rsid w:val="00CA5FC1"/>
    <w:rsid w:val="00CA61EE"/>
    <w:rsid w:val="00CA62FA"/>
    <w:rsid w:val="00CA641A"/>
    <w:rsid w:val="00CA6BD0"/>
    <w:rsid w:val="00CA6F54"/>
    <w:rsid w:val="00CA6F88"/>
    <w:rsid w:val="00CA7776"/>
    <w:rsid w:val="00CB0263"/>
    <w:rsid w:val="00CB1ABF"/>
    <w:rsid w:val="00CB1F27"/>
    <w:rsid w:val="00CB1FD4"/>
    <w:rsid w:val="00CB256D"/>
    <w:rsid w:val="00CB2683"/>
    <w:rsid w:val="00CB2C9F"/>
    <w:rsid w:val="00CB39A1"/>
    <w:rsid w:val="00CB3FAD"/>
    <w:rsid w:val="00CB484B"/>
    <w:rsid w:val="00CB4E0C"/>
    <w:rsid w:val="00CB4F16"/>
    <w:rsid w:val="00CB5059"/>
    <w:rsid w:val="00CB680A"/>
    <w:rsid w:val="00CB6C8D"/>
    <w:rsid w:val="00CB7F46"/>
    <w:rsid w:val="00CC0453"/>
    <w:rsid w:val="00CC070A"/>
    <w:rsid w:val="00CC15C3"/>
    <w:rsid w:val="00CC168E"/>
    <w:rsid w:val="00CC177B"/>
    <w:rsid w:val="00CC1A09"/>
    <w:rsid w:val="00CC1D85"/>
    <w:rsid w:val="00CC2508"/>
    <w:rsid w:val="00CC25CA"/>
    <w:rsid w:val="00CC26A6"/>
    <w:rsid w:val="00CC2F2F"/>
    <w:rsid w:val="00CC3F08"/>
    <w:rsid w:val="00CC4070"/>
    <w:rsid w:val="00CC461F"/>
    <w:rsid w:val="00CC47A1"/>
    <w:rsid w:val="00CC49E2"/>
    <w:rsid w:val="00CC4C52"/>
    <w:rsid w:val="00CC4F4F"/>
    <w:rsid w:val="00CC4F94"/>
    <w:rsid w:val="00CC57CA"/>
    <w:rsid w:val="00CC5A45"/>
    <w:rsid w:val="00CC5E00"/>
    <w:rsid w:val="00CC6321"/>
    <w:rsid w:val="00CC6811"/>
    <w:rsid w:val="00CC6A7B"/>
    <w:rsid w:val="00CC7195"/>
    <w:rsid w:val="00CC76CD"/>
    <w:rsid w:val="00CC7888"/>
    <w:rsid w:val="00CD007F"/>
    <w:rsid w:val="00CD01B6"/>
    <w:rsid w:val="00CD02EB"/>
    <w:rsid w:val="00CD037F"/>
    <w:rsid w:val="00CD0409"/>
    <w:rsid w:val="00CD0D24"/>
    <w:rsid w:val="00CD1420"/>
    <w:rsid w:val="00CD1B30"/>
    <w:rsid w:val="00CD1E9E"/>
    <w:rsid w:val="00CD213E"/>
    <w:rsid w:val="00CD23D1"/>
    <w:rsid w:val="00CD2603"/>
    <w:rsid w:val="00CD2D7A"/>
    <w:rsid w:val="00CD35F2"/>
    <w:rsid w:val="00CD385E"/>
    <w:rsid w:val="00CD3A16"/>
    <w:rsid w:val="00CD3A68"/>
    <w:rsid w:val="00CD3CE4"/>
    <w:rsid w:val="00CD3F0E"/>
    <w:rsid w:val="00CD6AB0"/>
    <w:rsid w:val="00CD6D31"/>
    <w:rsid w:val="00CD7D5B"/>
    <w:rsid w:val="00CD7ED8"/>
    <w:rsid w:val="00CD7F92"/>
    <w:rsid w:val="00CE0544"/>
    <w:rsid w:val="00CE0B64"/>
    <w:rsid w:val="00CE0C2B"/>
    <w:rsid w:val="00CE1093"/>
    <w:rsid w:val="00CE113A"/>
    <w:rsid w:val="00CE1883"/>
    <w:rsid w:val="00CE1C68"/>
    <w:rsid w:val="00CE2318"/>
    <w:rsid w:val="00CE2458"/>
    <w:rsid w:val="00CE24E9"/>
    <w:rsid w:val="00CE2B78"/>
    <w:rsid w:val="00CE2E7C"/>
    <w:rsid w:val="00CE31F7"/>
    <w:rsid w:val="00CE3220"/>
    <w:rsid w:val="00CE3686"/>
    <w:rsid w:val="00CE4152"/>
    <w:rsid w:val="00CE46E2"/>
    <w:rsid w:val="00CE47AF"/>
    <w:rsid w:val="00CE496E"/>
    <w:rsid w:val="00CE4AA1"/>
    <w:rsid w:val="00CE4BEB"/>
    <w:rsid w:val="00CE4C49"/>
    <w:rsid w:val="00CE4E2B"/>
    <w:rsid w:val="00CE5ACF"/>
    <w:rsid w:val="00CE64E9"/>
    <w:rsid w:val="00CE65A4"/>
    <w:rsid w:val="00CE6C76"/>
    <w:rsid w:val="00CE70FE"/>
    <w:rsid w:val="00CE7899"/>
    <w:rsid w:val="00CE79DC"/>
    <w:rsid w:val="00CE7E86"/>
    <w:rsid w:val="00CE7F91"/>
    <w:rsid w:val="00CF0568"/>
    <w:rsid w:val="00CF0BB6"/>
    <w:rsid w:val="00CF0D44"/>
    <w:rsid w:val="00CF1561"/>
    <w:rsid w:val="00CF21A1"/>
    <w:rsid w:val="00CF2D64"/>
    <w:rsid w:val="00CF2EA8"/>
    <w:rsid w:val="00CF38F0"/>
    <w:rsid w:val="00CF3EAE"/>
    <w:rsid w:val="00CF4186"/>
    <w:rsid w:val="00CF4803"/>
    <w:rsid w:val="00CF4DAD"/>
    <w:rsid w:val="00CF540D"/>
    <w:rsid w:val="00CF5466"/>
    <w:rsid w:val="00CF55F4"/>
    <w:rsid w:val="00CF5FE5"/>
    <w:rsid w:val="00CF6BEB"/>
    <w:rsid w:val="00CF6D85"/>
    <w:rsid w:val="00CF6ECD"/>
    <w:rsid w:val="00CF6F63"/>
    <w:rsid w:val="00CF724C"/>
    <w:rsid w:val="00CF7339"/>
    <w:rsid w:val="00CF74DC"/>
    <w:rsid w:val="00CF771A"/>
    <w:rsid w:val="00CF7E09"/>
    <w:rsid w:val="00D00527"/>
    <w:rsid w:val="00D00AB9"/>
    <w:rsid w:val="00D00B6A"/>
    <w:rsid w:val="00D013AE"/>
    <w:rsid w:val="00D021AF"/>
    <w:rsid w:val="00D024BD"/>
    <w:rsid w:val="00D02770"/>
    <w:rsid w:val="00D02E89"/>
    <w:rsid w:val="00D03097"/>
    <w:rsid w:val="00D03A46"/>
    <w:rsid w:val="00D03B89"/>
    <w:rsid w:val="00D03BC0"/>
    <w:rsid w:val="00D0415F"/>
    <w:rsid w:val="00D04201"/>
    <w:rsid w:val="00D04837"/>
    <w:rsid w:val="00D04C7C"/>
    <w:rsid w:val="00D054C0"/>
    <w:rsid w:val="00D05A94"/>
    <w:rsid w:val="00D06527"/>
    <w:rsid w:val="00D0668B"/>
    <w:rsid w:val="00D06F70"/>
    <w:rsid w:val="00D10700"/>
    <w:rsid w:val="00D10E91"/>
    <w:rsid w:val="00D11691"/>
    <w:rsid w:val="00D11D41"/>
    <w:rsid w:val="00D1223C"/>
    <w:rsid w:val="00D12970"/>
    <w:rsid w:val="00D14A32"/>
    <w:rsid w:val="00D14AAB"/>
    <w:rsid w:val="00D14C08"/>
    <w:rsid w:val="00D14CF0"/>
    <w:rsid w:val="00D14EE0"/>
    <w:rsid w:val="00D151E0"/>
    <w:rsid w:val="00D152AB"/>
    <w:rsid w:val="00D15808"/>
    <w:rsid w:val="00D15F93"/>
    <w:rsid w:val="00D1601F"/>
    <w:rsid w:val="00D16380"/>
    <w:rsid w:val="00D167F4"/>
    <w:rsid w:val="00D1690D"/>
    <w:rsid w:val="00D16F5B"/>
    <w:rsid w:val="00D16FBF"/>
    <w:rsid w:val="00D1720D"/>
    <w:rsid w:val="00D1769D"/>
    <w:rsid w:val="00D1786A"/>
    <w:rsid w:val="00D17913"/>
    <w:rsid w:val="00D200AB"/>
    <w:rsid w:val="00D20174"/>
    <w:rsid w:val="00D2018B"/>
    <w:rsid w:val="00D20799"/>
    <w:rsid w:val="00D20943"/>
    <w:rsid w:val="00D209AF"/>
    <w:rsid w:val="00D20C67"/>
    <w:rsid w:val="00D212FE"/>
    <w:rsid w:val="00D21590"/>
    <w:rsid w:val="00D21B29"/>
    <w:rsid w:val="00D21B87"/>
    <w:rsid w:val="00D21B89"/>
    <w:rsid w:val="00D21BF8"/>
    <w:rsid w:val="00D21C1C"/>
    <w:rsid w:val="00D21E2E"/>
    <w:rsid w:val="00D21FB1"/>
    <w:rsid w:val="00D22279"/>
    <w:rsid w:val="00D2283A"/>
    <w:rsid w:val="00D22947"/>
    <w:rsid w:val="00D22AC8"/>
    <w:rsid w:val="00D23776"/>
    <w:rsid w:val="00D23E14"/>
    <w:rsid w:val="00D23E8F"/>
    <w:rsid w:val="00D2428D"/>
    <w:rsid w:val="00D24553"/>
    <w:rsid w:val="00D24FFF"/>
    <w:rsid w:val="00D2506C"/>
    <w:rsid w:val="00D257FE"/>
    <w:rsid w:val="00D25F22"/>
    <w:rsid w:val="00D25F78"/>
    <w:rsid w:val="00D26FC4"/>
    <w:rsid w:val="00D27544"/>
    <w:rsid w:val="00D27A08"/>
    <w:rsid w:val="00D27ECE"/>
    <w:rsid w:val="00D27F99"/>
    <w:rsid w:val="00D300B2"/>
    <w:rsid w:val="00D300D9"/>
    <w:rsid w:val="00D306CF"/>
    <w:rsid w:val="00D30735"/>
    <w:rsid w:val="00D3084F"/>
    <w:rsid w:val="00D30A68"/>
    <w:rsid w:val="00D30BE6"/>
    <w:rsid w:val="00D30C04"/>
    <w:rsid w:val="00D30DFF"/>
    <w:rsid w:val="00D30ECC"/>
    <w:rsid w:val="00D3120F"/>
    <w:rsid w:val="00D314D5"/>
    <w:rsid w:val="00D31B5E"/>
    <w:rsid w:val="00D31C7A"/>
    <w:rsid w:val="00D32447"/>
    <w:rsid w:val="00D32838"/>
    <w:rsid w:val="00D329AD"/>
    <w:rsid w:val="00D329EB"/>
    <w:rsid w:val="00D33590"/>
    <w:rsid w:val="00D33746"/>
    <w:rsid w:val="00D3387C"/>
    <w:rsid w:val="00D33AA1"/>
    <w:rsid w:val="00D33F8D"/>
    <w:rsid w:val="00D34F75"/>
    <w:rsid w:val="00D3502E"/>
    <w:rsid w:val="00D355AD"/>
    <w:rsid w:val="00D35B3D"/>
    <w:rsid w:val="00D35B65"/>
    <w:rsid w:val="00D35BD5"/>
    <w:rsid w:val="00D35C30"/>
    <w:rsid w:val="00D3605F"/>
    <w:rsid w:val="00D36501"/>
    <w:rsid w:val="00D366AD"/>
    <w:rsid w:val="00D3686E"/>
    <w:rsid w:val="00D369C6"/>
    <w:rsid w:val="00D3752B"/>
    <w:rsid w:val="00D37B77"/>
    <w:rsid w:val="00D400C3"/>
    <w:rsid w:val="00D401D8"/>
    <w:rsid w:val="00D409BF"/>
    <w:rsid w:val="00D40C0F"/>
    <w:rsid w:val="00D412C0"/>
    <w:rsid w:val="00D4194D"/>
    <w:rsid w:val="00D4195F"/>
    <w:rsid w:val="00D420C9"/>
    <w:rsid w:val="00D42211"/>
    <w:rsid w:val="00D42298"/>
    <w:rsid w:val="00D424CA"/>
    <w:rsid w:val="00D43CF8"/>
    <w:rsid w:val="00D4457C"/>
    <w:rsid w:val="00D445CE"/>
    <w:rsid w:val="00D447F7"/>
    <w:rsid w:val="00D44F4C"/>
    <w:rsid w:val="00D459F5"/>
    <w:rsid w:val="00D45B15"/>
    <w:rsid w:val="00D45F30"/>
    <w:rsid w:val="00D46659"/>
    <w:rsid w:val="00D472F6"/>
    <w:rsid w:val="00D47551"/>
    <w:rsid w:val="00D47CD7"/>
    <w:rsid w:val="00D5053E"/>
    <w:rsid w:val="00D50A1A"/>
    <w:rsid w:val="00D516A0"/>
    <w:rsid w:val="00D51A17"/>
    <w:rsid w:val="00D51E41"/>
    <w:rsid w:val="00D52387"/>
    <w:rsid w:val="00D527FA"/>
    <w:rsid w:val="00D5285D"/>
    <w:rsid w:val="00D52A03"/>
    <w:rsid w:val="00D52FC3"/>
    <w:rsid w:val="00D52FEA"/>
    <w:rsid w:val="00D533DD"/>
    <w:rsid w:val="00D53774"/>
    <w:rsid w:val="00D5433B"/>
    <w:rsid w:val="00D54657"/>
    <w:rsid w:val="00D54C42"/>
    <w:rsid w:val="00D55098"/>
    <w:rsid w:val="00D5531B"/>
    <w:rsid w:val="00D566DE"/>
    <w:rsid w:val="00D56AF5"/>
    <w:rsid w:val="00D60795"/>
    <w:rsid w:val="00D6085B"/>
    <w:rsid w:val="00D60EA2"/>
    <w:rsid w:val="00D60F96"/>
    <w:rsid w:val="00D61651"/>
    <w:rsid w:val="00D618CD"/>
    <w:rsid w:val="00D620B7"/>
    <w:rsid w:val="00D634CB"/>
    <w:rsid w:val="00D63C23"/>
    <w:rsid w:val="00D6494A"/>
    <w:rsid w:val="00D649F3"/>
    <w:rsid w:val="00D64ADE"/>
    <w:rsid w:val="00D64B66"/>
    <w:rsid w:val="00D65052"/>
    <w:rsid w:val="00D65159"/>
    <w:rsid w:val="00D6539E"/>
    <w:rsid w:val="00D65EF4"/>
    <w:rsid w:val="00D6607A"/>
    <w:rsid w:val="00D667D6"/>
    <w:rsid w:val="00D66CAA"/>
    <w:rsid w:val="00D66F87"/>
    <w:rsid w:val="00D6706B"/>
    <w:rsid w:val="00D67483"/>
    <w:rsid w:val="00D67D0D"/>
    <w:rsid w:val="00D70371"/>
    <w:rsid w:val="00D7062B"/>
    <w:rsid w:val="00D70AD1"/>
    <w:rsid w:val="00D70B5E"/>
    <w:rsid w:val="00D70F07"/>
    <w:rsid w:val="00D718B9"/>
    <w:rsid w:val="00D71CFD"/>
    <w:rsid w:val="00D71EDA"/>
    <w:rsid w:val="00D723FC"/>
    <w:rsid w:val="00D7242F"/>
    <w:rsid w:val="00D72634"/>
    <w:rsid w:val="00D72A10"/>
    <w:rsid w:val="00D731E3"/>
    <w:rsid w:val="00D732D4"/>
    <w:rsid w:val="00D73515"/>
    <w:rsid w:val="00D735DF"/>
    <w:rsid w:val="00D74164"/>
    <w:rsid w:val="00D741AB"/>
    <w:rsid w:val="00D742A8"/>
    <w:rsid w:val="00D74308"/>
    <w:rsid w:val="00D747DB"/>
    <w:rsid w:val="00D75215"/>
    <w:rsid w:val="00D75438"/>
    <w:rsid w:val="00D75D69"/>
    <w:rsid w:val="00D75F00"/>
    <w:rsid w:val="00D75F04"/>
    <w:rsid w:val="00D76421"/>
    <w:rsid w:val="00D7661F"/>
    <w:rsid w:val="00D766E9"/>
    <w:rsid w:val="00D76C33"/>
    <w:rsid w:val="00D76C9C"/>
    <w:rsid w:val="00D770A2"/>
    <w:rsid w:val="00D77602"/>
    <w:rsid w:val="00D77799"/>
    <w:rsid w:val="00D77974"/>
    <w:rsid w:val="00D77B35"/>
    <w:rsid w:val="00D77C72"/>
    <w:rsid w:val="00D8090E"/>
    <w:rsid w:val="00D8096D"/>
    <w:rsid w:val="00D80EB3"/>
    <w:rsid w:val="00D81422"/>
    <w:rsid w:val="00D81C35"/>
    <w:rsid w:val="00D81D90"/>
    <w:rsid w:val="00D82538"/>
    <w:rsid w:val="00D8254C"/>
    <w:rsid w:val="00D826AC"/>
    <w:rsid w:val="00D82913"/>
    <w:rsid w:val="00D82B60"/>
    <w:rsid w:val="00D82C0E"/>
    <w:rsid w:val="00D82DDE"/>
    <w:rsid w:val="00D8369E"/>
    <w:rsid w:val="00D8416E"/>
    <w:rsid w:val="00D84719"/>
    <w:rsid w:val="00D84EB7"/>
    <w:rsid w:val="00D850B3"/>
    <w:rsid w:val="00D8545A"/>
    <w:rsid w:val="00D85959"/>
    <w:rsid w:val="00D85AC7"/>
    <w:rsid w:val="00D85B9D"/>
    <w:rsid w:val="00D863C7"/>
    <w:rsid w:val="00D86DAC"/>
    <w:rsid w:val="00D86DB5"/>
    <w:rsid w:val="00D87B03"/>
    <w:rsid w:val="00D87BAB"/>
    <w:rsid w:val="00D90713"/>
    <w:rsid w:val="00D90B5A"/>
    <w:rsid w:val="00D90BFF"/>
    <w:rsid w:val="00D91CFC"/>
    <w:rsid w:val="00D92048"/>
    <w:rsid w:val="00D92396"/>
    <w:rsid w:val="00D92403"/>
    <w:rsid w:val="00D92910"/>
    <w:rsid w:val="00D929F3"/>
    <w:rsid w:val="00D92D5C"/>
    <w:rsid w:val="00D92F99"/>
    <w:rsid w:val="00D93704"/>
    <w:rsid w:val="00D93929"/>
    <w:rsid w:val="00D93E72"/>
    <w:rsid w:val="00D942AB"/>
    <w:rsid w:val="00D946DB"/>
    <w:rsid w:val="00D949F6"/>
    <w:rsid w:val="00D95045"/>
    <w:rsid w:val="00D956C2"/>
    <w:rsid w:val="00D95857"/>
    <w:rsid w:val="00D96E61"/>
    <w:rsid w:val="00DA040A"/>
    <w:rsid w:val="00DA0B84"/>
    <w:rsid w:val="00DA0DB4"/>
    <w:rsid w:val="00DA1253"/>
    <w:rsid w:val="00DA1525"/>
    <w:rsid w:val="00DA1645"/>
    <w:rsid w:val="00DA1EC5"/>
    <w:rsid w:val="00DA2403"/>
    <w:rsid w:val="00DA28CB"/>
    <w:rsid w:val="00DA2CB3"/>
    <w:rsid w:val="00DA2DEA"/>
    <w:rsid w:val="00DA3A92"/>
    <w:rsid w:val="00DA3B36"/>
    <w:rsid w:val="00DA3E72"/>
    <w:rsid w:val="00DA3FEB"/>
    <w:rsid w:val="00DA411F"/>
    <w:rsid w:val="00DA4727"/>
    <w:rsid w:val="00DA4A2F"/>
    <w:rsid w:val="00DA4AAA"/>
    <w:rsid w:val="00DA4C41"/>
    <w:rsid w:val="00DA5AFE"/>
    <w:rsid w:val="00DA5B5D"/>
    <w:rsid w:val="00DA5F14"/>
    <w:rsid w:val="00DA65A4"/>
    <w:rsid w:val="00DA6CB8"/>
    <w:rsid w:val="00DA6F50"/>
    <w:rsid w:val="00DA77E1"/>
    <w:rsid w:val="00DA7F01"/>
    <w:rsid w:val="00DB0274"/>
    <w:rsid w:val="00DB02DF"/>
    <w:rsid w:val="00DB0F07"/>
    <w:rsid w:val="00DB23B2"/>
    <w:rsid w:val="00DB272D"/>
    <w:rsid w:val="00DB2DD0"/>
    <w:rsid w:val="00DB3B68"/>
    <w:rsid w:val="00DB3EEA"/>
    <w:rsid w:val="00DB40CA"/>
    <w:rsid w:val="00DB4A25"/>
    <w:rsid w:val="00DB5503"/>
    <w:rsid w:val="00DB5A3F"/>
    <w:rsid w:val="00DB61BB"/>
    <w:rsid w:val="00DB7070"/>
    <w:rsid w:val="00DB7AFA"/>
    <w:rsid w:val="00DC03E0"/>
    <w:rsid w:val="00DC0817"/>
    <w:rsid w:val="00DC09EA"/>
    <w:rsid w:val="00DC1FD1"/>
    <w:rsid w:val="00DC28F5"/>
    <w:rsid w:val="00DC2B07"/>
    <w:rsid w:val="00DC2D05"/>
    <w:rsid w:val="00DC3779"/>
    <w:rsid w:val="00DC3A83"/>
    <w:rsid w:val="00DC3B38"/>
    <w:rsid w:val="00DC3DBE"/>
    <w:rsid w:val="00DC40DA"/>
    <w:rsid w:val="00DC4CE4"/>
    <w:rsid w:val="00DC4DCD"/>
    <w:rsid w:val="00DC4FCC"/>
    <w:rsid w:val="00DC52BD"/>
    <w:rsid w:val="00DC5547"/>
    <w:rsid w:val="00DC646A"/>
    <w:rsid w:val="00DC66E3"/>
    <w:rsid w:val="00DC7148"/>
    <w:rsid w:val="00DC75D4"/>
    <w:rsid w:val="00DC7B9E"/>
    <w:rsid w:val="00DD00B4"/>
    <w:rsid w:val="00DD07FF"/>
    <w:rsid w:val="00DD092D"/>
    <w:rsid w:val="00DD1377"/>
    <w:rsid w:val="00DD156E"/>
    <w:rsid w:val="00DD1906"/>
    <w:rsid w:val="00DD1ADB"/>
    <w:rsid w:val="00DD212F"/>
    <w:rsid w:val="00DD21A5"/>
    <w:rsid w:val="00DD2722"/>
    <w:rsid w:val="00DD2C1E"/>
    <w:rsid w:val="00DD2D79"/>
    <w:rsid w:val="00DD2F83"/>
    <w:rsid w:val="00DD2FAD"/>
    <w:rsid w:val="00DD3A31"/>
    <w:rsid w:val="00DD41BE"/>
    <w:rsid w:val="00DD4CFC"/>
    <w:rsid w:val="00DD5967"/>
    <w:rsid w:val="00DD5B76"/>
    <w:rsid w:val="00DD5D0B"/>
    <w:rsid w:val="00DD5F87"/>
    <w:rsid w:val="00DD600A"/>
    <w:rsid w:val="00DD60DF"/>
    <w:rsid w:val="00DD6B76"/>
    <w:rsid w:val="00DD6D54"/>
    <w:rsid w:val="00DD6F35"/>
    <w:rsid w:val="00DD72AA"/>
    <w:rsid w:val="00DD74A8"/>
    <w:rsid w:val="00DE00F1"/>
    <w:rsid w:val="00DE0157"/>
    <w:rsid w:val="00DE01E1"/>
    <w:rsid w:val="00DE044C"/>
    <w:rsid w:val="00DE0560"/>
    <w:rsid w:val="00DE0962"/>
    <w:rsid w:val="00DE1F76"/>
    <w:rsid w:val="00DE213A"/>
    <w:rsid w:val="00DE21B5"/>
    <w:rsid w:val="00DE223B"/>
    <w:rsid w:val="00DE230A"/>
    <w:rsid w:val="00DE26F2"/>
    <w:rsid w:val="00DE2BDF"/>
    <w:rsid w:val="00DE3389"/>
    <w:rsid w:val="00DE3F44"/>
    <w:rsid w:val="00DE4001"/>
    <w:rsid w:val="00DE4267"/>
    <w:rsid w:val="00DE489B"/>
    <w:rsid w:val="00DE48EF"/>
    <w:rsid w:val="00DE4D5E"/>
    <w:rsid w:val="00DE4E51"/>
    <w:rsid w:val="00DE4EF2"/>
    <w:rsid w:val="00DE58BB"/>
    <w:rsid w:val="00DE5A31"/>
    <w:rsid w:val="00DE6A61"/>
    <w:rsid w:val="00DE7076"/>
    <w:rsid w:val="00DE73B4"/>
    <w:rsid w:val="00DE776E"/>
    <w:rsid w:val="00DE7B41"/>
    <w:rsid w:val="00DF0689"/>
    <w:rsid w:val="00DF09BB"/>
    <w:rsid w:val="00DF0AB5"/>
    <w:rsid w:val="00DF0EF2"/>
    <w:rsid w:val="00DF107F"/>
    <w:rsid w:val="00DF16B0"/>
    <w:rsid w:val="00DF2092"/>
    <w:rsid w:val="00DF2E73"/>
    <w:rsid w:val="00DF3079"/>
    <w:rsid w:val="00DF30E2"/>
    <w:rsid w:val="00DF30EB"/>
    <w:rsid w:val="00DF34F9"/>
    <w:rsid w:val="00DF3996"/>
    <w:rsid w:val="00DF3FB5"/>
    <w:rsid w:val="00DF4405"/>
    <w:rsid w:val="00DF5E66"/>
    <w:rsid w:val="00DF65DF"/>
    <w:rsid w:val="00DF6AC5"/>
    <w:rsid w:val="00DF70AE"/>
    <w:rsid w:val="00DF7382"/>
    <w:rsid w:val="00DF73E9"/>
    <w:rsid w:val="00DF7BE4"/>
    <w:rsid w:val="00DF7D0D"/>
    <w:rsid w:val="00E0008E"/>
    <w:rsid w:val="00E000F8"/>
    <w:rsid w:val="00E00CCA"/>
    <w:rsid w:val="00E01351"/>
    <w:rsid w:val="00E0175F"/>
    <w:rsid w:val="00E01F9D"/>
    <w:rsid w:val="00E02356"/>
    <w:rsid w:val="00E026FB"/>
    <w:rsid w:val="00E02F76"/>
    <w:rsid w:val="00E037E3"/>
    <w:rsid w:val="00E03AD2"/>
    <w:rsid w:val="00E03B14"/>
    <w:rsid w:val="00E03DF0"/>
    <w:rsid w:val="00E04F77"/>
    <w:rsid w:val="00E050F3"/>
    <w:rsid w:val="00E052A9"/>
    <w:rsid w:val="00E054D3"/>
    <w:rsid w:val="00E05B95"/>
    <w:rsid w:val="00E05C87"/>
    <w:rsid w:val="00E0639C"/>
    <w:rsid w:val="00E06628"/>
    <w:rsid w:val="00E06AD4"/>
    <w:rsid w:val="00E06E19"/>
    <w:rsid w:val="00E06EEB"/>
    <w:rsid w:val="00E0725A"/>
    <w:rsid w:val="00E0751E"/>
    <w:rsid w:val="00E079C9"/>
    <w:rsid w:val="00E07C8E"/>
    <w:rsid w:val="00E10644"/>
    <w:rsid w:val="00E10726"/>
    <w:rsid w:val="00E10B85"/>
    <w:rsid w:val="00E11262"/>
    <w:rsid w:val="00E115F2"/>
    <w:rsid w:val="00E11F7B"/>
    <w:rsid w:val="00E138D5"/>
    <w:rsid w:val="00E143FD"/>
    <w:rsid w:val="00E14C4D"/>
    <w:rsid w:val="00E152FA"/>
    <w:rsid w:val="00E15489"/>
    <w:rsid w:val="00E15E54"/>
    <w:rsid w:val="00E16498"/>
    <w:rsid w:val="00E1696D"/>
    <w:rsid w:val="00E16EB0"/>
    <w:rsid w:val="00E16EF6"/>
    <w:rsid w:val="00E17065"/>
    <w:rsid w:val="00E17410"/>
    <w:rsid w:val="00E1750A"/>
    <w:rsid w:val="00E179E0"/>
    <w:rsid w:val="00E20ABF"/>
    <w:rsid w:val="00E20B50"/>
    <w:rsid w:val="00E20FAC"/>
    <w:rsid w:val="00E216F8"/>
    <w:rsid w:val="00E21745"/>
    <w:rsid w:val="00E2178E"/>
    <w:rsid w:val="00E21E1B"/>
    <w:rsid w:val="00E23A7B"/>
    <w:rsid w:val="00E23F2D"/>
    <w:rsid w:val="00E2447E"/>
    <w:rsid w:val="00E249EF"/>
    <w:rsid w:val="00E24C62"/>
    <w:rsid w:val="00E24CD9"/>
    <w:rsid w:val="00E24EC6"/>
    <w:rsid w:val="00E2563D"/>
    <w:rsid w:val="00E25862"/>
    <w:rsid w:val="00E26C52"/>
    <w:rsid w:val="00E26CB6"/>
    <w:rsid w:val="00E27490"/>
    <w:rsid w:val="00E278CF"/>
    <w:rsid w:val="00E27969"/>
    <w:rsid w:val="00E27ABD"/>
    <w:rsid w:val="00E27BD4"/>
    <w:rsid w:val="00E30CD1"/>
    <w:rsid w:val="00E3159B"/>
    <w:rsid w:val="00E3179D"/>
    <w:rsid w:val="00E3279F"/>
    <w:rsid w:val="00E32A97"/>
    <w:rsid w:val="00E32C03"/>
    <w:rsid w:val="00E32C58"/>
    <w:rsid w:val="00E32DA2"/>
    <w:rsid w:val="00E334BE"/>
    <w:rsid w:val="00E33BF7"/>
    <w:rsid w:val="00E33E62"/>
    <w:rsid w:val="00E3409C"/>
    <w:rsid w:val="00E340D7"/>
    <w:rsid w:val="00E3416F"/>
    <w:rsid w:val="00E3570E"/>
    <w:rsid w:val="00E35D12"/>
    <w:rsid w:val="00E36F85"/>
    <w:rsid w:val="00E37588"/>
    <w:rsid w:val="00E4014C"/>
    <w:rsid w:val="00E403E2"/>
    <w:rsid w:val="00E41A58"/>
    <w:rsid w:val="00E41E4F"/>
    <w:rsid w:val="00E42A4D"/>
    <w:rsid w:val="00E42E37"/>
    <w:rsid w:val="00E43AB1"/>
    <w:rsid w:val="00E43CD2"/>
    <w:rsid w:val="00E43F32"/>
    <w:rsid w:val="00E440D2"/>
    <w:rsid w:val="00E44276"/>
    <w:rsid w:val="00E44801"/>
    <w:rsid w:val="00E44AAC"/>
    <w:rsid w:val="00E44E70"/>
    <w:rsid w:val="00E45329"/>
    <w:rsid w:val="00E453D5"/>
    <w:rsid w:val="00E45F0E"/>
    <w:rsid w:val="00E45F52"/>
    <w:rsid w:val="00E46936"/>
    <w:rsid w:val="00E46AC0"/>
    <w:rsid w:val="00E473B0"/>
    <w:rsid w:val="00E47723"/>
    <w:rsid w:val="00E47B54"/>
    <w:rsid w:val="00E47CCD"/>
    <w:rsid w:val="00E47D28"/>
    <w:rsid w:val="00E5050E"/>
    <w:rsid w:val="00E509EA"/>
    <w:rsid w:val="00E50E79"/>
    <w:rsid w:val="00E518CC"/>
    <w:rsid w:val="00E5199B"/>
    <w:rsid w:val="00E52040"/>
    <w:rsid w:val="00E52401"/>
    <w:rsid w:val="00E52782"/>
    <w:rsid w:val="00E52C4B"/>
    <w:rsid w:val="00E53179"/>
    <w:rsid w:val="00E53E55"/>
    <w:rsid w:val="00E543B2"/>
    <w:rsid w:val="00E54B05"/>
    <w:rsid w:val="00E54DFE"/>
    <w:rsid w:val="00E5542E"/>
    <w:rsid w:val="00E55A92"/>
    <w:rsid w:val="00E56180"/>
    <w:rsid w:val="00E561BD"/>
    <w:rsid w:val="00E576C6"/>
    <w:rsid w:val="00E57F76"/>
    <w:rsid w:val="00E602B2"/>
    <w:rsid w:val="00E60322"/>
    <w:rsid w:val="00E60B53"/>
    <w:rsid w:val="00E60C82"/>
    <w:rsid w:val="00E60D18"/>
    <w:rsid w:val="00E60F37"/>
    <w:rsid w:val="00E61805"/>
    <w:rsid w:val="00E61840"/>
    <w:rsid w:val="00E62089"/>
    <w:rsid w:val="00E622B3"/>
    <w:rsid w:val="00E626D0"/>
    <w:rsid w:val="00E62D52"/>
    <w:rsid w:val="00E63274"/>
    <w:rsid w:val="00E635F6"/>
    <w:rsid w:val="00E6373B"/>
    <w:rsid w:val="00E63DC8"/>
    <w:rsid w:val="00E63DFF"/>
    <w:rsid w:val="00E6434E"/>
    <w:rsid w:val="00E64BFE"/>
    <w:rsid w:val="00E65327"/>
    <w:rsid w:val="00E66040"/>
    <w:rsid w:val="00E6616A"/>
    <w:rsid w:val="00E66705"/>
    <w:rsid w:val="00E67E00"/>
    <w:rsid w:val="00E67F16"/>
    <w:rsid w:val="00E70445"/>
    <w:rsid w:val="00E709CF"/>
    <w:rsid w:val="00E70AB0"/>
    <w:rsid w:val="00E71171"/>
    <w:rsid w:val="00E717A2"/>
    <w:rsid w:val="00E71E3B"/>
    <w:rsid w:val="00E721D9"/>
    <w:rsid w:val="00E72404"/>
    <w:rsid w:val="00E72E80"/>
    <w:rsid w:val="00E7346B"/>
    <w:rsid w:val="00E73636"/>
    <w:rsid w:val="00E73D81"/>
    <w:rsid w:val="00E73F4B"/>
    <w:rsid w:val="00E74C2C"/>
    <w:rsid w:val="00E75668"/>
    <w:rsid w:val="00E75979"/>
    <w:rsid w:val="00E75993"/>
    <w:rsid w:val="00E75D47"/>
    <w:rsid w:val="00E764E7"/>
    <w:rsid w:val="00E7671A"/>
    <w:rsid w:val="00E76C0E"/>
    <w:rsid w:val="00E80106"/>
    <w:rsid w:val="00E8013D"/>
    <w:rsid w:val="00E80172"/>
    <w:rsid w:val="00E801F1"/>
    <w:rsid w:val="00E804CC"/>
    <w:rsid w:val="00E8052C"/>
    <w:rsid w:val="00E81186"/>
    <w:rsid w:val="00E8174D"/>
    <w:rsid w:val="00E81DB9"/>
    <w:rsid w:val="00E81EC0"/>
    <w:rsid w:val="00E81F69"/>
    <w:rsid w:val="00E822F7"/>
    <w:rsid w:val="00E8231C"/>
    <w:rsid w:val="00E8262F"/>
    <w:rsid w:val="00E83700"/>
    <w:rsid w:val="00E83F41"/>
    <w:rsid w:val="00E83F92"/>
    <w:rsid w:val="00E84C8E"/>
    <w:rsid w:val="00E85090"/>
    <w:rsid w:val="00E85358"/>
    <w:rsid w:val="00E85A27"/>
    <w:rsid w:val="00E863C1"/>
    <w:rsid w:val="00E8641F"/>
    <w:rsid w:val="00E86638"/>
    <w:rsid w:val="00E86B8E"/>
    <w:rsid w:val="00E86B98"/>
    <w:rsid w:val="00E87183"/>
    <w:rsid w:val="00E871FE"/>
    <w:rsid w:val="00E87B6C"/>
    <w:rsid w:val="00E91353"/>
    <w:rsid w:val="00E916F8"/>
    <w:rsid w:val="00E91EA0"/>
    <w:rsid w:val="00E921F1"/>
    <w:rsid w:val="00E92235"/>
    <w:rsid w:val="00E92282"/>
    <w:rsid w:val="00E92556"/>
    <w:rsid w:val="00E928BB"/>
    <w:rsid w:val="00E92C04"/>
    <w:rsid w:val="00E92F88"/>
    <w:rsid w:val="00E93AB5"/>
    <w:rsid w:val="00E94434"/>
    <w:rsid w:val="00E94E7B"/>
    <w:rsid w:val="00E956C1"/>
    <w:rsid w:val="00E95975"/>
    <w:rsid w:val="00E96058"/>
    <w:rsid w:val="00E964F9"/>
    <w:rsid w:val="00E965A8"/>
    <w:rsid w:val="00E96A85"/>
    <w:rsid w:val="00E97253"/>
    <w:rsid w:val="00E9758A"/>
    <w:rsid w:val="00E979E9"/>
    <w:rsid w:val="00E97A39"/>
    <w:rsid w:val="00E97CD2"/>
    <w:rsid w:val="00EA050A"/>
    <w:rsid w:val="00EA05B3"/>
    <w:rsid w:val="00EA0754"/>
    <w:rsid w:val="00EA079E"/>
    <w:rsid w:val="00EA0BAB"/>
    <w:rsid w:val="00EA11F0"/>
    <w:rsid w:val="00EA1331"/>
    <w:rsid w:val="00EA1AEC"/>
    <w:rsid w:val="00EA1F5A"/>
    <w:rsid w:val="00EA383F"/>
    <w:rsid w:val="00EA3D2D"/>
    <w:rsid w:val="00EA3FEF"/>
    <w:rsid w:val="00EA400F"/>
    <w:rsid w:val="00EA4108"/>
    <w:rsid w:val="00EA419C"/>
    <w:rsid w:val="00EA4251"/>
    <w:rsid w:val="00EA47CE"/>
    <w:rsid w:val="00EA56D1"/>
    <w:rsid w:val="00EA5840"/>
    <w:rsid w:val="00EA6070"/>
    <w:rsid w:val="00EA61D5"/>
    <w:rsid w:val="00EA65A4"/>
    <w:rsid w:val="00EA71B1"/>
    <w:rsid w:val="00EA743F"/>
    <w:rsid w:val="00EB04F9"/>
    <w:rsid w:val="00EB075D"/>
    <w:rsid w:val="00EB1034"/>
    <w:rsid w:val="00EB154B"/>
    <w:rsid w:val="00EB1D14"/>
    <w:rsid w:val="00EB1DBE"/>
    <w:rsid w:val="00EB220B"/>
    <w:rsid w:val="00EB2536"/>
    <w:rsid w:val="00EB2A87"/>
    <w:rsid w:val="00EB2BC5"/>
    <w:rsid w:val="00EB3ADF"/>
    <w:rsid w:val="00EB4109"/>
    <w:rsid w:val="00EB4F9A"/>
    <w:rsid w:val="00EB5013"/>
    <w:rsid w:val="00EB56D2"/>
    <w:rsid w:val="00EB5804"/>
    <w:rsid w:val="00EB5C9A"/>
    <w:rsid w:val="00EB6224"/>
    <w:rsid w:val="00EB62C2"/>
    <w:rsid w:val="00EB6793"/>
    <w:rsid w:val="00EB6B6E"/>
    <w:rsid w:val="00EB6DEA"/>
    <w:rsid w:val="00EB6E04"/>
    <w:rsid w:val="00EB6FC2"/>
    <w:rsid w:val="00EB7F64"/>
    <w:rsid w:val="00EC022A"/>
    <w:rsid w:val="00EC067D"/>
    <w:rsid w:val="00EC06DE"/>
    <w:rsid w:val="00EC0B74"/>
    <w:rsid w:val="00EC19AE"/>
    <w:rsid w:val="00EC1BAD"/>
    <w:rsid w:val="00EC1BEB"/>
    <w:rsid w:val="00EC2175"/>
    <w:rsid w:val="00EC2356"/>
    <w:rsid w:val="00EC2CDF"/>
    <w:rsid w:val="00EC31BC"/>
    <w:rsid w:val="00EC3432"/>
    <w:rsid w:val="00EC3B66"/>
    <w:rsid w:val="00EC4291"/>
    <w:rsid w:val="00EC46D7"/>
    <w:rsid w:val="00EC5046"/>
    <w:rsid w:val="00EC53E0"/>
    <w:rsid w:val="00EC579E"/>
    <w:rsid w:val="00EC57C6"/>
    <w:rsid w:val="00EC5FA2"/>
    <w:rsid w:val="00EC74C6"/>
    <w:rsid w:val="00EC7AB4"/>
    <w:rsid w:val="00EC7FBE"/>
    <w:rsid w:val="00ED048B"/>
    <w:rsid w:val="00ED0A05"/>
    <w:rsid w:val="00ED1364"/>
    <w:rsid w:val="00ED1379"/>
    <w:rsid w:val="00ED1956"/>
    <w:rsid w:val="00ED1BDB"/>
    <w:rsid w:val="00ED2335"/>
    <w:rsid w:val="00ED35C4"/>
    <w:rsid w:val="00ED3FB3"/>
    <w:rsid w:val="00ED43B5"/>
    <w:rsid w:val="00ED4622"/>
    <w:rsid w:val="00ED4629"/>
    <w:rsid w:val="00ED4653"/>
    <w:rsid w:val="00ED51DF"/>
    <w:rsid w:val="00ED52BC"/>
    <w:rsid w:val="00ED55F7"/>
    <w:rsid w:val="00ED5704"/>
    <w:rsid w:val="00ED63A3"/>
    <w:rsid w:val="00ED669B"/>
    <w:rsid w:val="00ED66A4"/>
    <w:rsid w:val="00ED767E"/>
    <w:rsid w:val="00ED78AD"/>
    <w:rsid w:val="00ED7C8E"/>
    <w:rsid w:val="00EE079A"/>
    <w:rsid w:val="00EE0B9D"/>
    <w:rsid w:val="00EE195D"/>
    <w:rsid w:val="00EE1D3E"/>
    <w:rsid w:val="00EE1D8A"/>
    <w:rsid w:val="00EE1EB4"/>
    <w:rsid w:val="00EE2205"/>
    <w:rsid w:val="00EE2BDA"/>
    <w:rsid w:val="00EE2BEA"/>
    <w:rsid w:val="00EE34F2"/>
    <w:rsid w:val="00EE4243"/>
    <w:rsid w:val="00EE43F8"/>
    <w:rsid w:val="00EE4AE9"/>
    <w:rsid w:val="00EE4C2E"/>
    <w:rsid w:val="00EE54DF"/>
    <w:rsid w:val="00EE5691"/>
    <w:rsid w:val="00EE580E"/>
    <w:rsid w:val="00EE5E1C"/>
    <w:rsid w:val="00EE63B4"/>
    <w:rsid w:val="00EE6F88"/>
    <w:rsid w:val="00EE7A61"/>
    <w:rsid w:val="00EF03E6"/>
    <w:rsid w:val="00EF08E1"/>
    <w:rsid w:val="00EF0C0C"/>
    <w:rsid w:val="00EF0DA4"/>
    <w:rsid w:val="00EF0DDB"/>
    <w:rsid w:val="00EF1DEB"/>
    <w:rsid w:val="00EF2028"/>
    <w:rsid w:val="00EF23E2"/>
    <w:rsid w:val="00EF28C8"/>
    <w:rsid w:val="00EF3354"/>
    <w:rsid w:val="00EF36D2"/>
    <w:rsid w:val="00EF3ACE"/>
    <w:rsid w:val="00EF3F40"/>
    <w:rsid w:val="00EF40FE"/>
    <w:rsid w:val="00EF446C"/>
    <w:rsid w:val="00EF5812"/>
    <w:rsid w:val="00EF59C9"/>
    <w:rsid w:val="00EF6FD5"/>
    <w:rsid w:val="00EF76AB"/>
    <w:rsid w:val="00F0033C"/>
    <w:rsid w:val="00F006CF"/>
    <w:rsid w:val="00F00A38"/>
    <w:rsid w:val="00F015E6"/>
    <w:rsid w:val="00F02616"/>
    <w:rsid w:val="00F02B31"/>
    <w:rsid w:val="00F02F15"/>
    <w:rsid w:val="00F0322C"/>
    <w:rsid w:val="00F03710"/>
    <w:rsid w:val="00F03992"/>
    <w:rsid w:val="00F0435A"/>
    <w:rsid w:val="00F052D1"/>
    <w:rsid w:val="00F0620E"/>
    <w:rsid w:val="00F076A5"/>
    <w:rsid w:val="00F07B3F"/>
    <w:rsid w:val="00F07BCD"/>
    <w:rsid w:val="00F07F09"/>
    <w:rsid w:val="00F101EA"/>
    <w:rsid w:val="00F1041F"/>
    <w:rsid w:val="00F10422"/>
    <w:rsid w:val="00F1062E"/>
    <w:rsid w:val="00F11185"/>
    <w:rsid w:val="00F114BE"/>
    <w:rsid w:val="00F114E6"/>
    <w:rsid w:val="00F114E9"/>
    <w:rsid w:val="00F117D1"/>
    <w:rsid w:val="00F11854"/>
    <w:rsid w:val="00F1188C"/>
    <w:rsid w:val="00F11A1A"/>
    <w:rsid w:val="00F11BF3"/>
    <w:rsid w:val="00F11F89"/>
    <w:rsid w:val="00F12328"/>
    <w:rsid w:val="00F12EA3"/>
    <w:rsid w:val="00F12FB4"/>
    <w:rsid w:val="00F13761"/>
    <w:rsid w:val="00F13D3D"/>
    <w:rsid w:val="00F13E60"/>
    <w:rsid w:val="00F143AD"/>
    <w:rsid w:val="00F1455C"/>
    <w:rsid w:val="00F149DE"/>
    <w:rsid w:val="00F14B07"/>
    <w:rsid w:val="00F15D75"/>
    <w:rsid w:val="00F160CC"/>
    <w:rsid w:val="00F163FF"/>
    <w:rsid w:val="00F16979"/>
    <w:rsid w:val="00F16BF4"/>
    <w:rsid w:val="00F170B7"/>
    <w:rsid w:val="00F177C6"/>
    <w:rsid w:val="00F17B2E"/>
    <w:rsid w:val="00F200A8"/>
    <w:rsid w:val="00F2047E"/>
    <w:rsid w:val="00F20561"/>
    <w:rsid w:val="00F20EC1"/>
    <w:rsid w:val="00F21267"/>
    <w:rsid w:val="00F215C7"/>
    <w:rsid w:val="00F2228C"/>
    <w:rsid w:val="00F22648"/>
    <w:rsid w:val="00F22C91"/>
    <w:rsid w:val="00F23114"/>
    <w:rsid w:val="00F23247"/>
    <w:rsid w:val="00F232E1"/>
    <w:rsid w:val="00F239C8"/>
    <w:rsid w:val="00F23EDA"/>
    <w:rsid w:val="00F24086"/>
    <w:rsid w:val="00F24249"/>
    <w:rsid w:val="00F249CD"/>
    <w:rsid w:val="00F24B15"/>
    <w:rsid w:val="00F24BC2"/>
    <w:rsid w:val="00F2521E"/>
    <w:rsid w:val="00F2532D"/>
    <w:rsid w:val="00F26924"/>
    <w:rsid w:val="00F26A3A"/>
    <w:rsid w:val="00F26B14"/>
    <w:rsid w:val="00F26E83"/>
    <w:rsid w:val="00F271B3"/>
    <w:rsid w:val="00F27AEC"/>
    <w:rsid w:val="00F30076"/>
    <w:rsid w:val="00F301AE"/>
    <w:rsid w:val="00F302B4"/>
    <w:rsid w:val="00F315FD"/>
    <w:rsid w:val="00F31D47"/>
    <w:rsid w:val="00F31D7F"/>
    <w:rsid w:val="00F325B9"/>
    <w:rsid w:val="00F32D09"/>
    <w:rsid w:val="00F33640"/>
    <w:rsid w:val="00F336FF"/>
    <w:rsid w:val="00F33845"/>
    <w:rsid w:val="00F339A5"/>
    <w:rsid w:val="00F33ABB"/>
    <w:rsid w:val="00F33B55"/>
    <w:rsid w:val="00F33F6B"/>
    <w:rsid w:val="00F3499D"/>
    <w:rsid w:val="00F356CE"/>
    <w:rsid w:val="00F358AF"/>
    <w:rsid w:val="00F358B8"/>
    <w:rsid w:val="00F36287"/>
    <w:rsid w:val="00F375FC"/>
    <w:rsid w:val="00F40485"/>
    <w:rsid w:val="00F4082D"/>
    <w:rsid w:val="00F40982"/>
    <w:rsid w:val="00F409D5"/>
    <w:rsid w:val="00F41077"/>
    <w:rsid w:val="00F41508"/>
    <w:rsid w:val="00F423F0"/>
    <w:rsid w:val="00F424FE"/>
    <w:rsid w:val="00F42B1E"/>
    <w:rsid w:val="00F43194"/>
    <w:rsid w:val="00F43352"/>
    <w:rsid w:val="00F43820"/>
    <w:rsid w:val="00F4393C"/>
    <w:rsid w:val="00F43B60"/>
    <w:rsid w:val="00F43CB1"/>
    <w:rsid w:val="00F43D2B"/>
    <w:rsid w:val="00F45359"/>
    <w:rsid w:val="00F45BAA"/>
    <w:rsid w:val="00F46113"/>
    <w:rsid w:val="00F46138"/>
    <w:rsid w:val="00F463F5"/>
    <w:rsid w:val="00F466A7"/>
    <w:rsid w:val="00F469A3"/>
    <w:rsid w:val="00F47628"/>
    <w:rsid w:val="00F47983"/>
    <w:rsid w:val="00F47A9F"/>
    <w:rsid w:val="00F50709"/>
    <w:rsid w:val="00F50AD6"/>
    <w:rsid w:val="00F50C8D"/>
    <w:rsid w:val="00F512CE"/>
    <w:rsid w:val="00F5132F"/>
    <w:rsid w:val="00F519A4"/>
    <w:rsid w:val="00F51CC9"/>
    <w:rsid w:val="00F52DF6"/>
    <w:rsid w:val="00F52FC6"/>
    <w:rsid w:val="00F5337F"/>
    <w:rsid w:val="00F535E7"/>
    <w:rsid w:val="00F53615"/>
    <w:rsid w:val="00F5381F"/>
    <w:rsid w:val="00F549C3"/>
    <w:rsid w:val="00F5524C"/>
    <w:rsid w:val="00F55938"/>
    <w:rsid w:val="00F56205"/>
    <w:rsid w:val="00F56546"/>
    <w:rsid w:val="00F56641"/>
    <w:rsid w:val="00F56956"/>
    <w:rsid w:val="00F57031"/>
    <w:rsid w:val="00F570EC"/>
    <w:rsid w:val="00F577A8"/>
    <w:rsid w:val="00F57838"/>
    <w:rsid w:val="00F57A08"/>
    <w:rsid w:val="00F57D9E"/>
    <w:rsid w:val="00F57ED1"/>
    <w:rsid w:val="00F60315"/>
    <w:rsid w:val="00F607FB"/>
    <w:rsid w:val="00F60F37"/>
    <w:rsid w:val="00F61095"/>
    <w:rsid w:val="00F61384"/>
    <w:rsid w:val="00F61AC4"/>
    <w:rsid w:val="00F61C06"/>
    <w:rsid w:val="00F620A2"/>
    <w:rsid w:val="00F6272C"/>
    <w:rsid w:val="00F62E5D"/>
    <w:rsid w:val="00F63080"/>
    <w:rsid w:val="00F63BA7"/>
    <w:rsid w:val="00F64065"/>
    <w:rsid w:val="00F64244"/>
    <w:rsid w:val="00F647EE"/>
    <w:rsid w:val="00F64CCF"/>
    <w:rsid w:val="00F64FF4"/>
    <w:rsid w:val="00F65282"/>
    <w:rsid w:val="00F656A1"/>
    <w:rsid w:val="00F656E4"/>
    <w:rsid w:val="00F66294"/>
    <w:rsid w:val="00F66371"/>
    <w:rsid w:val="00F66830"/>
    <w:rsid w:val="00F66870"/>
    <w:rsid w:val="00F66FC1"/>
    <w:rsid w:val="00F67476"/>
    <w:rsid w:val="00F67634"/>
    <w:rsid w:val="00F707BC"/>
    <w:rsid w:val="00F71545"/>
    <w:rsid w:val="00F71DF2"/>
    <w:rsid w:val="00F72026"/>
    <w:rsid w:val="00F726AA"/>
    <w:rsid w:val="00F73C99"/>
    <w:rsid w:val="00F75DCD"/>
    <w:rsid w:val="00F75FD2"/>
    <w:rsid w:val="00F768EF"/>
    <w:rsid w:val="00F76A64"/>
    <w:rsid w:val="00F777C7"/>
    <w:rsid w:val="00F7CFF1"/>
    <w:rsid w:val="00F800B6"/>
    <w:rsid w:val="00F80486"/>
    <w:rsid w:val="00F8071F"/>
    <w:rsid w:val="00F81049"/>
    <w:rsid w:val="00F811C6"/>
    <w:rsid w:val="00F811F8"/>
    <w:rsid w:val="00F819C8"/>
    <w:rsid w:val="00F82FBC"/>
    <w:rsid w:val="00F833D0"/>
    <w:rsid w:val="00F83794"/>
    <w:rsid w:val="00F83A82"/>
    <w:rsid w:val="00F8411E"/>
    <w:rsid w:val="00F84B2D"/>
    <w:rsid w:val="00F84BC7"/>
    <w:rsid w:val="00F8520A"/>
    <w:rsid w:val="00F855D5"/>
    <w:rsid w:val="00F85863"/>
    <w:rsid w:val="00F85A14"/>
    <w:rsid w:val="00F85A2D"/>
    <w:rsid w:val="00F85ACE"/>
    <w:rsid w:val="00F85D06"/>
    <w:rsid w:val="00F862F9"/>
    <w:rsid w:val="00F86CD6"/>
    <w:rsid w:val="00F86F2E"/>
    <w:rsid w:val="00F86FDA"/>
    <w:rsid w:val="00F87D43"/>
    <w:rsid w:val="00F87E46"/>
    <w:rsid w:val="00F913DC"/>
    <w:rsid w:val="00F9145F"/>
    <w:rsid w:val="00F914A3"/>
    <w:rsid w:val="00F9175C"/>
    <w:rsid w:val="00F91E30"/>
    <w:rsid w:val="00F91FB6"/>
    <w:rsid w:val="00F92373"/>
    <w:rsid w:val="00F92A11"/>
    <w:rsid w:val="00F92A4E"/>
    <w:rsid w:val="00F93133"/>
    <w:rsid w:val="00F93400"/>
    <w:rsid w:val="00F93B5F"/>
    <w:rsid w:val="00F93C6A"/>
    <w:rsid w:val="00F93F6A"/>
    <w:rsid w:val="00F940F0"/>
    <w:rsid w:val="00F946D4"/>
    <w:rsid w:val="00F9591C"/>
    <w:rsid w:val="00F95F04"/>
    <w:rsid w:val="00F96336"/>
    <w:rsid w:val="00F97166"/>
    <w:rsid w:val="00F971B9"/>
    <w:rsid w:val="00F978AD"/>
    <w:rsid w:val="00F97B67"/>
    <w:rsid w:val="00F97CF7"/>
    <w:rsid w:val="00FA0709"/>
    <w:rsid w:val="00FA173C"/>
    <w:rsid w:val="00FA1797"/>
    <w:rsid w:val="00FA1945"/>
    <w:rsid w:val="00FA2864"/>
    <w:rsid w:val="00FA357B"/>
    <w:rsid w:val="00FA3858"/>
    <w:rsid w:val="00FA3865"/>
    <w:rsid w:val="00FA46C8"/>
    <w:rsid w:val="00FA4738"/>
    <w:rsid w:val="00FA4AC0"/>
    <w:rsid w:val="00FA4C21"/>
    <w:rsid w:val="00FA4E19"/>
    <w:rsid w:val="00FA58CF"/>
    <w:rsid w:val="00FA610E"/>
    <w:rsid w:val="00FA6418"/>
    <w:rsid w:val="00FA641C"/>
    <w:rsid w:val="00FA6C8A"/>
    <w:rsid w:val="00FA6DCC"/>
    <w:rsid w:val="00FA6E69"/>
    <w:rsid w:val="00FA6E87"/>
    <w:rsid w:val="00FA77E4"/>
    <w:rsid w:val="00FB023B"/>
    <w:rsid w:val="00FB0A56"/>
    <w:rsid w:val="00FB0EAC"/>
    <w:rsid w:val="00FB1578"/>
    <w:rsid w:val="00FB199D"/>
    <w:rsid w:val="00FB1C26"/>
    <w:rsid w:val="00FB1D44"/>
    <w:rsid w:val="00FB1E3F"/>
    <w:rsid w:val="00FB21AB"/>
    <w:rsid w:val="00FB232D"/>
    <w:rsid w:val="00FB25EE"/>
    <w:rsid w:val="00FB2CD7"/>
    <w:rsid w:val="00FB2E7B"/>
    <w:rsid w:val="00FB3F3C"/>
    <w:rsid w:val="00FB4223"/>
    <w:rsid w:val="00FB4960"/>
    <w:rsid w:val="00FB4FD8"/>
    <w:rsid w:val="00FB5258"/>
    <w:rsid w:val="00FB5985"/>
    <w:rsid w:val="00FB5C4C"/>
    <w:rsid w:val="00FB68B2"/>
    <w:rsid w:val="00FB7947"/>
    <w:rsid w:val="00FB7A46"/>
    <w:rsid w:val="00FB7D65"/>
    <w:rsid w:val="00FC019F"/>
    <w:rsid w:val="00FC04E6"/>
    <w:rsid w:val="00FC0624"/>
    <w:rsid w:val="00FC06C4"/>
    <w:rsid w:val="00FC0B81"/>
    <w:rsid w:val="00FC0E08"/>
    <w:rsid w:val="00FC1030"/>
    <w:rsid w:val="00FC11C4"/>
    <w:rsid w:val="00FC1715"/>
    <w:rsid w:val="00FC1EFC"/>
    <w:rsid w:val="00FC1F85"/>
    <w:rsid w:val="00FC20DD"/>
    <w:rsid w:val="00FC223C"/>
    <w:rsid w:val="00FC371D"/>
    <w:rsid w:val="00FC37BD"/>
    <w:rsid w:val="00FC41EC"/>
    <w:rsid w:val="00FC4668"/>
    <w:rsid w:val="00FC4D06"/>
    <w:rsid w:val="00FC53C3"/>
    <w:rsid w:val="00FC5515"/>
    <w:rsid w:val="00FC57A0"/>
    <w:rsid w:val="00FC5D84"/>
    <w:rsid w:val="00FC6275"/>
    <w:rsid w:val="00FC6368"/>
    <w:rsid w:val="00FC692F"/>
    <w:rsid w:val="00FC6B0D"/>
    <w:rsid w:val="00FC6CBF"/>
    <w:rsid w:val="00FC6D7A"/>
    <w:rsid w:val="00FC7C96"/>
    <w:rsid w:val="00FD0193"/>
    <w:rsid w:val="00FD08A4"/>
    <w:rsid w:val="00FD0B8B"/>
    <w:rsid w:val="00FD0BA9"/>
    <w:rsid w:val="00FD0FAA"/>
    <w:rsid w:val="00FD10A8"/>
    <w:rsid w:val="00FD16F5"/>
    <w:rsid w:val="00FD1E78"/>
    <w:rsid w:val="00FD2007"/>
    <w:rsid w:val="00FD22D9"/>
    <w:rsid w:val="00FD239F"/>
    <w:rsid w:val="00FD246D"/>
    <w:rsid w:val="00FD2F78"/>
    <w:rsid w:val="00FD3452"/>
    <w:rsid w:val="00FD380B"/>
    <w:rsid w:val="00FD3883"/>
    <w:rsid w:val="00FD38B8"/>
    <w:rsid w:val="00FD3CCC"/>
    <w:rsid w:val="00FD457C"/>
    <w:rsid w:val="00FD4E90"/>
    <w:rsid w:val="00FD5421"/>
    <w:rsid w:val="00FD54FC"/>
    <w:rsid w:val="00FD5ABD"/>
    <w:rsid w:val="00FD5B25"/>
    <w:rsid w:val="00FD63A1"/>
    <w:rsid w:val="00FD64B9"/>
    <w:rsid w:val="00FD67E6"/>
    <w:rsid w:val="00FD6CCB"/>
    <w:rsid w:val="00FD6D27"/>
    <w:rsid w:val="00FD7524"/>
    <w:rsid w:val="00FD77DC"/>
    <w:rsid w:val="00FD780D"/>
    <w:rsid w:val="00FD7960"/>
    <w:rsid w:val="00FD7DC9"/>
    <w:rsid w:val="00FD7E66"/>
    <w:rsid w:val="00FD7F83"/>
    <w:rsid w:val="00FD7FB3"/>
    <w:rsid w:val="00FE052A"/>
    <w:rsid w:val="00FE0FA4"/>
    <w:rsid w:val="00FE122E"/>
    <w:rsid w:val="00FE1304"/>
    <w:rsid w:val="00FE219F"/>
    <w:rsid w:val="00FE21F5"/>
    <w:rsid w:val="00FE2633"/>
    <w:rsid w:val="00FE2948"/>
    <w:rsid w:val="00FE30C1"/>
    <w:rsid w:val="00FE31AA"/>
    <w:rsid w:val="00FE3BD8"/>
    <w:rsid w:val="00FE43D5"/>
    <w:rsid w:val="00FE4798"/>
    <w:rsid w:val="00FE4855"/>
    <w:rsid w:val="00FE4AE0"/>
    <w:rsid w:val="00FE4D22"/>
    <w:rsid w:val="00FE5C7E"/>
    <w:rsid w:val="00FE65CF"/>
    <w:rsid w:val="00FE6995"/>
    <w:rsid w:val="00FE69AC"/>
    <w:rsid w:val="00FE6CC5"/>
    <w:rsid w:val="00FE6CFB"/>
    <w:rsid w:val="00FE6D25"/>
    <w:rsid w:val="00FE7559"/>
    <w:rsid w:val="00FF0040"/>
    <w:rsid w:val="00FF03AB"/>
    <w:rsid w:val="00FF0EC7"/>
    <w:rsid w:val="00FF1422"/>
    <w:rsid w:val="00FF151F"/>
    <w:rsid w:val="00FF1A6E"/>
    <w:rsid w:val="00FF1FB8"/>
    <w:rsid w:val="00FF203C"/>
    <w:rsid w:val="00FF208F"/>
    <w:rsid w:val="00FF2658"/>
    <w:rsid w:val="00FF2818"/>
    <w:rsid w:val="00FF2D06"/>
    <w:rsid w:val="00FF2D0E"/>
    <w:rsid w:val="00FF36A5"/>
    <w:rsid w:val="00FF3B3B"/>
    <w:rsid w:val="00FF43B8"/>
    <w:rsid w:val="00FF5216"/>
    <w:rsid w:val="00FF54C5"/>
    <w:rsid w:val="00FF5A6B"/>
    <w:rsid w:val="00FF5E6E"/>
    <w:rsid w:val="00FF65DE"/>
    <w:rsid w:val="00FF6D23"/>
    <w:rsid w:val="00FF743F"/>
    <w:rsid w:val="00FF75CC"/>
    <w:rsid w:val="010BED6B"/>
    <w:rsid w:val="0112ECFB"/>
    <w:rsid w:val="012AE668"/>
    <w:rsid w:val="0132874E"/>
    <w:rsid w:val="01374983"/>
    <w:rsid w:val="014BD0BD"/>
    <w:rsid w:val="01534CB5"/>
    <w:rsid w:val="0171D393"/>
    <w:rsid w:val="017E28BA"/>
    <w:rsid w:val="01890F03"/>
    <w:rsid w:val="01907C6D"/>
    <w:rsid w:val="01934372"/>
    <w:rsid w:val="01966803"/>
    <w:rsid w:val="01A1B3EA"/>
    <w:rsid w:val="01AFB776"/>
    <w:rsid w:val="01F57898"/>
    <w:rsid w:val="0205F33A"/>
    <w:rsid w:val="0207BC45"/>
    <w:rsid w:val="020F9587"/>
    <w:rsid w:val="02548D02"/>
    <w:rsid w:val="025911FA"/>
    <w:rsid w:val="026D3EC5"/>
    <w:rsid w:val="026E870B"/>
    <w:rsid w:val="02701E2E"/>
    <w:rsid w:val="027A3392"/>
    <w:rsid w:val="027B74E6"/>
    <w:rsid w:val="028CA554"/>
    <w:rsid w:val="0293FDF6"/>
    <w:rsid w:val="02994E37"/>
    <w:rsid w:val="02A5D879"/>
    <w:rsid w:val="02C55CC0"/>
    <w:rsid w:val="02C7A51E"/>
    <w:rsid w:val="02DE556A"/>
    <w:rsid w:val="02DF98CB"/>
    <w:rsid w:val="02F60B90"/>
    <w:rsid w:val="031568F3"/>
    <w:rsid w:val="03337995"/>
    <w:rsid w:val="0334F570"/>
    <w:rsid w:val="03498EE2"/>
    <w:rsid w:val="034A5D18"/>
    <w:rsid w:val="036BB9D7"/>
    <w:rsid w:val="037F1A38"/>
    <w:rsid w:val="038A3F27"/>
    <w:rsid w:val="039199A7"/>
    <w:rsid w:val="0399A072"/>
    <w:rsid w:val="03A75D6F"/>
    <w:rsid w:val="03C52FD4"/>
    <w:rsid w:val="03CFCA29"/>
    <w:rsid w:val="040FDD58"/>
    <w:rsid w:val="04181055"/>
    <w:rsid w:val="041E8D52"/>
    <w:rsid w:val="042C1BD7"/>
    <w:rsid w:val="044094C4"/>
    <w:rsid w:val="04422F23"/>
    <w:rsid w:val="04481CFB"/>
    <w:rsid w:val="046A160B"/>
    <w:rsid w:val="04913FA4"/>
    <w:rsid w:val="04955902"/>
    <w:rsid w:val="04B5AFAC"/>
    <w:rsid w:val="04D4C662"/>
    <w:rsid w:val="04D90CAC"/>
    <w:rsid w:val="04F6E168"/>
    <w:rsid w:val="04F9CA80"/>
    <w:rsid w:val="04FBBACE"/>
    <w:rsid w:val="04FC4F46"/>
    <w:rsid w:val="05239086"/>
    <w:rsid w:val="0524A661"/>
    <w:rsid w:val="05411CBA"/>
    <w:rsid w:val="05436FDA"/>
    <w:rsid w:val="054D74BD"/>
    <w:rsid w:val="0557E4AC"/>
    <w:rsid w:val="055DD401"/>
    <w:rsid w:val="056748A7"/>
    <w:rsid w:val="057491BB"/>
    <w:rsid w:val="0576D0A8"/>
    <w:rsid w:val="0581C58D"/>
    <w:rsid w:val="05911BC7"/>
    <w:rsid w:val="05A0EFF4"/>
    <w:rsid w:val="05B3E1D3"/>
    <w:rsid w:val="05BF627E"/>
    <w:rsid w:val="05D7ADAD"/>
    <w:rsid w:val="05E645DB"/>
    <w:rsid w:val="05F3004B"/>
    <w:rsid w:val="05F9AD11"/>
    <w:rsid w:val="05FBED51"/>
    <w:rsid w:val="05FBFAD2"/>
    <w:rsid w:val="06023A2C"/>
    <w:rsid w:val="0615014F"/>
    <w:rsid w:val="062B4279"/>
    <w:rsid w:val="062E3BEE"/>
    <w:rsid w:val="06317FE5"/>
    <w:rsid w:val="0632AA20"/>
    <w:rsid w:val="063F878D"/>
    <w:rsid w:val="064803DA"/>
    <w:rsid w:val="066F9775"/>
    <w:rsid w:val="0697D423"/>
    <w:rsid w:val="06C60D0A"/>
    <w:rsid w:val="06D83C87"/>
    <w:rsid w:val="06E6FC5A"/>
    <w:rsid w:val="06F2E0CA"/>
    <w:rsid w:val="06F70559"/>
    <w:rsid w:val="070D7E34"/>
    <w:rsid w:val="070DBC37"/>
    <w:rsid w:val="07244849"/>
    <w:rsid w:val="072C9660"/>
    <w:rsid w:val="072F7548"/>
    <w:rsid w:val="0736BD96"/>
    <w:rsid w:val="0755030C"/>
    <w:rsid w:val="0756DB43"/>
    <w:rsid w:val="0760490B"/>
    <w:rsid w:val="07764653"/>
    <w:rsid w:val="07847857"/>
    <w:rsid w:val="07923605"/>
    <w:rsid w:val="079F4DBA"/>
    <w:rsid w:val="07AF1245"/>
    <w:rsid w:val="07B5F5B8"/>
    <w:rsid w:val="07BF010F"/>
    <w:rsid w:val="07DB9672"/>
    <w:rsid w:val="07DEF3C8"/>
    <w:rsid w:val="0803EDE1"/>
    <w:rsid w:val="08192464"/>
    <w:rsid w:val="0820DED8"/>
    <w:rsid w:val="08248519"/>
    <w:rsid w:val="08335B90"/>
    <w:rsid w:val="083372AE"/>
    <w:rsid w:val="084E9FFA"/>
    <w:rsid w:val="08533E6D"/>
    <w:rsid w:val="087487D0"/>
    <w:rsid w:val="0882E1C9"/>
    <w:rsid w:val="088AB392"/>
    <w:rsid w:val="08906039"/>
    <w:rsid w:val="0890E31F"/>
    <w:rsid w:val="08A0570B"/>
    <w:rsid w:val="08B3E427"/>
    <w:rsid w:val="08CD4B19"/>
    <w:rsid w:val="08D89F97"/>
    <w:rsid w:val="08DE3D72"/>
    <w:rsid w:val="08F6B94F"/>
    <w:rsid w:val="08F9FF5F"/>
    <w:rsid w:val="08FB0352"/>
    <w:rsid w:val="091C4B52"/>
    <w:rsid w:val="092C1284"/>
    <w:rsid w:val="093937EB"/>
    <w:rsid w:val="0952951A"/>
    <w:rsid w:val="0954E5BD"/>
    <w:rsid w:val="0962C768"/>
    <w:rsid w:val="0975B26D"/>
    <w:rsid w:val="099C9A33"/>
    <w:rsid w:val="099D6B4C"/>
    <w:rsid w:val="09BA210B"/>
    <w:rsid w:val="09C2B9AC"/>
    <w:rsid w:val="09FAE832"/>
    <w:rsid w:val="0A052760"/>
    <w:rsid w:val="0A149C22"/>
    <w:rsid w:val="0A204189"/>
    <w:rsid w:val="0A2FF2A8"/>
    <w:rsid w:val="0A444FF8"/>
    <w:rsid w:val="0A546D71"/>
    <w:rsid w:val="0A61450A"/>
    <w:rsid w:val="0A6A73D1"/>
    <w:rsid w:val="0A7348C3"/>
    <w:rsid w:val="0A83EB19"/>
    <w:rsid w:val="0AA97063"/>
    <w:rsid w:val="0AC7820A"/>
    <w:rsid w:val="0AC86972"/>
    <w:rsid w:val="0ACF8E7B"/>
    <w:rsid w:val="0AD6738B"/>
    <w:rsid w:val="0ADD89C3"/>
    <w:rsid w:val="0AFE021A"/>
    <w:rsid w:val="0B005324"/>
    <w:rsid w:val="0B0817CF"/>
    <w:rsid w:val="0B0EEF26"/>
    <w:rsid w:val="0B426E29"/>
    <w:rsid w:val="0B4B3C6B"/>
    <w:rsid w:val="0B4E312D"/>
    <w:rsid w:val="0B5C1ECA"/>
    <w:rsid w:val="0B6AFC52"/>
    <w:rsid w:val="0B7FCE00"/>
    <w:rsid w:val="0BA40C47"/>
    <w:rsid w:val="0BA58D4B"/>
    <w:rsid w:val="0BBE23A6"/>
    <w:rsid w:val="0BBF6E35"/>
    <w:rsid w:val="0BCBB854"/>
    <w:rsid w:val="0BCD33A1"/>
    <w:rsid w:val="0BD12DBE"/>
    <w:rsid w:val="0BDA8B30"/>
    <w:rsid w:val="0BF2900C"/>
    <w:rsid w:val="0BF39EA6"/>
    <w:rsid w:val="0BF97300"/>
    <w:rsid w:val="0BFC3097"/>
    <w:rsid w:val="0C01AFB1"/>
    <w:rsid w:val="0C134023"/>
    <w:rsid w:val="0C14C4EC"/>
    <w:rsid w:val="0C184DE6"/>
    <w:rsid w:val="0C297BF3"/>
    <w:rsid w:val="0C3DE682"/>
    <w:rsid w:val="0C6D52B4"/>
    <w:rsid w:val="0C990F80"/>
    <w:rsid w:val="0CA7E5C9"/>
    <w:rsid w:val="0CA89E8B"/>
    <w:rsid w:val="0CC83610"/>
    <w:rsid w:val="0CCA7FE2"/>
    <w:rsid w:val="0CDEB137"/>
    <w:rsid w:val="0CE01D79"/>
    <w:rsid w:val="0CEB045C"/>
    <w:rsid w:val="0D065B6C"/>
    <w:rsid w:val="0D2BF80D"/>
    <w:rsid w:val="0D385994"/>
    <w:rsid w:val="0D3D6E46"/>
    <w:rsid w:val="0D4F4830"/>
    <w:rsid w:val="0D5603A8"/>
    <w:rsid w:val="0D66931F"/>
    <w:rsid w:val="0D693B76"/>
    <w:rsid w:val="0D8A4143"/>
    <w:rsid w:val="0D90310B"/>
    <w:rsid w:val="0D9274DF"/>
    <w:rsid w:val="0D9E2958"/>
    <w:rsid w:val="0DBE2549"/>
    <w:rsid w:val="0DD71BAD"/>
    <w:rsid w:val="0DDF09D3"/>
    <w:rsid w:val="0DFC286B"/>
    <w:rsid w:val="0E079259"/>
    <w:rsid w:val="0E10DEFE"/>
    <w:rsid w:val="0E1901CF"/>
    <w:rsid w:val="0E213819"/>
    <w:rsid w:val="0E23ECEC"/>
    <w:rsid w:val="0E34A177"/>
    <w:rsid w:val="0E3FC370"/>
    <w:rsid w:val="0E429ACD"/>
    <w:rsid w:val="0E4752E6"/>
    <w:rsid w:val="0E56ADCF"/>
    <w:rsid w:val="0E6B8E8D"/>
    <w:rsid w:val="0E7ED729"/>
    <w:rsid w:val="0E89A360"/>
    <w:rsid w:val="0EB41D29"/>
    <w:rsid w:val="0EBB6BB5"/>
    <w:rsid w:val="0EBCD4C0"/>
    <w:rsid w:val="0EE19A1C"/>
    <w:rsid w:val="0EE5EF5E"/>
    <w:rsid w:val="0EE66E19"/>
    <w:rsid w:val="0F007008"/>
    <w:rsid w:val="0F0AD2A7"/>
    <w:rsid w:val="0F0AD3BF"/>
    <w:rsid w:val="0F0F51B9"/>
    <w:rsid w:val="0F1ED5B0"/>
    <w:rsid w:val="0F2B68FB"/>
    <w:rsid w:val="0F2F3567"/>
    <w:rsid w:val="0F32DC83"/>
    <w:rsid w:val="0F35D63E"/>
    <w:rsid w:val="0F382F91"/>
    <w:rsid w:val="0F48572D"/>
    <w:rsid w:val="0F6F1827"/>
    <w:rsid w:val="0F6FF845"/>
    <w:rsid w:val="0F76E74F"/>
    <w:rsid w:val="0F9731B8"/>
    <w:rsid w:val="0F9C6946"/>
    <w:rsid w:val="0FCE16C4"/>
    <w:rsid w:val="0FCF24BE"/>
    <w:rsid w:val="0FED05F9"/>
    <w:rsid w:val="0FEF7A49"/>
    <w:rsid w:val="1004AA71"/>
    <w:rsid w:val="100599C9"/>
    <w:rsid w:val="101D6681"/>
    <w:rsid w:val="10290D55"/>
    <w:rsid w:val="1043A25F"/>
    <w:rsid w:val="1043B7F9"/>
    <w:rsid w:val="10498F39"/>
    <w:rsid w:val="106776BD"/>
    <w:rsid w:val="1071254C"/>
    <w:rsid w:val="107EFB33"/>
    <w:rsid w:val="107F3704"/>
    <w:rsid w:val="108307CF"/>
    <w:rsid w:val="108CFE66"/>
    <w:rsid w:val="108DEEBD"/>
    <w:rsid w:val="10A198D9"/>
    <w:rsid w:val="10ACCEB9"/>
    <w:rsid w:val="10C06176"/>
    <w:rsid w:val="10C23AA7"/>
    <w:rsid w:val="10CB5889"/>
    <w:rsid w:val="10D57D08"/>
    <w:rsid w:val="10D6F489"/>
    <w:rsid w:val="10DCDD24"/>
    <w:rsid w:val="10E275D2"/>
    <w:rsid w:val="110676B8"/>
    <w:rsid w:val="11164933"/>
    <w:rsid w:val="1118BC5D"/>
    <w:rsid w:val="1152A838"/>
    <w:rsid w:val="11849CD7"/>
    <w:rsid w:val="1186BF0A"/>
    <w:rsid w:val="118DF5EE"/>
    <w:rsid w:val="11A09A54"/>
    <w:rsid w:val="11B8A56B"/>
    <w:rsid w:val="11C11579"/>
    <w:rsid w:val="11C3C567"/>
    <w:rsid w:val="11D2A66C"/>
    <w:rsid w:val="11D444B1"/>
    <w:rsid w:val="11DA898F"/>
    <w:rsid w:val="11DBC664"/>
    <w:rsid w:val="11F28263"/>
    <w:rsid w:val="11F4B543"/>
    <w:rsid w:val="1263BA08"/>
    <w:rsid w:val="12696242"/>
    <w:rsid w:val="1297F6AA"/>
    <w:rsid w:val="129B7B30"/>
    <w:rsid w:val="129E510B"/>
    <w:rsid w:val="12BEB82D"/>
    <w:rsid w:val="12C8EF25"/>
    <w:rsid w:val="12CC0A05"/>
    <w:rsid w:val="12EFB564"/>
    <w:rsid w:val="12F12420"/>
    <w:rsid w:val="1305CE8A"/>
    <w:rsid w:val="131ACD03"/>
    <w:rsid w:val="13229644"/>
    <w:rsid w:val="13262A04"/>
    <w:rsid w:val="132E5824"/>
    <w:rsid w:val="134442A4"/>
    <w:rsid w:val="134A258C"/>
    <w:rsid w:val="135B3A2C"/>
    <w:rsid w:val="1363C6A8"/>
    <w:rsid w:val="13646F12"/>
    <w:rsid w:val="1375EE99"/>
    <w:rsid w:val="138A7BA3"/>
    <w:rsid w:val="138AF1BB"/>
    <w:rsid w:val="13A1E730"/>
    <w:rsid w:val="13A29E9F"/>
    <w:rsid w:val="13B8F0C1"/>
    <w:rsid w:val="13CB1012"/>
    <w:rsid w:val="13D9F526"/>
    <w:rsid w:val="13EB24FF"/>
    <w:rsid w:val="13FC9F5C"/>
    <w:rsid w:val="140A0FD9"/>
    <w:rsid w:val="14147C9B"/>
    <w:rsid w:val="14174F90"/>
    <w:rsid w:val="145A4E81"/>
    <w:rsid w:val="145BF75C"/>
    <w:rsid w:val="1468BDA4"/>
    <w:rsid w:val="1483BB08"/>
    <w:rsid w:val="148FF7FA"/>
    <w:rsid w:val="14957020"/>
    <w:rsid w:val="14A19EEB"/>
    <w:rsid w:val="14A1E153"/>
    <w:rsid w:val="14B22779"/>
    <w:rsid w:val="14B60768"/>
    <w:rsid w:val="14C013BB"/>
    <w:rsid w:val="14C0909B"/>
    <w:rsid w:val="14C72E32"/>
    <w:rsid w:val="14CF4C6C"/>
    <w:rsid w:val="14D43150"/>
    <w:rsid w:val="14F70A8D"/>
    <w:rsid w:val="14FEDA4A"/>
    <w:rsid w:val="15215EBA"/>
    <w:rsid w:val="15413B94"/>
    <w:rsid w:val="1553D9CC"/>
    <w:rsid w:val="1569DA52"/>
    <w:rsid w:val="156EAE00"/>
    <w:rsid w:val="15C9CB13"/>
    <w:rsid w:val="15CF4788"/>
    <w:rsid w:val="15DFE528"/>
    <w:rsid w:val="15E5780D"/>
    <w:rsid w:val="15EC792E"/>
    <w:rsid w:val="16093290"/>
    <w:rsid w:val="161029E6"/>
    <w:rsid w:val="162BC85B"/>
    <w:rsid w:val="16372BAC"/>
    <w:rsid w:val="163D1D7B"/>
    <w:rsid w:val="164C1EF7"/>
    <w:rsid w:val="165CCB7C"/>
    <w:rsid w:val="1665CB09"/>
    <w:rsid w:val="1677CD28"/>
    <w:rsid w:val="168030E6"/>
    <w:rsid w:val="16835079"/>
    <w:rsid w:val="168843C3"/>
    <w:rsid w:val="16919A00"/>
    <w:rsid w:val="16AD2943"/>
    <w:rsid w:val="16AF7E10"/>
    <w:rsid w:val="16D22ADA"/>
    <w:rsid w:val="16FD60DB"/>
    <w:rsid w:val="1704F244"/>
    <w:rsid w:val="1723A6C6"/>
    <w:rsid w:val="1734A452"/>
    <w:rsid w:val="17357FA5"/>
    <w:rsid w:val="174427E8"/>
    <w:rsid w:val="17614E07"/>
    <w:rsid w:val="176540B6"/>
    <w:rsid w:val="1774553B"/>
    <w:rsid w:val="1789437A"/>
    <w:rsid w:val="179F45FE"/>
    <w:rsid w:val="17BCFD9E"/>
    <w:rsid w:val="17BFD78E"/>
    <w:rsid w:val="17C8FAE7"/>
    <w:rsid w:val="17D84CF2"/>
    <w:rsid w:val="17D962D0"/>
    <w:rsid w:val="1803C8CD"/>
    <w:rsid w:val="1825685A"/>
    <w:rsid w:val="1826EB23"/>
    <w:rsid w:val="1830242E"/>
    <w:rsid w:val="18393574"/>
    <w:rsid w:val="18508A03"/>
    <w:rsid w:val="18622C54"/>
    <w:rsid w:val="18672855"/>
    <w:rsid w:val="187B5AD9"/>
    <w:rsid w:val="1889DB07"/>
    <w:rsid w:val="188CCC95"/>
    <w:rsid w:val="18ABAEE0"/>
    <w:rsid w:val="18B63B4D"/>
    <w:rsid w:val="18C5D61F"/>
    <w:rsid w:val="18FC3E5E"/>
    <w:rsid w:val="19296724"/>
    <w:rsid w:val="1937EB19"/>
    <w:rsid w:val="194146A1"/>
    <w:rsid w:val="19519EE0"/>
    <w:rsid w:val="1987EBDF"/>
    <w:rsid w:val="19A7AA10"/>
    <w:rsid w:val="19ADD2B1"/>
    <w:rsid w:val="19BB8229"/>
    <w:rsid w:val="19BC2DE8"/>
    <w:rsid w:val="19C1D1DC"/>
    <w:rsid w:val="19F40EE1"/>
    <w:rsid w:val="19F7C6E5"/>
    <w:rsid w:val="19FBFC60"/>
    <w:rsid w:val="1A1A38FF"/>
    <w:rsid w:val="1A34020B"/>
    <w:rsid w:val="1A459218"/>
    <w:rsid w:val="1A4E0FEC"/>
    <w:rsid w:val="1A502AC8"/>
    <w:rsid w:val="1AAC3924"/>
    <w:rsid w:val="1AB3E830"/>
    <w:rsid w:val="1AC42680"/>
    <w:rsid w:val="1AF02168"/>
    <w:rsid w:val="1B009BA9"/>
    <w:rsid w:val="1B140DA1"/>
    <w:rsid w:val="1B1B0739"/>
    <w:rsid w:val="1B1F901A"/>
    <w:rsid w:val="1B2CA0A0"/>
    <w:rsid w:val="1B395D93"/>
    <w:rsid w:val="1B43FCCD"/>
    <w:rsid w:val="1B63BD72"/>
    <w:rsid w:val="1B68D7FA"/>
    <w:rsid w:val="1B7E66E3"/>
    <w:rsid w:val="1B8E5AF9"/>
    <w:rsid w:val="1B8E9F48"/>
    <w:rsid w:val="1B926463"/>
    <w:rsid w:val="1B9507C5"/>
    <w:rsid w:val="1BDDB2DC"/>
    <w:rsid w:val="1BDFA2DF"/>
    <w:rsid w:val="1BE06F04"/>
    <w:rsid w:val="1BF66718"/>
    <w:rsid w:val="1C043053"/>
    <w:rsid w:val="1C0A15D8"/>
    <w:rsid w:val="1C11B6B7"/>
    <w:rsid w:val="1C5621B6"/>
    <w:rsid w:val="1C6C4124"/>
    <w:rsid w:val="1C71C710"/>
    <w:rsid w:val="1CBF79C5"/>
    <w:rsid w:val="1CD011AC"/>
    <w:rsid w:val="1CE571CA"/>
    <w:rsid w:val="1D095C28"/>
    <w:rsid w:val="1D0AE9EA"/>
    <w:rsid w:val="1D418A2E"/>
    <w:rsid w:val="1D4D87B1"/>
    <w:rsid w:val="1D6E4D65"/>
    <w:rsid w:val="1D75078B"/>
    <w:rsid w:val="1D7655B9"/>
    <w:rsid w:val="1D773971"/>
    <w:rsid w:val="1DB0250F"/>
    <w:rsid w:val="1DBE8B39"/>
    <w:rsid w:val="1DCC3EE7"/>
    <w:rsid w:val="1DD73C4C"/>
    <w:rsid w:val="1DE93816"/>
    <w:rsid w:val="1DF2A53D"/>
    <w:rsid w:val="1DFD3DC1"/>
    <w:rsid w:val="1E09ACC6"/>
    <w:rsid w:val="1E0BDB97"/>
    <w:rsid w:val="1E23545D"/>
    <w:rsid w:val="1E2CA08E"/>
    <w:rsid w:val="1E4AEE2D"/>
    <w:rsid w:val="1E4E10B2"/>
    <w:rsid w:val="1E4FE1EB"/>
    <w:rsid w:val="1E5158F5"/>
    <w:rsid w:val="1E6B9871"/>
    <w:rsid w:val="1E6CDBAF"/>
    <w:rsid w:val="1E6D14E0"/>
    <w:rsid w:val="1E77DB21"/>
    <w:rsid w:val="1E85F01F"/>
    <w:rsid w:val="1E87EA5A"/>
    <w:rsid w:val="1E8B6ECA"/>
    <w:rsid w:val="1EA0E290"/>
    <w:rsid w:val="1EAA68C0"/>
    <w:rsid w:val="1EB3A21E"/>
    <w:rsid w:val="1EDA0074"/>
    <w:rsid w:val="1EFD676E"/>
    <w:rsid w:val="1F0D9DBB"/>
    <w:rsid w:val="1F0ED412"/>
    <w:rsid w:val="1F4C8B67"/>
    <w:rsid w:val="1F4F1A7C"/>
    <w:rsid w:val="1F55689C"/>
    <w:rsid w:val="1FAFCAE6"/>
    <w:rsid w:val="1FBCAC00"/>
    <w:rsid w:val="1FC58D9E"/>
    <w:rsid w:val="1FC77F68"/>
    <w:rsid w:val="1FD15083"/>
    <w:rsid w:val="1FD35519"/>
    <w:rsid w:val="1FE80FD0"/>
    <w:rsid w:val="1FF3EA49"/>
    <w:rsid w:val="1FF59B1D"/>
    <w:rsid w:val="1FF60A1F"/>
    <w:rsid w:val="1FF68DBE"/>
    <w:rsid w:val="1FFF1DD0"/>
    <w:rsid w:val="2007950A"/>
    <w:rsid w:val="2013AF6F"/>
    <w:rsid w:val="20149AEF"/>
    <w:rsid w:val="2015BE54"/>
    <w:rsid w:val="2039BB59"/>
    <w:rsid w:val="203EBB80"/>
    <w:rsid w:val="204A08A1"/>
    <w:rsid w:val="205149AF"/>
    <w:rsid w:val="20575A36"/>
    <w:rsid w:val="206E14E4"/>
    <w:rsid w:val="206EE370"/>
    <w:rsid w:val="209A8A61"/>
    <w:rsid w:val="20A6CD31"/>
    <w:rsid w:val="20C09C65"/>
    <w:rsid w:val="20C10A0F"/>
    <w:rsid w:val="20C35A5A"/>
    <w:rsid w:val="20C39127"/>
    <w:rsid w:val="20CAC78D"/>
    <w:rsid w:val="20FB3C1D"/>
    <w:rsid w:val="21194B90"/>
    <w:rsid w:val="213A650D"/>
    <w:rsid w:val="216CF976"/>
    <w:rsid w:val="217C13C8"/>
    <w:rsid w:val="2185E6FE"/>
    <w:rsid w:val="21AF74FC"/>
    <w:rsid w:val="21C2FA61"/>
    <w:rsid w:val="21CCB8DA"/>
    <w:rsid w:val="21D5E904"/>
    <w:rsid w:val="21F039D1"/>
    <w:rsid w:val="21F2F942"/>
    <w:rsid w:val="21F6C644"/>
    <w:rsid w:val="21FD8125"/>
    <w:rsid w:val="224DD55B"/>
    <w:rsid w:val="225979FC"/>
    <w:rsid w:val="22645C08"/>
    <w:rsid w:val="226FBC40"/>
    <w:rsid w:val="22772CE6"/>
    <w:rsid w:val="227D2DF4"/>
    <w:rsid w:val="2287F1AA"/>
    <w:rsid w:val="22A3258B"/>
    <w:rsid w:val="22A7CD98"/>
    <w:rsid w:val="22AFBF5F"/>
    <w:rsid w:val="22DBC4E2"/>
    <w:rsid w:val="22DED457"/>
    <w:rsid w:val="22EBC05E"/>
    <w:rsid w:val="230DADF1"/>
    <w:rsid w:val="23266802"/>
    <w:rsid w:val="232F1664"/>
    <w:rsid w:val="23383F4F"/>
    <w:rsid w:val="235D5447"/>
    <w:rsid w:val="235F445E"/>
    <w:rsid w:val="2369C107"/>
    <w:rsid w:val="236BE31B"/>
    <w:rsid w:val="2371B965"/>
    <w:rsid w:val="237E67DF"/>
    <w:rsid w:val="2386B012"/>
    <w:rsid w:val="238CEE83"/>
    <w:rsid w:val="23927117"/>
    <w:rsid w:val="23A2CCE2"/>
    <w:rsid w:val="23A4186E"/>
    <w:rsid w:val="23B77829"/>
    <w:rsid w:val="23BF5A84"/>
    <w:rsid w:val="23C37D23"/>
    <w:rsid w:val="23CED008"/>
    <w:rsid w:val="23CFC740"/>
    <w:rsid w:val="23D01F17"/>
    <w:rsid w:val="23D82D84"/>
    <w:rsid w:val="23E34D34"/>
    <w:rsid w:val="23EB9B1A"/>
    <w:rsid w:val="23FDF504"/>
    <w:rsid w:val="240D4407"/>
    <w:rsid w:val="240EA7CA"/>
    <w:rsid w:val="2412A5D3"/>
    <w:rsid w:val="2427EF30"/>
    <w:rsid w:val="2429D0E6"/>
    <w:rsid w:val="2430CEB9"/>
    <w:rsid w:val="243E7782"/>
    <w:rsid w:val="243EE491"/>
    <w:rsid w:val="2440C488"/>
    <w:rsid w:val="24423903"/>
    <w:rsid w:val="2446EFB1"/>
    <w:rsid w:val="244D7148"/>
    <w:rsid w:val="246D1CBF"/>
    <w:rsid w:val="24714945"/>
    <w:rsid w:val="247CFC6F"/>
    <w:rsid w:val="248C5F45"/>
    <w:rsid w:val="2499DC0F"/>
    <w:rsid w:val="24A36B78"/>
    <w:rsid w:val="24A67703"/>
    <w:rsid w:val="24A8A52A"/>
    <w:rsid w:val="24AA7ED5"/>
    <w:rsid w:val="24CD90E4"/>
    <w:rsid w:val="24D84359"/>
    <w:rsid w:val="24DF8CCD"/>
    <w:rsid w:val="24EB45EE"/>
    <w:rsid w:val="24F67432"/>
    <w:rsid w:val="250F3CD5"/>
    <w:rsid w:val="2520499E"/>
    <w:rsid w:val="2533BE68"/>
    <w:rsid w:val="2544884A"/>
    <w:rsid w:val="25616A9D"/>
    <w:rsid w:val="2567FB58"/>
    <w:rsid w:val="2599BC9F"/>
    <w:rsid w:val="25B4F26A"/>
    <w:rsid w:val="25C4F893"/>
    <w:rsid w:val="25D057B9"/>
    <w:rsid w:val="25D58B3B"/>
    <w:rsid w:val="25EEF4CF"/>
    <w:rsid w:val="25F6BA35"/>
    <w:rsid w:val="2605CA3C"/>
    <w:rsid w:val="260B6CA5"/>
    <w:rsid w:val="26131FCB"/>
    <w:rsid w:val="26331D0C"/>
    <w:rsid w:val="263B39E5"/>
    <w:rsid w:val="263F9F89"/>
    <w:rsid w:val="26471C83"/>
    <w:rsid w:val="264EF6B9"/>
    <w:rsid w:val="265BAE48"/>
    <w:rsid w:val="26893E69"/>
    <w:rsid w:val="26A4F0CC"/>
    <w:rsid w:val="26ACCDBC"/>
    <w:rsid w:val="26B653CA"/>
    <w:rsid w:val="26BF5F17"/>
    <w:rsid w:val="26C3B659"/>
    <w:rsid w:val="26C68488"/>
    <w:rsid w:val="26CF2DA4"/>
    <w:rsid w:val="2704B472"/>
    <w:rsid w:val="271B8173"/>
    <w:rsid w:val="27282139"/>
    <w:rsid w:val="273F125A"/>
    <w:rsid w:val="274A2F33"/>
    <w:rsid w:val="274F1C2A"/>
    <w:rsid w:val="2757AA41"/>
    <w:rsid w:val="275DA5F5"/>
    <w:rsid w:val="2774251B"/>
    <w:rsid w:val="277F7F58"/>
    <w:rsid w:val="27820B7D"/>
    <w:rsid w:val="27883C61"/>
    <w:rsid w:val="2798A303"/>
    <w:rsid w:val="27DB0EEE"/>
    <w:rsid w:val="27E4352C"/>
    <w:rsid w:val="27EF83DF"/>
    <w:rsid w:val="27FCF7BC"/>
    <w:rsid w:val="2800393D"/>
    <w:rsid w:val="28039E35"/>
    <w:rsid w:val="2807C806"/>
    <w:rsid w:val="280E54D2"/>
    <w:rsid w:val="2821050C"/>
    <w:rsid w:val="284A8C16"/>
    <w:rsid w:val="284F6E1E"/>
    <w:rsid w:val="2857A3D0"/>
    <w:rsid w:val="2869CB96"/>
    <w:rsid w:val="289E5FFF"/>
    <w:rsid w:val="289E8C07"/>
    <w:rsid w:val="28A8685A"/>
    <w:rsid w:val="28DC4E61"/>
    <w:rsid w:val="28E70B53"/>
    <w:rsid w:val="2901E3ED"/>
    <w:rsid w:val="2904A188"/>
    <w:rsid w:val="292BDED0"/>
    <w:rsid w:val="2934DD4C"/>
    <w:rsid w:val="293EF8B3"/>
    <w:rsid w:val="2955519A"/>
    <w:rsid w:val="2957DC04"/>
    <w:rsid w:val="295D4306"/>
    <w:rsid w:val="296E4B24"/>
    <w:rsid w:val="298ADD7C"/>
    <w:rsid w:val="298CD516"/>
    <w:rsid w:val="2990E0DE"/>
    <w:rsid w:val="29938FFC"/>
    <w:rsid w:val="29951DCC"/>
    <w:rsid w:val="29957027"/>
    <w:rsid w:val="29997D73"/>
    <w:rsid w:val="29B33F97"/>
    <w:rsid w:val="29B73ACB"/>
    <w:rsid w:val="29B9FA1C"/>
    <w:rsid w:val="29C4AAF5"/>
    <w:rsid w:val="29CD0CFA"/>
    <w:rsid w:val="29D7CE09"/>
    <w:rsid w:val="29E97BD0"/>
    <w:rsid w:val="29EBF052"/>
    <w:rsid w:val="29F6FFD9"/>
    <w:rsid w:val="2A0C3528"/>
    <w:rsid w:val="2A0F8157"/>
    <w:rsid w:val="2A2653A7"/>
    <w:rsid w:val="2A2D65D4"/>
    <w:rsid w:val="2A5589A8"/>
    <w:rsid w:val="2A5954B2"/>
    <w:rsid w:val="2A5B7483"/>
    <w:rsid w:val="2A5B977F"/>
    <w:rsid w:val="2A64CD75"/>
    <w:rsid w:val="2A8DAF7B"/>
    <w:rsid w:val="2A9308ED"/>
    <w:rsid w:val="2A959B1F"/>
    <w:rsid w:val="2AACA44C"/>
    <w:rsid w:val="2AADB40B"/>
    <w:rsid w:val="2AB4D87B"/>
    <w:rsid w:val="2ABF5719"/>
    <w:rsid w:val="2B075879"/>
    <w:rsid w:val="2B105C0F"/>
    <w:rsid w:val="2B21D013"/>
    <w:rsid w:val="2B2718D5"/>
    <w:rsid w:val="2B2C304B"/>
    <w:rsid w:val="2B3BDB4E"/>
    <w:rsid w:val="2B5C9F40"/>
    <w:rsid w:val="2B5D010E"/>
    <w:rsid w:val="2B5E970B"/>
    <w:rsid w:val="2B71C0C9"/>
    <w:rsid w:val="2B7C15F7"/>
    <w:rsid w:val="2B815FB7"/>
    <w:rsid w:val="2B871129"/>
    <w:rsid w:val="2B9AA171"/>
    <w:rsid w:val="2BA710F8"/>
    <w:rsid w:val="2BB2F345"/>
    <w:rsid w:val="2BCB06CF"/>
    <w:rsid w:val="2BDCD93C"/>
    <w:rsid w:val="2C3A231C"/>
    <w:rsid w:val="2C699C9B"/>
    <w:rsid w:val="2C6B3B18"/>
    <w:rsid w:val="2C986E89"/>
    <w:rsid w:val="2CBB985E"/>
    <w:rsid w:val="2CF6FE49"/>
    <w:rsid w:val="2D04F7BC"/>
    <w:rsid w:val="2D1A816E"/>
    <w:rsid w:val="2D1E1427"/>
    <w:rsid w:val="2D1F1107"/>
    <w:rsid w:val="2D2EA09B"/>
    <w:rsid w:val="2D685FCE"/>
    <w:rsid w:val="2D6AF428"/>
    <w:rsid w:val="2D6BDF7D"/>
    <w:rsid w:val="2D7C9C11"/>
    <w:rsid w:val="2D7DE1A5"/>
    <w:rsid w:val="2D82B28F"/>
    <w:rsid w:val="2DA01F28"/>
    <w:rsid w:val="2DA220E1"/>
    <w:rsid w:val="2DB25EAF"/>
    <w:rsid w:val="2DB93519"/>
    <w:rsid w:val="2DCD2491"/>
    <w:rsid w:val="2E0AC3B9"/>
    <w:rsid w:val="2E109299"/>
    <w:rsid w:val="2E1739AE"/>
    <w:rsid w:val="2E211C23"/>
    <w:rsid w:val="2E2218B5"/>
    <w:rsid w:val="2E23D824"/>
    <w:rsid w:val="2E2542DE"/>
    <w:rsid w:val="2E4E1D0E"/>
    <w:rsid w:val="2E5E0C06"/>
    <w:rsid w:val="2E78D267"/>
    <w:rsid w:val="2E87CC31"/>
    <w:rsid w:val="2E9C4142"/>
    <w:rsid w:val="2E9C4FC4"/>
    <w:rsid w:val="2EAFC5CA"/>
    <w:rsid w:val="2EB4F33D"/>
    <w:rsid w:val="2EC96408"/>
    <w:rsid w:val="2ED24233"/>
    <w:rsid w:val="2EDAE1EE"/>
    <w:rsid w:val="2F0CD6A1"/>
    <w:rsid w:val="2F1A5FC2"/>
    <w:rsid w:val="2F65203B"/>
    <w:rsid w:val="2F66EFDB"/>
    <w:rsid w:val="2F69EA1E"/>
    <w:rsid w:val="2F6C7042"/>
    <w:rsid w:val="2F747584"/>
    <w:rsid w:val="2FA3A304"/>
    <w:rsid w:val="2FA76F4E"/>
    <w:rsid w:val="2FD7D5CD"/>
    <w:rsid w:val="2FF458FD"/>
    <w:rsid w:val="2FF847F4"/>
    <w:rsid w:val="300B33FB"/>
    <w:rsid w:val="30116467"/>
    <w:rsid w:val="303FF6DE"/>
    <w:rsid w:val="30454333"/>
    <w:rsid w:val="304CCC77"/>
    <w:rsid w:val="304F0FC2"/>
    <w:rsid w:val="305AC441"/>
    <w:rsid w:val="305E203E"/>
    <w:rsid w:val="30679F73"/>
    <w:rsid w:val="308107E9"/>
    <w:rsid w:val="308161B5"/>
    <w:rsid w:val="30897789"/>
    <w:rsid w:val="308F493B"/>
    <w:rsid w:val="309232C9"/>
    <w:rsid w:val="30A001B8"/>
    <w:rsid w:val="30AD5A1C"/>
    <w:rsid w:val="30B39ECF"/>
    <w:rsid w:val="30B3DD28"/>
    <w:rsid w:val="30BA261D"/>
    <w:rsid w:val="30C37DF0"/>
    <w:rsid w:val="30C488D2"/>
    <w:rsid w:val="30D1B1D6"/>
    <w:rsid w:val="30D4C70C"/>
    <w:rsid w:val="30D976B1"/>
    <w:rsid w:val="3104DE53"/>
    <w:rsid w:val="3122AA55"/>
    <w:rsid w:val="3129043C"/>
    <w:rsid w:val="31290F4A"/>
    <w:rsid w:val="3138C592"/>
    <w:rsid w:val="31547EEC"/>
    <w:rsid w:val="315FF766"/>
    <w:rsid w:val="316C8087"/>
    <w:rsid w:val="31857D3D"/>
    <w:rsid w:val="318DD9CE"/>
    <w:rsid w:val="31B3647B"/>
    <w:rsid w:val="31B72D78"/>
    <w:rsid w:val="31C0E55F"/>
    <w:rsid w:val="31C30F74"/>
    <w:rsid w:val="31CAEC13"/>
    <w:rsid w:val="31CB29BC"/>
    <w:rsid w:val="31D7A88D"/>
    <w:rsid w:val="31D9741A"/>
    <w:rsid w:val="31DBB967"/>
    <w:rsid w:val="32156A3F"/>
    <w:rsid w:val="32319656"/>
    <w:rsid w:val="3237C832"/>
    <w:rsid w:val="32457CE3"/>
    <w:rsid w:val="3245A384"/>
    <w:rsid w:val="324FF45B"/>
    <w:rsid w:val="32531842"/>
    <w:rsid w:val="3256CDF4"/>
    <w:rsid w:val="3258233A"/>
    <w:rsid w:val="32609B8D"/>
    <w:rsid w:val="326FC5E1"/>
    <w:rsid w:val="3270E053"/>
    <w:rsid w:val="32727F56"/>
    <w:rsid w:val="3273039C"/>
    <w:rsid w:val="3292A4C7"/>
    <w:rsid w:val="32A6A564"/>
    <w:rsid w:val="32B2DF18"/>
    <w:rsid w:val="32BE7AB6"/>
    <w:rsid w:val="32C866F5"/>
    <w:rsid w:val="32CCD3A8"/>
    <w:rsid w:val="32E00871"/>
    <w:rsid w:val="32E2594C"/>
    <w:rsid w:val="32E62516"/>
    <w:rsid w:val="32F30366"/>
    <w:rsid w:val="33016941"/>
    <w:rsid w:val="3306A520"/>
    <w:rsid w:val="33186034"/>
    <w:rsid w:val="33499027"/>
    <w:rsid w:val="334DDBF3"/>
    <w:rsid w:val="334EF7C2"/>
    <w:rsid w:val="3367B0B2"/>
    <w:rsid w:val="33960FE7"/>
    <w:rsid w:val="33964D15"/>
    <w:rsid w:val="3397DE72"/>
    <w:rsid w:val="33AB2801"/>
    <w:rsid w:val="33B2632C"/>
    <w:rsid w:val="33C13C60"/>
    <w:rsid w:val="33CB9251"/>
    <w:rsid w:val="33CD418C"/>
    <w:rsid w:val="33D46A78"/>
    <w:rsid w:val="33D814EA"/>
    <w:rsid w:val="33EE19CD"/>
    <w:rsid w:val="33EEE8A3"/>
    <w:rsid w:val="33F94602"/>
    <w:rsid w:val="340CB0B4"/>
    <w:rsid w:val="34158878"/>
    <w:rsid w:val="341BA708"/>
    <w:rsid w:val="341C973E"/>
    <w:rsid w:val="341CC49F"/>
    <w:rsid w:val="342B2ADF"/>
    <w:rsid w:val="342BF3F3"/>
    <w:rsid w:val="345D9D22"/>
    <w:rsid w:val="34671D00"/>
    <w:rsid w:val="347C4E06"/>
    <w:rsid w:val="347F9B8D"/>
    <w:rsid w:val="3481D5A9"/>
    <w:rsid w:val="348A5877"/>
    <w:rsid w:val="34986CFF"/>
    <w:rsid w:val="349F2CA4"/>
    <w:rsid w:val="34BAD56E"/>
    <w:rsid w:val="34C807FA"/>
    <w:rsid w:val="34C850BA"/>
    <w:rsid w:val="34CF7408"/>
    <w:rsid w:val="34D65968"/>
    <w:rsid w:val="34DC0726"/>
    <w:rsid w:val="34DE292D"/>
    <w:rsid w:val="34E0A777"/>
    <w:rsid w:val="34EAE31D"/>
    <w:rsid w:val="34F39D92"/>
    <w:rsid w:val="3507C663"/>
    <w:rsid w:val="35144CD8"/>
    <w:rsid w:val="352CD76F"/>
    <w:rsid w:val="35447767"/>
    <w:rsid w:val="3569089E"/>
    <w:rsid w:val="356F565D"/>
    <w:rsid w:val="35711098"/>
    <w:rsid w:val="359988B1"/>
    <w:rsid w:val="3599A26C"/>
    <w:rsid w:val="359B6183"/>
    <w:rsid w:val="35AB1AB6"/>
    <w:rsid w:val="35E30105"/>
    <w:rsid w:val="35E91DFA"/>
    <w:rsid w:val="360B5C3C"/>
    <w:rsid w:val="36198765"/>
    <w:rsid w:val="364B823E"/>
    <w:rsid w:val="366FA176"/>
    <w:rsid w:val="368D5197"/>
    <w:rsid w:val="369616F9"/>
    <w:rsid w:val="36B2A04C"/>
    <w:rsid w:val="36C0CF90"/>
    <w:rsid w:val="36C18155"/>
    <w:rsid w:val="36CBD4F4"/>
    <w:rsid w:val="36CD1844"/>
    <w:rsid w:val="36D04ECF"/>
    <w:rsid w:val="36D0736B"/>
    <w:rsid w:val="36FC41FD"/>
    <w:rsid w:val="371709F6"/>
    <w:rsid w:val="372FF875"/>
    <w:rsid w:val="373208B4"/>
    <w:rsid w:val="3735D12A"/>
    <w:rsid w:val="374A188A"/>
    <w:rsid w:val="3757F832"/>
    <w:rsid w:val="37879DB9"/>
    <w:rsid w:val="379DE35C"/>
    <w:rsid w:val="379EEDDD"/>
    <w:rsid w:val="37AEA650"/>
    <w:rsid w:val="37B5409D"/>
    <w:rsid w:val="37E5A851"/>
    <w:rsid w:val="37EE3F0C"/>
    <w:rsid w:val="37F2FD13"/>
    <w:rsid w:val="38010949"/>
    <w:rsid w:val="38027EFC"/>
    <w:rsid w:val="382FCC27"/>
    <w:rsid w:val="383A2D97"/>
    <w:rsid w:val="383B3CA1"/>
    <w:rsid w:val="383F502D"/>
    <w:rsid w:val="38460C41"/>
    <w:rsid w:val="3846F526"/>
    <w:rsid w:val="384BDC67"/>
    <w:rsid w:val="38570904"/>
    <w:rsid w:val="3866C86F"/>
    <w:rsid w:val="3876610F"/>
    <w:rsid w:val="3886F69C"/>
    <w:rsid w:val="3890728D"/>
    <w:rsid w:val="38A726E6"/>
    <w:rsid w:val="38BCEC78"/>
    <w:rsid w:val="38C3E16E"/>
    <w:rsid w:val="38C98662"/>
    <w:rsid w:val="38CC204C"/>
    <w:rsid w:val="38DE6E67"/>
    <w:rsid w:val="38E4828D"/>
    <w:rsid w:val="391446CC"/>
    <w:rsid w:val="39420966"/>
    <w:rsid w:val="3958A71E"/>
    <w:rsid w:val="39797A44"/>
    <w:rsid w:val="398E4A79"/>
    <w:rsid w:val="399652E9"/>
    <w:rsid w:val="399ED690"/>
    <w:rsid w:val="39A56A61"/>
    <w:rsid w:val="39A6F53E"/>
    <w:rsid w:val="39AC7E32"/>
    <w:rsid w:val="39B124DA"/>
    <w:rsid w:val="39BA60FE"/>
    <w:rsid w:val="39C1ACD9"/>
    <w:rsid w:val="39C9829B"/>
    <w:rsid w:val="39CD3F93"/>
    <w:rsid w:val="39CEC7BC"/>
    <w:rsid w:val="39D0178E"/>
    <w:rsid w:val="39D63883"/>
    <w:rsid w:val="39D7D9B4"/>
    <w:rsid w:val="39F3A027"/>
    <w:rsid w:val="39F97FA3"/>
    <w:rsid w:val="3A04DAFB"/>
    <w:rsid w:val="3A0AF2B0"/>
    <w:rsid w:val="3A275DF4"/>
    <w:rsid w:val="3A2F0DD6"/>
    <w:rsid w:val="3A4C7A73"/>
    <w:rsid w:val="3A50FBAD"/>
    <w:rsid w:val="3A5F1CAE"/>
    <w:rsid w:val="3A60F789"/>
    <w:rsid w:val="3A68E156"/>
    <w:rsid w:val="3A856B72"/>
    <w:rsid w:val="3AAB344B"/>
    <w:rsid w:val="3AF0075F"/>
    <w:rsid w:val="3AFEBB87"/>
    <w:rsid w:val="3B003721"/>
    <w:rsid w:val="3B014B43"/>
    <w:rsid w:val="3B08E9F7"/>
    <w:rsid w:val="3B1A74F9"/>
    <w:rsid w:val="3B2A1436"/>
    <w:rsid w:val="3B3408C9"/>
    <w:rsid w:val="3B3E8679"/>
    <w:rsid w:val="3B67014C"/>
    <w:rsid w:val="3B69693C"/>
    <w:rsid w:val="3B700E8E"/>
    <w:rsid w:val="3B73ADD1"/>
    <w:rsid w:val="3B8E3FC7"/>
    <w:rsid w:val="3B9960DB"/>
    <w:rsid w:val="3BAE6D5B"/>
    <w:rsid w:val="3BB255D5"/>
    <w:rsid w:val="3BC03AC5"/>
    <w:rsid w:val="3BC0E570"/>
    <w:rsid w:val="3BE137BE"/>
    <w:rsid w:val="3BEC5F29"/>
    <w:rsid w:val="3BF8502A"/>
    <w:rsid w:val="3C00C07A"/>
    <w:rsid w:val="3C0A7EB9"/>
    <w:rsid w:val="3C1BC191"/>
    <w:rsid w:val="3C2AD2F3"/>
    <w:rsid w:val="3C2E5D38"/>
    <w:rsid w:val="3C3C2CAF"/>
    <w:rsid w:val="3C4E1D51"/>
    <w:rsid w:val="3C623DAA"/>
    <w:rsid w:val="3C7521FE"/>
    <w:rsid w:val="3C837530"/>
    <w:rsid w:val="3C84FC1E"/>
    <w:rsid w:val="3C948672"/>
    <w:rsid w:val="3CA52F5B"/>
    <w:rsid w:val="3CD0DF83"/>
    <w:rsid w:val="3CD67752"/>
    <w:rsid w:val="3CD7AFA4"/>
    <w:rsid w:val="3CDFA7ED"/>
    <w:rsid w:val="3CE9A410"/>
    <w:rsid w:val="3CF76401"/>
    <w:rsid w:val="3CFFE9B2"/>
    <w:rsid w:val="3D2DE178"/>
    <w:rsid w:val="3D3633E4"/>
    <w:rsid w:val="3D37D56B"/>
    <w:rsid w:val="3D38ED8E"/>
    <w:rsid w:val="3D573E97"/>
    <w:rsid w:val="3D5C5BD4"/>
    <w:rsid w:val="3D5FBCDE"/>
    <w:rsid w:val="3D61B686"/>
    <w:rsid w:val="3D8D6624"/>
    <w:rsid w:val="3D95D203"/>
    <w:rsid w:val="3DA1304B"/>
    <w:rsid w:val="3DAC6A4D"/>
    <w:rsid w:val="3DB2A9DC"/>
    <w:rsid w:val="3DB30C36"/>
    <w:rsid w:val="3DB3CFB4"/>
    <w:rsid w:val="3DB6D6AB"/>
    <w:rsid w:val="3DC2998B"/>
    <w:rsid w:val="3DC50F17"/>
    <w:rsid w:val="3DF12CF3"/>
    <w:rsid w:val="3E157A89"/>
    <w:rsid w:val="3E212A22"/>
    <w:rsid w:val="3E2697A1"/>
    <w:rsid w:val="3E33F082"/>
    <w:rsid w:val="3E456D34"/>
    <w:rsid w:val="3E48FC4C"/>
    <w:rsid w:val="3E5B0910"/>
    <w:rsid w:val="3E8C41DD"/>
    <w:rsid w:val="3E8E247C"/>
    <w:rsid w:val="3E96DC66"/>
    <w:rsid w:val="3EA203C4"/>
    <w:rsid w:val="3EA2CE53"/>
    <w:rsid w:val="3EC2456E"/>
    <w:rsid w:val="3EC8323D"/>
    <w:rsid w:val="3EC8625C"/>
    <w:rsid w:val="3ECFDEE0"/>
    <w:rsid w:val="3EDA9C00"/>
    <w:rsid w:val="3EDDB922"/>
    <w:rsid w:val="3EE38784"/>
    <w:rsid w:val="3EE3C163"/>
    <w:rsid w:val="3EEDEABF"/>
    <w:rsid w:val="3EF17A0B"/>
    <w:rsid w:val="3F047A20"/>
    <w:rsid w:val="3F1950E7"/>
    <w:rsid w:val="3F2265D9"/>
    <w:rsid w:val="3F24007C"/>
    <w:rsid w:val="3F241184"/>
    <w:rsid w:val="3F3867FC"/>
    <w:rsid w:val="3F4321A8"/>
    <w:rsid w:val="3F4BEE24"/>
    <w:rsid w:val="3F6259FE"/>
    <w:rsid w:val="3F66F995"/>
    <w:rsid w:val="3F6BF888"/>
    <w:rsid w:val="3F6CE5E4"/>
    <w:rsid w:val="3F78D99E"/>
    <w:rsid w:val="3F8FCDEA"/>
    <w:rsid w:val="3F9A0CF7"/>
    <w:rsid w:val="3FA2181C"/>
    <w:rsid w:val="3FA945DE"/>
    <w:rsid w:val="3FBFFFF6"/>
    <w:rsid w:val="3FC728EB"/>
    <w:rsid w:val="3FDC9A69"/>
    <w:rsid w:val="3FE6FD8F"/>
    <w:rsid w:val="3FF6D9F0"/>
    <w:rsid w:val="3FFAE776"/>
    <w:rsid w:val="4001CBC3"/>
    <w:rsid w:val="40219ADE"/>
    <w:rsid w:val="402CC6A2"/>
    <w:rsid w:val="403D6DC2"/>
    <w:rsid w:val="40417199"/>
    <w:rsid w:val="40544163"/>
    <w:rsid w:val="4083A338"/>
    <w:rsid w:val="408FD40B"/>
    <w:rsid w:val="40A30C21"/>
    <w:rsid w:val="40A4B5D6"/>
    <w:rsid w:val="40B4448C"/>
    <w:rsid w:val="40CFCC68"/>
    <w:rsid w:val="40D20B5F"/>
    <w:rsid w:val="40DDAD22"/>
    <w:rsid w:val="40E0014B"/>
    <w:rsid w:val="410119E8"/>
    <w:rsid w:val="410C929D"/>
    <w:rsid w:val="410F09D9"/>
    <w:rsid w:val="4118BF4B"/>
    <w:rsid w:val="411A4E9A"/>
    <w:rsid w:val="411BD605"/>
    <w:rsid w:val="41577167"/>
    <w:rsid w:val="415B1813"/>
    <w:rsid w:val="415C2F7B"/>
    <w:rsid w:val="4174A028"/>
    <w:rsid w:val="41877AE2"/>
    <w:rsid w:val="4190A154"/>
    <w:rsid w:val="419FA871"/>
    <w:rsid w:val="41A17EEE"/>
    <w:rsid w:val="41B70F21"/>
    <w:rsid w:val="41C77159"/>
    <w:rsid w:val="41E068F8"/>
    <w:rsid w:val="41E7DE65"/>
    <w:rsid w:val="41F02AE7"/>
    <w:rsid w:val="420E09BC"/>
    <w:rsid w:val="4227158A"/>
    <w:rsid w:val="4227F445"/>
    <w:rsid w:val="4230CBD6"/>
    <w:rsid w:val="423A6206"/>
    <w:rsid w:val="423FAEA1"/>
    <w:rsid w:val="42560E41"/>
    <w:rsid w:val="4259E369"/>
    <w:rsid w:val="428E6961"/>
    <w:rsid w:val="428F6398"/>
    <w:rsid w:val="429C91A1"/>
    <w:rsid w:val="42A031C6"/>
    <w:rsid w:val="42A7D3CF"/>
    <w:rsid w:val="42B4B3B5"/>
    <w:rsid w:val="42BA8756"/>
    <w:rsid w:val="42BD9DFD"/>
    <w:rsid w:val="42C0E8F6"/>
    <w:rsid w:val="42C6194C"/>
    <w:rsid w:val="42DA3D10"/>
    <w:rsid w:val="42E608F3"/>
    <w:rsid w:val="42FA99AE"/>
    <w:rsid w:val="42FD4593"/>
    <w:rsid w:val="42FFB2E9"/>
    <w:rsid w:val="4332B797"/>
    <w:rsid w:val="43361C8F"/>
    <w:rsid w:val="4347386D"/>
    <w:rsid w:val="4350C93A"/>
    <w:rsid w:val="4352665B"/>
    <w:rsid w:val="435BA283"/>
    <w:rsid w:val="436462EE"/>
    <w:rsid w:val="436BED43"/>
    <w:rsid w:val="43806211"/>
    <w:rsid w:val="43890FB5"/>
    <w:rsid w:val="438F002F"/>
    <w:rsid w:val="43912540"/>
    <w:rsid w:val="43A8C065"/>
    <w:rsid w:val="43B12F47"/>
    <w:rsid w:val="43C3808A"/>
    <w:rsid w:val="43ED7054"/>
    <w:rsid w:val="441A7D3E"/>
    <w:rsid w:val="443F4F59"/>
    <w:rsid w:val="444B332D"/>
    <w:rsid w:val="445AAFAD"/>
    <w:rsid w:val="447BE7E1"/>
    <w:rsid w:val="44830C27"/>
    <w:rsid w:val="4491F0B3"/>
    <w:rsid w:val="44A4E2E1"/>
    <w:rsid w:val="44B5EE30"/>
    <w:rsid w:val="44B8A25E"/>
    <w:rsid w:val="44BA5AA1"/>
    <w:rsid w:val="44ED2A4E"/>
    <w:rsid w:val="44F72A08"/>
    <w:rsid w:val="451ECEE1"/>
    <w:rsid w:val="45332159"/>
    <w:rsid w:val="4538DBEC"/>
    <w:rsid w:val="454625E1"/>
    <w:rsid w:val="4558B461"/>
    <w:rsid w:val="455DCDE2"/>
    <w:rsid w:val="455E6587"/>
    <w:rsid w:val="456A319E"/>
    <w:rsid w:val="456EE21D"/>
    <w:rsid w:val="45759C47"/>
    <w:rsid w:val="45979CA0"/>
    <w:rsid w:val="459C27BE"/>
    <w:rsid w:val="459DD3DB"/>
    <w:rsid w:val="45BF3053"/>
    <w:rsid w:val="45CD0612"/>
    <w:rsid w:val="45CDD705"/>
    <w:rsid w:val="45E018B3"/>
    <w:rsid w:val="45E91F1C"/>
    <w:rsid w:val="45F53B92"/>
    <w:rsid w:val="45FA9ED7"/>
    <w:rsid w:val="460023D7"/>
    <w:rsid w:val="46093B5C"/>
    <w:rsid w:val="461266E2"/>
    <w:rsid w:val="4618D1D3"/>
    <w:rsid w:val="462DD672"/>
    <w:rsid w:val="463E89C7"/>
    <w:rsid w:val="4645BEE9"/>
    <w:rsid w:val="464C6620"/>
    <w:rsid w:val="464F56D3"/>
    <w:rsid w:val="4661DC72"/>
    <w:rsid w:val="4670CD21"/>
    <w:rsid w:val="4690DC62"/>
    <w:rsid w:val="4698F192"/>
    <w:rsid w:val="46A67571"/>
    <w:rsid w:val="46B13528"/>
    <w:rsid w:val="46C60E8E"/>
    <w:rsid w:val="46D242B2"/>
    <w:rsid w:val="46EF35F6"/>
    <w:rsid w:val="4700BF73"/>
    <w:rsid w:val="4701D9B0"/>
    <w:rsid w:val="47093FFA"/>
    <w:rsid w:val="471A534D"/>
    <w:rsid w:val="471A5B39"/>
    <w:rsid w:val="471D9C5B"/>
    <w:rsid w:val="471F019A"/>
    <w:rsid w:val="4731B802"/>
    <w:rsid w:val="4732968C"/>
    <w:rsid w:val="47760982"/>
    <w:rsid w:val="477EF36F"/>
    <w:rsid w:val="4789915C"/>
    <w:rsid w:val="47BAC425"/>
    <w:rsid w:val="47CE9796"/>
    <w:rsid w:val="47D27AA4"/>
    <w:rsid w:val="47DA5A28"/>
    <w:rsid w:val="47E54F21"/>
    <w:rsid w:val="47F3724A"/>
    <w:rsid w:val="48001519"/>
    <w:rsid w:val="48029D06"/>
    <w:rsid w:val="4823C7BF"/>
    <w:rsid w:val="48350FD6"/>
    <w:rsid w:val="48352857"/>
    <w:rsid w:val="4836CAA8"/>
    <w:rsid w:val="484E3833"/>
    <w:rsid w:val="4855D82B"/>
    <w:rsid w:val="485E131E"/>
    <w:rsid w:val="4868DD01"/>
    <w:rsid w:val="48704D76"/>
    <w:rsid w:val="48796065"/>
    <w:rsid w:val="487B6217"/>
    <w:rsid w:val="4892A6A2"/>
    <w:rsid w:val="48A23547"/>
    <w:rsid w:val="48A8C731"/>
    <w:rsid w:val="48A92D55"/>
    <w:rsid w:val="48AA9745"/>
    <w:rsid w:val="48ADD802"/>
    <w:rsid w:val="48B667B3"/>
    <w:rsid w:val="48BE6845"/>
    <w:rsid w:val="48BEFCA5"/>
    <w:rsid w:val="48D08EFD"/>
    <w:rsid w:val="48E42E4E"/>
    <w:rsid w:val="48F15EFA"/>
    <w:rsid w:val="49058A9C"/>
    <w:rsid w:val="4909B33B"/>
    <w:rsid w:val="49216CB3"/>
    <w:rsid w:val="4972ED69"/>
    <w:rsid w:val="49762A89"/>
    <w:rsid w:val="497B4441"/>
    <w:rsid w:val="49847C49"/>
    <w:rsid w:val="49863FE0"/>
    <w:rsid w:val="4989D36A"/>
    <w:rsid w:val="49916A30"/>
    <w:rsid w:val="49937083"/>
    <w:rsid w:val="499D5BA7"/>
    <w:rsid w:val="49AB7484"/>
    <w:rsid w:val="49BA1D81"/>
    <w:rsid w:val="49C36730"/>
    <w:rsid w:val="49D9B97F"/>
    <w:rsid w:val="49EC88AF"/>
    <w:rsid w:val="49F6FC3C"/>
    <w:rsid w:val="4A029CA3"/>
    <w:rsid w:val="4A052854"/>
    <w:rsid w:val="4A0E19B1"/>
    <w:rsid w:val="4A18A884"/>
    <w:rsid w:val="4A280B8F"/>
    <w:rsid w:val="4A574EE9"/>
    <w:rsid w:val="4A647B43"/>
    <w:rsid w:val="4A75BF06"/>
    <w:rsid w:val="4A7870EB"/>
    <w:rsid w:val="4A792C99"/>
    <w:rsid w:val="4A83EF61"/>
    <w:rsid w:val="4AA2DB4C"/>
    <w:rsid w:val="4AA5B489"/>
    <w:rsid w:val="4AA8B333"/>
    <w:rsid w:val="4AB538D9"/>
    <w:rsid w:val="4ABB29CE"/>
    <w:rsid w:val="4ACD6095"/>
    <w:rsid w:val="4AE91104"/>
    <w:rsid w:val="4AF76672"/>
    <w:rsid w:val="4AFB1B45"/>
    <w:rsid w:val="4B11FAEA"/>
    <w:rsid w:val="4B145C7F"/>
    <w:rsid w:val="4B1D1C4B"/>
    <w:rsid w:val="4B235E1C"/>
    <w:rsid w:val="4B24C79C"/>
    <w:rsid w:val="4B2863C7"/>
    <w:rsid w:val="4B36C453"/>
    <w:rsid w:val="4B61608B"/>
    <w:rsid w:val="4B6786F7"/>
    <w:rsid w:val="4B7B8E8A"/>
    <w:rsid w:val="4B7F269A"/>
    <w:rsid w:val="4B8619DF"/>
    <w:rsid w:val="4B862CDE"/>
    <w:rsid w:val="4BA0CEC5"/>
    <w:rsid w:val="4BA9EBE0"/>
    <w:rsid w:val="4BBA22DE"/>
    <w:rsid w:val="4C1E0119"/>
    <w:rsid w:val="4C2B926E"/>
    <w:rsid w:val="4C2FACD6"/>
    <w:rsid w:val="4C55CDB4"/>
    <w:rsid w:val="4C7C5A95"/>
    <w:rsid w:val="4C7FBDB7"/>
    <w:rsid w:val="4C8F6EFB"/>
    <w:rsid w:val="4C94B30B"/>
    <w:rsid w:val="4CA66656"/>
    <w:rsid w:val="4CAB6C43"/>
    <w:rsid w:val="4CBFFA6E"/>
    <w:rsid w:val="4CE92CE2"/>
    <w:rsid w:val="4CF0C58D"/>
    <w:rsid w:val="4CFC9FD0"/>
    <w:rsid w:val="4D001DE6"/>
    <w:rsid w:val="4D33BFDD"/>
    <w:rsid w:val="4D439D7A"/>
    <w:rsid w:val="4D44DC96"/>
    <w:rsid w:val="4D5E9741"/>
    <w:rsid w:val="4D686FD3"/>
    <w:rsid w:val="4D6FD65E"/>
    <w:rsid w:val="4D788AD8"/>
    <w:rsid w:val="4DB113F0"/>
    <w:rsid w:val="4DC6C3BD"/>
    <w:rsid w:val="4DD15EA2"/>
    <w:rsid w:val="4DE15E5F"/>
    <w:rsid w:val="4DE57C99"/>
    <w:rsid w:val="4DF1567B"/>
    <w:rsid w:val="4E00B5B5"/>
    <w:rsid w:val="4E252B9D"/>
    <w:rsid w:val="4E26ABAA"/>
    <w:rsid w:val="4E44C931"/>
    <w:rsid w:val="4E563306"/>
    <w:rsid w:val="4E60F612"/>
    <w:rsid w:val="4E78EDEA"/>
    <w:rsid w:val="4ECA9357"/>
    <w:rsid w:val="4ED20CCF"/>
    <w:rsid w:val="4ED617B0"/>
    <w:rsid w:val="4F0A1E01"/>
    <w:rsid w:val="4F18E60C"/>
    <w:rsid w:val="4F2D5233"/>
    <w:rsid w:val="4F610A84"/>
    <w:rsid w:val="4F6BBCC3"/>
    <w:rsid w:val="4F6CF4D3"/>
    <w:rsid w:val="4FAD35D2"/>
    <w:rsid w:val="4FB20FC0"/>
    <w:rsid w:val="4FC305A8"/>
    <w:rsid w:val="4FC4A4D5"/>
    <w:rsid w:val="4FC4E366"/>
    <w:rsid w:val="4FE4ED81"/>
    <w:rsid w:val="500537F0"/>
    <w:rsid w:val="501CF682"/>
    <w:rsid w:val="502AE90C"/>
    <w:rsid w:val="5051FDF5"/>
    <w:rsid w:val="5056738F"/>
    <w:rsid w:val="50694CC3"/>
    <w:rsid w:val="507CB540"/>
    <w:rsid w:val="50A644E8"/>
    <w:rsid w:val="50AD6AD6"/>
    <w:rsid w:val="50D42D92"/>
    <w:rsid w:val="50D60F02"/>
    <w:rsid w:val="50E4E8FF"/>
    <w:rsid w:val="50F179ED"/>
    <w:rsid w:val="510A78A3"/>
    <w:rsid w:val="51129CF5"/>
    <w:rsid w:val="511E5EBB"/>
    <w:rsid w:val="512B5F03"/>
    <w:rsid w:val="5135B696"/>
    <w:rsid w:val="51385677"/>
    <w:rsid w:val="513922DE"/>
    <w:rsid w:val="5154FE20"/>
    <w:rsid w:val="5173895E"/>
    <w:rsid w:val="51754655"/>
    <w:rsid w:val="517C6241"/>
    <w:rsid w:val="51815D13"/>
    <w:rsid w:val="51C28ED0"/>
    <w:rsid w:val="51CB238A"/>
    <w:rsid w:val="51FB7439"/>
    <w:rsid w:val="51FBE746"/>
    <w:rsid w:val="520674C1"/>
    <w:rsid w:val="52107F6F"/>
    <w:rsid w:val="52130BD1"/>
    <w:rsid w:val="521FEC7A"/>
    <w:rsid w:val="522EA7CD"/>
    <w:rsid w:val="5240037A"/>
    <w:rsid w:val="52566E44"/>
    <w:rsid w:val="5257093E"/>
    <w:rsid w:val="52729773"/>
    <w:rsid w:val="5280E971"/>
    <w:rsid w:val="5293DB46"/>
    <w:rsid w:val="52A3E06F"/>
    <w:rsid w:val="52A6FCFB"/>
    <w:rsid w:val="52A7E1E5"/>
    <w:rsid w:val="52B59422"/>
    <w:rsid w:val="52B85076"/>
    <w:rsid w:val="52C1527B"/>
    <w:rsid w:val="52C4F113"/>
    <w:rsid w:val="52C6E47D"/>
    <w:rsid w:val="52CDDDA0"/>
    <w:rsid w:val="52E5758A"/>
    <w:rsid w:val="52FEE8CD"/>
    <w:rsid w:val="531DD245"/>
    <w:rsid w:val="5323A25C"/>
    <w:rsid w:val="5333381D"/>
    <w:rsid w:val="53344121"/>
    <w:rsid w:val="53483940"/>
    <w:rsid w:val="534E3980"/>
    <w:rsid w:val="534E47B1"/>
    <w:rsid w:val="53517164"/>
    <w:rsid w:val="5357FD5E"/>
    <w:rsid w:val="535A0186"/>
    <w:rsid w:val="536381F3"/>
    <w:rsid w:val="536813C7"/>
    <w:rsid w:val="537CC694"/>
    <w:rsid w:val="5387C669"/>
    <w:rsid w:val="5388EA2A"/>
    <w:rsid w:val="53913189"/>
    <w:rsid w:val="53A4598E"/>
    <w:rsid w:val="53A8FE59"/>
    <w:rsid w:val="53AAB660"/>
    <w:rsid w:val="53BE63F5"/>
    <w:rsid w:val="53C2332E"/>
    <w:rsid w:val="53C9BCA6"/>
    <w:rsid w:val="53D46CA8"/>
    <w:rsid w:val="53D6C753"/>
    <w:rsid w:val="53E58126"/>
    <w:rsid w:val="5408D802"/>
    <w:rsid w:val="540CC787"/>
    <w:rsid w:val="54247DC0"/>
    <w:rsid w:val="542E96BF"/>
    <w:rsid w:val="542FE68F"/>
    <w:rsid w:val="543E998E"/>
    <w:rsid w:val="54400EF0"/>
    <w:rsid w:val="544586FE"/>
    <w:rsid w:val="544FDF58"/>
    <w:rsid w:val="548C66C1"/>
    <w:rsid w:val="54E03B51"/>
    <w:rsid w:val="54E14E3D"/>
    <w:rsid w:val="55232F34"/>
    <w:rsid w:val="552C1F37"/>
    <w:rsid w:val="552DCF6E"/>
    <w:rsid w:val="553FD7E0"/>
    <w:rsid w:val="5540C124"/>
    <w:rsid w:val="5547FFF2"/>
    <w:rsid w:val="55599026"/>
    <w:rsid w:val="555DD09B"/>
    <w:rsid w:val="55657EEB"/>
    <w:rsid w:val="55754714"/>
    <w:rsid w:val="5584BDF1"/>
    <w:rsid w:val="559580D1"/>
    <w:rsid w:val="559D114D"/>
    <w:rsid w:val="55B3490C"/>
    <w:rsid w:val="55B7F116"/>
    <w:rsid w:val="55CC0EC1"/>
    <w:rsid w:val="55CFBD1B"/>
    <w:rsid w:val="55D30FDA"/>
    <w:rsid w:val="55DD5EF2"/>
    <w:rsid w:val="55E58978"/>
    <w:rsid w:val="55E6C072"/>
    <w:rsid w:val="55FC5B00"/>
    <w:rsid w:val="5609049F"/>
    <w:rsid w:val="5617AC9D"/>
    <w:rsid w:val="561BEF31"/>
    <w:rsid w:val="562E5723"/>
    <w:rsid w:val="56768E18"/>
    <w:rsid w:val="56779FA9"/>
    <w:rsid w:val="5678E387"/>
    <w:rsid w:val="56952F63"/>
    <w:rsid w:val="569D6B0F"/>
    <w:rsid w:val="56A21C8B"/>
    <w:rsid w:val="56AA53D3"/>
    <w:rsid w:val="56C03A3B"/>
    <w:rsid w:val="56D0751E"/>
    <w:rsid w:val="571DCB1A"/>
    <w:rsid w:val="573E8DFB"/>
    <w:rsid w:val="5747E613"/>
    <w:rsid w:val="574D7A16"/>
    <w:rsid w:val="575B997F"/>
    <w:rsid w:val="57953BDD"/>
    <w:rsid w:val="5795C2EC"/>
    <w:rsid w:val="579B74DD"/>
    <w:rsid w:val="579E0EEA"/>
    <w:rsid w:val="57AB7FB2"/>
    <w:rsid w:val="57B0DF52"/>
    <w:rsid w:val="57C40DCE"/>
    <w:rsid w:val="57C7075D"/>
    <w:rsid w:val="57D3D0D6"/>
    <w:rsid w:val="57D8B825"/>
    <w:rsid w:val="57E35E91"/>
    <w:rsid w:val="57F49A6C"/>
    <w:rsid w:val="58047915"/>
    <w:rsid w:val="5818F107"/>
    <w:rsid w:val="582D72A9"/>
    <w:rsid w:val="584F4266"/>
    <w:rsid w:val="58551651"/>
    <w:rsid w:val="5860777B"/>
    <w:rsid w:val="58642888"/>
    <w:rsid w:val="5868CF60"/>
    <w:rsid w:val="5878BDD7"/>
    <w:rsid w:val="587B715F"/>
    <w:rsid w:val="587FC3CB"/>
    <w:rsid w:val="58892C71"/>
    <w:rsid w:val="5894F03C"/>
    <w:rsid w:val="58B0DB06"/>
    <w:rsid w:val="58BCF60C"/>
    <w:rsid w:val="58CB7678"/>
    <w:rsid w:val="58D99682"/>
    <w:rsid w:val="58DB67D5"/>
    <w:rsid w:val="58E2C2DB"/>
    <w:rsid w:val="58EFB7AF"/>
    <w:rsid w:val="58F466DB"/>
    <w:rsid w:val="58F52A20"/>
    <w:rsid w:val="58F969CE"/>
    <w:rsid w:val="590C92AD"/>
    <w:rsid w:val="5925B306"/>
    <w:rsid w:val="59383B64"/>
    <w:rsid w:val="594CE253"/>
    <w:rsid w:val="594E96E6"/>
    <w:rsid w:val="59646043"/>
    <w:rsid w:val="596FEA0F"/>
    <w:rsid w:val="597E0068"/>
    <w:rsid w:val="598F48AD"/>
    <w:rsid w:val="59AAFA8F"/>
    <w:rsid w:val="59CC1787"/>
    <w:rsid w:val="59CD76FD"/>
    <w:rsid w:val="59F85E49"/>
    <w:rsid w:val="5A06A6AA"/>
    <w:rsid w:val="5A0CAB8D"/>
    <w:rsid w:val="5A166377"/>
    <w:rsid w:val="5A192C4B"/>
    <w:rsid w:val="5A1F2E4B"/>
    <w:rsid w:val="5A395EDA"/>
    <w:rsid w:val="5A399692"/>
    <w:rsid w:val="5A3EA338"/>
    <w:rsid w:val="5A3FEBEB"/>
    <w:rsid w:val="5A57CC7C"/>
    <w:rsid w:val="5A7127DA"/>
    <w:rsid w:val="5A7DBCF9"/>
    <w:rsid w:val="5A997003"/>
    <w:rsid w:val="5ACA7661"/>
    <w:rsid w:val="5ACBED27"/>
    <w:rsid w:val="5AF6EEE2"/>
    <w:rsid w:val="5AF8A411"/>
    <w:rsid w:val="5B0B9789"/>
    <w:rsid w:val="5B0DC68C"/>
    <w:rsid w:val="5B376207"/>
    <w:rsid w:val="5B3EE054"/>
    <w:rsid w:val="5B42A156"/>
    <w:rsid w:val="5B42B8D2"/>
    <w:rsid w:val="5B4E7C60"/>
    <w:rsid w:val="5B53ED7C"/>
    <w:rsid w:val="5B73EF88"/>
    <w:rsid w:val="5B7889F7"/>
    <w:rsid w:val="5BABDB5A"/>
    <w:rsid w:val="5BAC1879"/>
    <w:rsid w:val="5BB40E40"/>
    <w:rsid w:val="5BD265A0"/>
    <w:rsid w:val="5BFBF6B7"/>
    <w:rsid w:val="5C0610A1"/>
    <w:rsid w:val="5C0EAFEB"/>
    <w:rsid w:val="5C30A7F1"/>
    <w:rsid w:val="5C356312"/>
    <w:rsid w:val="5C44CCEF"/>
    <w:rsid w:val="5C49EE9E"/>
    <w:rsid w:val="5C54D1C7"/>
    <w:rsid w:val="5C59131D"/>
    <w:rsid w:val="5C5AAA86"/>
    <w:rsid w:val="5C5AC462"/>
    <w:rsid w:val="5C73C379"/>
    <w:rsid w:val="5C75FF9A"/>
    <w:rsid w:val="5C78C359"/>
    <w:rsid w:val="5C8D15D1"/>
    <w:rsid w:val="5CAE12DE"/>
    <w:rsid w:val="5CBB4851"/>
    <w:rsid w:val="5CC62597"/>
    <w:rsid w:val="5CFBAAB8"/>
    <w:rsid w:val="5D08A83E"/>
    <w:rsid w:val="5D12C614"/>
    <w:rsid w:val="5D1E2F36"/>
    <w:rsid w:val="5D62E616"/>
    <w:rsid w:val="5D66C248"/>
    <w:rsid w:val="5D755B2C"/>
    <w:rsid w:val="5D7973FB"/>
    <w:rsid w:val="5D8B73BA"/>
    <w:rsid w:val="5D9D5A16"/>
    <w:rsid w:val="5DDF5871"/>
    <w:rsid w:val="5E0A322F"/>
    <w:rsid w:val="5E0DD7AF"/>
    <w:rsid w:val="5E129F40"/>
    <w:rsid w:val="5E25BE02"/>
    <w:rsid w:val="5E3C7A82"/>
    <w:rsid w:val="5E3CEA5B"/>
    <w:rsid w:val="5E4CEB54"/>
    <w:rsid w:val="5E57C9C4"/>
    <w:rsid w:val="5E5D308A"/>
    <w:rsid w:val="5E6129AC"/>
    <w:rsid w:val="5E74AF3D"/>
    <w:rsid w:val="5E8804D7"/>
    <w:rsid w:val="5E8E57A1"/>
    <w:rsid w:val="5E9023FE"/>
    <w:rsid w:val="5EC0A3A5"/>
    <w:rsid w:val="5EC6F6EB"/>
    <w:rsid w:val="5EC8A211"/>
    <w:rsid w:val="5ED022BF"/>
    <w:rsid w:val="5EF62FD5"/>
    <w:rsid w:val="5F03174A"/>
    <w:rsid w:val="5F0465DB"/>
    <w:rsid w:val="5F091562"/>
    <w:rsid w:val="5F0D36C0"/>
    <w:rsid w:val="5F2BBEBD"/>
    <w:rsid w:val="5F66289E"/>
    <w:rsid w:val="5F7D02D7"/>
    <w:rsid w:val="5F7E374B"/>
    <w:rsid w:val="5F7E6F2B"/>
    <w:rsid w:val="5F7F0102"/>
    <w:rsid w:val="5F82D4A7"/>
    <w:rsid w:val="5F858B10"/>
    <w:rsid w:val="5F993D87"/>
    <w:rsid w:val="5FA1CF0C"/>
    <w:rsid w:val="5FAA28D2"/>
    <w:rsid w:val="5FAFA8FA"/>
    <w:rsid w:val="5FB1E028"/>
    <w:rsid w:val="5FB64A27"/>
    <w:rsid w:val="5FB6DF78"/>
    <w:rsid w:val="5FF75B99"/>
    <w:rsid w:val="5FFC6EBA"/>
    <w:rsid w:val="600D8DB0"/>
    <w:rsid w:val="601EE463"/>
    <w:rsid w:val="601F1DB1"/>
    <w:rsid w:val="602B19FF"/>
    <w:rsid w:val="602B9E88"/>
    <w:rsid w:val="6038DDA5"/>
    <w:rsid w:val="603FD8C7"/>
    <w:rsid w:val="6050E3E2"/>
    <w:rsid w:val="6061759D"/>
    <w:rsid w:val="6079A277"/>
    <w:rsid w:val="60897EE9"/>
    <w:rsid w:val="60CDC818"/>
    <w:rsid w:val="60D29960"/>
    <w:rsid w:val="60E03744"/>
    <w:rsid w:val="60E2C1C7"/>
    <w:rsid w:val="60F0B6A7"/>
    <w:rsid w:val="60F93BF8"/>
    <w:rsid w:val="611C1263"/>
    <w:rsid w:val="6125C69C"/>
    <w:rsid w:val="61318C56"/>
    <w:rsid w:val="61332E2C"/>
    <w:rsid w:val="614B65CA"/>
    <w:rsid w:val="615C61DD"/>
    <w:rsid w:val="61602DE2"/>
    <w:rsid w:val="616E7CFC"/>
    <w:rsid w:val="61720C7A"/>
    <w:rsid w:val="61722727"/>
    <w:rsid w:val="61745748"/>
    <w:rsid w:val="6193060E"/>
    <w:rsid w:val="61AF35BF"/>
    <w:rsid w:val="61AF3BC4"/>
    <w:rsid w:val="61B1F3F3"/>
    <w:rsid w:val="61DC7731"/>
    <w:rsid w:val="61EBC19F"/>
    <w:rsid w:val="61F7EE30"/>
    <w:rsid w:val="6222304A"/>
    <w:rsid w:val="6222D0B1"/>
    <w:rsid w:val="62266BAE"/>
    <w:rsid w:val="622967BE"/>
    <w:rsid w:val="6238EF15"/>
    <w:rsid w:val="623E5F04"/>
    <w:rsid w:val="6240323B"/>
    <w:rsid w:val="6242CD5F"/>
    <w:rsid w:val="6245988F"/>
    <w:rsid w:val="627E9228"/>
    <w:rsid w:val="6284E041"/>
    <w:rsid w:val="62C8AA92"/>
    <w:rsid w:val="62D8FD82"/>
    <w:rsid w:val="6307FF51"/>
    <w:rsid w:val="632830B4"/>
    <w:rsid w:val="632ED861"/>
    <w:rsid w:val="63452C95"/>
    <w:rsid w:val="63500C2B"/>
    <w:rsid w:val="63543B0F"/>
    <w:rsid w:val="6359933E"/>
    <w:rsid w:val="6368883C"/>
    <w:rsid w:val="63754EBF"/>
    <w:rsid w:val="637A9D3E"/>
    <w:rsid w:val="638D70BA"/>
    <w:rsid w:val="63A97A89"/>
    <w:rsid w:val="63BEDC93"/>
    <w:rsid w:val="63C52ECF"/>
    <w:rsid w:val="63D1B153"/>
    <w:rsid w:val="63D4445F"/>
    <w:rsid w:val="63E65662"/>
    <w:rsid w:val="63EE2D20"/>
    <w:rsid w:val="641A6289"/>
    <w:rsid w:val="6425FEE8"/>
    <w:rsid w:val="6448191A"/>
    <w:rsid w:val="644FCE79"/>
    <w:rsid w:val="64597D48"/>
    <w:rsid w:val="646160A7"/>
    <w:rsid w:val="6474932C"/>
    <w:rsid w:val="6482734B"/>
    <w:rsid w:val="6488402E"/>
    <w:rsid w:val="64A51879"/>
    <w:rsid w:val="64A9AD3C"/>
    <w:rsid w:val="64AB9A34"/>
    <w:rsid w:val="64C1EFAB"/>
    <w:rsid w:val="64D4A0C1"/>
    <w:rsid w:val="64DE3F3C"/>
    <w:rsid w:val="64E77CC1"/>
    <w:rsid w:val="64F8E055"/>
    <w:rsid w:val="64FC07EC"/>
    <w:rsid w:val="6504B053"/>
    <w:rsid w:val="650EF2AC"/>
    <w:rsid w:val="651A5A4D"/>
    <w:rsid w:val="651D3529"/>
    <w:rsid w:val="6523B673"/>
    <w:rsid w:val="652B241C"/>
    <w:rsid w:val="65310C73"/>
    <w:rsid w:val="654D0137"/>
    <w:rsid w:val="654F6DBB"/>
    <w:rsid w:val="6578EA63"/>
    <w:rsid w:val="65A9E596"/>
    <w:rsid w:val="65B89AC3"/>
    <w:rsid w:val="65B99988"/>
    <w:rsid w:val="65BC3274"/>
    <w:rsid w:val="65CBAC4B"/>
    <w:rsid w:val="65CF69A6"/>
    <w:rsid w:val="65DCBDDB"/>
    <w:rsid w:val="65FDD09C"/>
    <w:rsid w:val="6600D196"/>
    <w:rsid w:val="66099CCB"/>
    <w:rsid w:val="661D4D5F"/>
    <w:rsid w:val="662ED3E3"/>
    <w:rsid w:val="666E65E0"/>
    <w:rsid w:val="667A4111"/>
    <w:rsid w:val="668D0A82"/>
    <w:rsid w:val="6693965F"/>
    <w:rsid w:val="669BDA80"/>
    <w:rsid w:val="66A1D1C5"/>
    <w:rsid w:val="66A4076C"/>
    <w:rsid w:val="66A8E70B"/>
    <w:rsid w:val="66AD16C3"/>
    <w:rsid w:val="66BF46AA"/>
    <w:rsid w:val="66C21CBF"/>
    <w:rsid w:val="66F94452"/>
    <w:rsid w:val="66FC2630"/>
    <w:rsid w:val="6705AD95"/>
    <w:rsid w:val="670ED5BB"/>
    <w:rsid w:val="670FBC0D"/>
    <w:rsid w:val="672B135F"/>
    <w:rsid w:val="672D0F4F"/>
    <w:rsid w:val="674A5B41"/>
    <w:rsid w:val="674AA1B9"/>
    <w:rsid w:val="6754660D"/>
    <w:rsid w:val="67634502"/>
    <w:rsid w:val="6770AC13"/>
    <w:rsid w:val="677C80F7"/>
    <w:rsid w:val="6780FF51"/>
    <w:rsid w:val="6783D453"/>
    <w:rsid w:val="67A89B48"/>
    <w:rsid w:val="67ADFCDC"/>
    <w:rsid w:val="67C5A94B"/>
    <w:rsid w:val="67D33672"/>
    <w:rsid w:val="67DB937B"/>
    <w:rsid w:val="67F68C79"/>
    <w:rsid w:val="67F73BF3"/>
    <w:rsid w:val="67FC148A"/>
    <w:rsid w:val="67FDD000"/>
    <w:rsid w:val="6804277A"/>
    <w:rsid w:val="680660A1"/>
    <w:rsid w:val="680AB07A"/>
    <w:rsid w:val="68104843"/>
    <w:rsid w:val="6829D3B0"/>
    <w:rsid w:val="684249CB"/>
    <w:rsid w:val="68430D95"/>
    <w:rsid w:val="68473F99"/>
    <w:rsid w:val="6859002A"/>
    <w:rsid w:val="685FADA8"/>
    <w:rsid w:val="686E933E"/>
    <w:rsid w:val="687AA5B3"/>
    <w:rsid w:val="687DDE00"/>
    <w:rsid w:val="688591EB"/>
    <w:rsid w:val="689209E0"/>
    <w:rsid w:val="68A58835"/>
    <w:rsid w:val="68B11A59"/>
    <w:rsid w:val="68BD5E39"/>
    <w:rsid w:val="68BDD13E"/>
    <w:rsid w:val="68C5D8E9"/>
    <w:rsid w:val="68CCFA15"/>
    <w:rsid w:val="68D27B95"/>
    <w:rsid w:val="68EDD3AC"/>
    <w:rsid w:val="68F44D15"/>
    <w:rsid w:val="692AD4D4"/>
    <w:rsid w:val="692DB269"/>
    <w:rsid w:val="6945F8B4"/>
    <w:rsid w:val="69468B19"/>
    <w:rsid w:val="69862782"/>
    <w:rsid w:val="6986B9FD"/>
    <w:rsid w:val="69BC4323"/>
    <w:rsid w:val="69C8BED0"/>
    <w:rsid w:val="69CE1A27"/>
    <w:rsid w:val="69D098DB"/>
    <w:rsid w:val="69D62FFA"/>
    <w:rsid w:val="69E7545A"/>
    <w:rsid w:val="69E7D5C3"/>
    <w:rsid w:val="69EBECF4"/>
    <w:rsid w:val="69F8F889"/>
    <w:rsid w:val="6A0C043C"/>
    <w:rsid w:val="6A378015"/>
    <w:rsid w:val="6A3A78DE"/>
    <w:rsid w:val="6A50FC30"/>
    <w:rsid w:val="6A51FFB1"/>
    <w:rsid w:val="6A635947"/>
    <w:rsid w:val="6A879353"/>
    <w:rsid w:val="6A8D44BA"/>
    <w:rsid w:val="6A8D75E7"/>
    <w:rsid w:val="6A9EED28"/>
    <w:rsid w:val="6AA5F513"/>
    <w:rsid w:val="6AC0A37E"/>
    <w:rsid w:val="6AC81B86"/>
    <w:rsid w:val="6ACA0CA0"/>
    <w:rsid w:val="6ACB5A66"/>
    <w:rsid w:val="6ADAA46E"/>
    <w:rsid w:val="6AF1316D"/>
    <w:rsid w:val="6AF624A7"/>
    <w:rsid w:val="6B10FFE8"/>
    <w:rsid w:val="6B34B623"/>
    <w:rsid w:val="6B5EA9B6"/>
    <w:rsid w:val="6B674FF6"/>
    <w:rsid w:val="6B78696D"/>
    <w:rsid w:val="6B813B54"/>
    <w:rsid w:val="6B93D8C0"/>
    <w:rsid w:val="6BB1CCF9"/>
    <w:rsid w:val="6BB24675"/>
    <w:rsid w:val="6BBDA025"/>
    <w:rsid w:val="6BDF9382"/>
    <w:rsid w:val="6BF23D87"/>
    <w:rsid w:val="6C05B70B"/>
    <w:rsid w:val="6C0DA21C"/>
    <w:rsid w:val="6C2A3F42"/>
    <w:rsid w:val="6C3CFE00"/>
    <w:rsid w:val="6C3E458B"/>
    <w:rsid w:val="6C46B8FE"/>
    <w:rsid w:val="6C559429"/>
    <w:rsid w:val="6C571CF1"/>
    <w:rsid w:val="6C584688"/>
    <w:rsid w:val="6C780F81"/>
    <w:rsid w:val="6C7D9976"/>
    <w:rsid w:val="6C80310D"/>
    <w:rsid w:val="6C844AE3"/>
    <w:rsid w:val="6C8E7DA2"/>
    <w:rsid w:val="6C97E1E0"/>
    <w:rsid w:val="6CABF23F"/>
    <w:rsid w:val="6CBE55F2"/>
    <w:rsid w:val="6CCDFE44"/>
    <w:rsid w:val="6CCE86DE"/>
    <w:rsid w:val="6CD2E064"/>
    <w:rsid w:val="6CFF3442"/>
    <w:rsid w:val="6D193761"/>
    <w:rsid w:val="6D2A19C4"/>
    <w:rsid w:val="6D35F49B"/>
    <w:rsid w:val="6D69C19D"/>
    <w:rsid w:val="6D6EE135"/>
    <w:rsid w:val="6D79667C"/>
    <w:rsid w:val="6D7BAB76"/>
    <w:rsid w:val="6D82928C"/>
    <w:rsid w:val="6D8D374E"/>
    <w:rsid w:val="6DACCA61"/>
    <w:rsid w:val="6DC6AB1B"/>
    <w:rsid w:val="6DD25827"/>
    <w:rsid w:val="6DDF5A30"/>
    <w:rsid w:val="6DF11B6B"/>
    <w:rsid w:val="6E020C0C"/>
    <w:rsid w:val="6E031AB4"/>
    <w:rsid w:val="6E0E1D6E"/>
    <w:rsid w:val="6E1243FA"/>
    <w:rsid w:val="6E155E34"/>
    <w:rsid w:val="6E1969D7"/>
    <w:rsid w:val="6E24FC5E"/>
    <w:rsid w:val="6E2665DB"/>
    <w:rsid w:val="6E47932E"/>
    <w:rsid w:val="6E6263C6"/>
    <w:rsid w:val="6E659ED4"/>
    <w:rsid w:val="6E7C4CBA"/>
    <w:rsid w:val="6E8364AB"/>
    <w:rsid w:val="6E9C8300"/>
    <w:rsid w:val="6EA5BB2C"/>
    <w:rsid w:val="6EC841AE"/>
    <w:rsid w:val="6EE6D523"/>
    <w:rsid w:val="6EEE4582"/>
    <w:rsid w:val="6F080EC2"/>
    <w:rsid w:val="6F1418EC"/>
    <w:rsid w:val="6F2692D0"/>
    <w:rsid w:val="6F31BC07"/>
    <w:rsid w:val="6F32C76F"/>
    <w:rsid w:val="6F3B322B"/>
    <w:rsid w:val="6F427E6A"/>
    <w:rsid w:val="6F493E16"/>
    <w:rsid w:val="6F4A48E0"/>
    <w:rsid w:val="6F55779C"/>
    <w:rsid w:val="6F7ADD5F"/>
    <w:rsid w:val="6F886757"/>
    <w:rsid w:val="6F8B303C"/>
    <w:rsid w:val="6F90B4AC"/>
    <w:rsid w:val="6FCEB095"/>
    <w:rsid w:val="6FDAA812"/>
    <w:rsid w:val="6FDF83BB"/>
    <w:rsid w:val="6FFD824A"/>
    <w:rsid w:val="700069C0"/>
    <w:rsid w:val="7001ECC7"/>
    <w:rsid w:val="70284465"/>
    <w:rsid w:val="70429A04"/>
    <w:rsid w:val="705B2E78"/>
    <w:rsid w:val="70617387"/>
    <w:rsid w:val="70800EFF"/>
    <w:rsid w:val="708FECEE"/>
    <w:rsid w:val="7099EB0E"/>
    <w:rsid w:val="70B692B0"/>
    <w:rsid w:val="70C19471"/>
    <w:rsid w:val="70CB566F"/>
    <w:rsid w:val="70E1F0A8"/>
    <w:rsid w:val="70F8EFBC"/>
    <w:rsid w:val="7100FE5A"/>
    <w:rsid w:val="712ED96E"/>
    <w:rsid w:val="715329C2"/>
    <w:rsid w:val="716273E2"/>
    <w:rsid w:val="716C7F35"/>
    <w:rsid w:val="719756DA"/>
    <w:rsid w:val="71A5ED3B"/>
    <w:rsid w:val="71AC7F93"/>
    <w:rsid w:val="71AD823E"/>
    <w:rsid w:val="71C90B00"/>
    <w:rsid w:val="71D5B20D"/>
    <w:rsid w:val="71D62EF5"/>
    <w:rsid w:val="71DE4F02"/>
    <w:rsid w:val="71F1DA88"/>
    <w:rsid w:val="71FA63C3"/>
    <w:rsid w:val="720FE753"/>
    <w:rsid w:val="721954A6"/>
    <w:rsid w:val="72420A77"/>
    <w:rsid w:val="724C9C7B"/>
    <w:rsid w:val="72658598"/>
    <w:rsid w:val="7273438E"/>
    <w:rsid w:val="728D095F"/>
    <w:rsid w:val="72B88222"/>
    <w:rsid w:val="72C87D83"/>
    <w:rsid w:val="72D6F86B"/>
    <w:rsid w:val="72DC83FA"/>
    <w:rsid w:val="72E0DAE4"/>
    <w:rsid w:val="72F0FEE8"/>
    <w:rsid w:val="72FB6892"/>
    <w:rsid w:val="72FC7EBB"/>
    <w:rsid w:val="73099ABF"/>
    <w:rsid w:val="7311A271"/>
    <w:rsid w:val="733261D8"/>
    <w:rsid w:val="73379860"/>
    <w:rsid w:val="7353D26F"/>
    <w:rsid w:val="7366586F"/>
    <w:rsid w:val="7378F383"/>
    <w:rsid w:val="737E6B09"/>
    <w:rsid w:val="73803799"/>
    <w:rsid w:val="739B3A15"/>
    <w:rsid w:val="73A2EFD2"/>
    <w:rsid w:val="73A3290D"/>
    <w:rsid w:val="73B2FD33"/>
    <w:rsid w:val="73BFDE74"/>
    <w:rsid w:val="73F4F62A"/>
    <w:rsid w:val="73F81718"/>
    <w:rsid w:val="740241A5"/>
    <w:rsid w:val="7409B57E"/>
    <w:rsid w:val="7428D72A"/>
    <w:rsid w:val="74421FF5"/>
    <w:rsid w:val="7457A7C7"/>
    <w:rsid w:val="746F8CFC"/>
    <w:rsid w:val="7498ADDA"/>
    <w:rsid w:val="749E7BBC"/>
    <w:rsid w:val="74C8A09A"/>
    <w:rsid w:val="74E66653"/>
    <w:rsid w:val="74EED353"/>
    <w:rsid w:val="7503C536"/>
    <w:rsid w:val="751646D6"/>
    <w:rsid w:val="7518CD2E"/>
    <w:rsid w:val="7521EB83"/>
    <w:rsid w:val="754A78C0"/>
    <w:rsid w:val="755AE78D"/>
    <w:rsid w:val="75624780"/>
    <w:rsid w:val="7569825D"/>
    <w:rsid w:val="756BECCF"/>
    <w:rsid w:val="757B6B13"/>
    <w:rsid w:val="757B7A07"/>
    <w:rsid w:val="757B8911"/>
    <w:rsid w:val="757E0845"/>
    <w:rsid w:val="7586B4F1"/>
    <w:rsid w:val="75875A2F"/>
    <w:rsid w:val="758EDBA4"/>
    <w:rsid w:val="75953025"/>
    <w:rsid w:val="759D26DA"/>
    <w:rsid w:val="759D60F4"/>
    <w:rsid w:val="75AD9324"/>
    <w:rsid w:val="75B86197"/>
    <w:rsid w:val="75E1C08A"/>
    <w:rsid w:val="76102A9D"/>
    <w:rsid w:val="761C521C"/>
    <w:rsid w:val="762D5AEA"/>
    <w:rsid w:val="763396FD"/>
    <w:rsid w:val="763F32FC"/>
    <w:rsid w:val="7663DD69"/>
    <w:rsid w:val="7667E0FD"/>
    <w:rsid w:val="7667F366"/>
    <w:rsid w:val="76743FDD"/>
    <w:rsid w:val="76757D05"/>
    <w:rsid w:val="76948EEE"/>
    <w:rsid w:val="769AB8F1"/>
    <w:rsid w:val="769D727A"/>
    <w:rsid w:val="769DDD77"/>
    <w:rsid w:val="76A19EF6"/>
    <w:rsid w:val="76B832E1"/>
    <w:rsid w:val="76CC11E6"/>
    <w:rsid w:val="76FF5E2E"/>
    <w:rsid w:val="77044804"/>
    <w:rsid w:val="770A5193"/>
    <w:rsid w:val="770C37FC"/>
    <w:rsid w:val="771CDB39"/>
    <w:rsid w:val="774A1E34"/>
    <w:rsid w:val="7759650A"/>
    <w:rsid w:val="7785C294"/>
    <w:rsid w:val="7791387F"/>
    <w:rsid w:val="77A40CCB"/>
    <w:rsid w:val="77A6AF14"/>
    <w:rsid w:val="77B04F92"/>
    <w:rsid w:val="77E91924"/>
    <w:rsid w:val="77F3B3E2"/>
    <w:rsid w:val="77FD5E02"/>
    <w:rsid w:val="78221CA7"/>
    <w:rsid w:val="7828EF9F"/>
    <w:rsid w:val="7840D700"/>
    <w:rsid w:val="78428FD5"/>
    <w:rsid w:val="784B3BC7"/>
    <w:rsid w:val="78672B90"/>
    <w:rsid w:val="787D79B7"/>
    <w:rsid w:val="787FE575"/>
    <w:rsid w:val="78A1D2D5"/>
    <w:rsid w:val="78A51FCD"/>
    <w:rsid w:val="78ACA3F4"/>
    <w:rsid w:val="78C207AD"/>
    <w:rsid w:val="78FB6BE8"/>
    <w:rsid w:val="79001F40"/>
    <w:rsid w:val="7902D03E"/>
    <w:rsid w:val="79090D32"/>
    <w:rsid w:val="7918CBD3"/>
    <w:rsid w:val="7919E7CB"/>
    <w:rsid w:val="79270A69"/>
    <w:rsid w:val="7929103A"/>
    <w:rsid w:val="7968B2FB"/>
    <w:rsid w:val="79725941"/>
    <w:rsid w:val="7989BE84"/>
    <w:rsid w:val="79A7E9C7"/>
    <w:rsid w:val="79C42D20"/>
    <w:rsid w:val="79ED9C3E"/>
    <w:rsid w:val="79F93BCA"/>
    <w:rsid w:val="7A0E5128"/>
    <w:rsid w:val="7A1B5B81"/>
    <w:rsid w:val="7A2EF1CB"/>
    <w:rsid w:val="7A2FC231"/>
    <w:rsid w:val="7A53C80C"/>
    <w:rsid w:val="7A544C91"/>
    <w:rsid w:val="7A60295C"/>
    <w:rsid w:val="7A7577E5"/>
    <w:rsid w:val="7A928453"/>
    <w:rsid w:val="7AB29CA7"/>
    <w:rsid w:val="7AC112BB"/>
    <w:rsid w:val="7AECC142"/>
    <w:rsid w:val="7AF53BF6"/>
    <w:rsid w:val="7AFE38DC"/>
    <w:rsid w:val="7B0D14C6"/>
    <w:rsid w:val="7B0F36DA"/>
    <w:rsid w:val="7B137B24"/>
    <w:rsid w:val="7B1C9DE8"/>
    <w:rsid w:val="7B1DB041"/>
    <w:rsid w:val="7B1DC309"/>
    <w:rsid w:val="7B375A73"/>
    <w:rsid w:val="7B3F0A93"/>
    <w:rsid w:val="7B45BA4A"/>
    <w:rsid w:val="7B6B76BB"/>
    <w:rsid w:val="7B7F28C5"/>
    <w:rsid w:val="7B8D6824"/>
    <w:rsid w:val="7B910874"/>
    <w:rsid w:val="7B916103"/>
    <w:rsid w:val="7B95DB46"/>
    <w:rsid w:val="7BAF0E43"/>
    <w:rsid w:val="7BB1C384"/>
    <w:rsid w:val="7BBB822F"/>
    <w:rsid w:val="7BBFA128"/>
    <w:rsid w:val="7BCD8766"/>
    <w:rsid w:val="7BE4419B"/>
    <w:rsid w:val="7BE8C478"/>
    <w:rsid w:val="7BED0FF2"/>
    <w:rsid w:val="7BF54F3B"/>
    <w:rsid w:val="7C0B3CBB"/>
    <w:rsid w:val="7C138350"/>
    <w:rsid w:val="7C1526D3"/>
    <w:rsid w:val="7C3A1C61"/>
    <w:rsid w:val="7C576889"/>
    <w:rsid w:val="7C5BCEB4"/>
    <w:rsid w:val="7C69F2C8"/>
    <w:rsid w:val="7C7295DC"/>
    <w:rsid w:val="7C840338"/>
    <w:rsid w:val="7C8D9B62"/>
    <w:rsid w:val="7CA3F417"/>
    <w:rsid w:val="7CB4ECF9"/>
    <w:rsid w:val="7CBD82BE"/>
    <w:rsid w:val="7CD7C4B2"/>
    <w:rsid w:val="7CD96162"/>
    <w:rsid w:val="7CED31E1"/>
    <w:rsid w:val="7CFDEF1B"/>
    <w:rsid w:val="7D063981"/>
    <w:rsid w:val="7D08073B"/>
    <w:rsid w:val="7D208BB3"/>
    <w:rsid w:val="7D36E13E"/>
    <w:rsid w:val="7D3AC30F"/>
    <w:rsid w:val="7D3EA568"/>
    <w:rsid w:val="7D550DDC"/>
    <w:rsid w:val="7D632433"/>
    <w:rsid w:val="7D672A9F"/>
    <w:rsid w:val="7D67823B"/>
    <w:rsid w:val="7D71EB1C"/>
    <w:rsid w:val="7D77B4EF"/>
    <w:rsid w:val="7D8ACEA6"/>
    <w:rsid w:val="7DA20A0E"/>
    <w:rsid w:val="7DA3E9A0"/>
    <w:rsid w:val="7DC4A3E7"/>
    <w:rsid w:val="7DCE71DD"/>
    <w:rsid w:val="7DD10606"/>
    <w:rsid w:val="7DD719C7"/>
    <w:rsid w:val="7DFC071E"/>
    <w:rsid w:val="7E1D8692"/>
    <w:rsid w:val="7E1DC023"/>
    <w:rsid w:val="7E628F01"/>
    <w:rsid w:val="7E73A67F"/>
    <w:rsid w:val="7E73F810"/>
    <w:rsid w:val="7E74698B"/>
    <w:rsid w:val="7E94F5C5"/>
    <w:rsid w:val="7EB25965"/>
    <w:rsid w:val="7EB4101F"/>
    <w:rsid w:val="7EBA308C"/>
    <w:rsid w:val="7EC853C2"/>
    <w:rsid w:val="7ECBC876"/>
    <w:rsid w:val="7ED84520"/>
    <w:rsid w:val="7EDB52CA"/>
    <w:rsid w:val="7EDD11D8"/>
    <w:rsid w:val="7EEC1F12"/>
    <w:rsid w:val="7EFE78FB"/>
    <w:rsid w:val="7F013FAE"/>
    <w:rsid w:val="7F039CCE"/>
    <w:rsid w:val="7F064034"/>
    <w:rsid w:val="7F124E65"/>
    <w:rsid w:val="7F1A72C2"/>
    <w:rsid w:val="7F25B758"/>
    <w:rsid w:val="7F3DFFB5"/>
    <w:rsid w:val="7F4288BC"/>
    <w:rsid w:val="7F58AA06"/>
    <w:rsid w:val="7F67CC69"/>
    <w:rsid w:val="7F6A4B71"/>
    <w:rsid w:val="7F7B0197"/>
    <w:rsid w:val="7F8523AC"/>
    <w:rsid w:val="7F8FA7E2"/>
    <w:rsid w:val="7FA2046A"/>
    <w:rsid w:val="7FB9DE23"/>
    <w:rsid w:val="7FC08B20"/>
    <w:rsid w:val="7FD53E96"/>
    <w:rsid w:val="7FD9D2F1"/>
    <w:rsid w:val="7FDBD629"/>
    <w:rsid w:val="7FF6F4A8"/>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D65CD"/>
  <w15:docId w15:val="{73AEC36B-898D-4582-AF60-C35A9ADE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ne-NP"/>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EB"/>
    <w:pPr>
      <w:spacing w:before="120" w:after="120"/>
      <w:jc w:val="both"/>
    </w:pPr>
    <w:rPr>
      <w:rFonts w:ascii="Verdana" w:eastAsia="Times New Roman" w:hAnsi="Verdana"/>
      <w:szCs w:val="24"/>
      <w:lang w:eastAsia="en-US" w:bidi="ar-SA"/>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FE1304"/>
    <w:pPr>
      <w:keepNext/>
      <w:spacing w:before="240"/>
      <w:outlineLvl w:val="1"/>
    </w:pPr>
    <w:rPr>
      <w:rFonts w:ascii="Times New Roman" w:eastAsia="Arial" w:hAnsi="Times New Roman"/>
      <w:b/>
      <w:sz w:val="24"/>
      <w:lang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22"/>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FE1304"/>
    <w:rPr>
      <w:rFonts w:ascii="Times New Roman" w:hAnsi="Times New Roman"/>
      <w:b/>
      <w:sz w:val="24"/>
      <w:szCs w:val="24"/>
      <w:lang w:eastAsia="x-none" w:bidi="ar-SA"/>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bidi="ar-SA"/>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6"/>
      </w:numPr>
      <w:spacing w:line="240" w:lineRule="exact"/>
    </w:pPr>
  </w:style>
  <w:style w:type="paragraph" w:customStyle="1" w:styleId="Aufzhlungszeichen2">
    <w:name w:val="Aufzählungszeichen2"/>
    <w:basedOn w:val="Normal"/>
    <w:uiPriority w:val="1"/>
    <w:qFormat/>
    <w:rsid w:val="001E5A75"/>
    <w:pPr>
      <w:numPr>
        <w:numId w:val="7"/>
      </w:numPr>
      <w:spacing w:line="240" w:lineRule="exact"/>
    </w:pPr>
  </w:style>
  <w:style w:type="paragraph" w:customStyle="1" w:styleId="Aufzhlungszeichen3">
    <w:name w:val="Aufzählungszeichen3"/>
    <w:basedOn w:val="Normal"/>
    <w:uiPriority w:val="1"/>
    <w:qFormat/>
    <w:rsid w:val="001E5A75"/>
    <w:pPr>
      <w:numPr>
        <w:numId w:val="8"/>
      </w:numPr>
      <w:spacing w:line="240" w:lineRule="exact"/>
    </w:pPr>
  </w:style>
  <w:style w:type="paragraph" w:customStyle="1" w:styleId="Aufzhlungszeichen4">
    <w:name w:val="Aufzählungszeichen4"/>
    <w:basedOn w:val="Normal"/>
    <w:uiPriority w:val="1"/>
    <w:qFormat/>
    <w:rsid w:val="001E5A75"/>
    <w:pPr>
      <w:numPr>
        <w:numId w:val="9"/>
      </w:numPr>
      <w:spacing w:line="240" w:lineRule="exact"/>
    </w:pPr>
  </w:style>
  <w:style w:type="paragraph" w:styleId="FootnoteText">
    <w:name w:val="footnote text"/>
    <w:aliases w:val="EBA_Footnote Text,Footnote Text Char Char,Footnote,Fußnote,FSR footnote,lábléc Car Car Car,Fodnotetekst Tegn Tegn Tegn Tegn Tegn Tegn Tegn Char Char,Fodnotetekst Tegn Tegn Tegn Tegn Tegn Tegn Tegn Char Char Char Char,fn,lábléc"/>
    <w:basedOn w:val="Normal"/>
    <w:link w:val="FootnoteTextChar"/>
    <w:uiPriority w:val="99"/>
    <w:qFormat/>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aliases w:val="EBA_Footnote Text Char,Footnote Text Char Char Char,Footnote Char,Fußnote Char,FSR footnote Char,lábléc Car Car Car Char,Fodnotetekst Tegn Tegn Tegn Tegn Tegn Tegn Tegn Char Char Char,fn Char,lábléc Char"/>
    <w:link w:val="FootnoteText"/>
    <w:uiPriority w:val="99"/>
    <w:locked/>
    <w:rsid w:val="00C2636B"/>
    <w:rPr>
      <w:rFonts w:ascii="Arial" w:hAnsi="Arial" w:cs="Times New Roman"/>
      <w:sz w:val="16"/>
      <w:szCs w:val="16"/>
      <w:lang w:eastAsia="de-DE"/>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uiPriority w:val="99"/>
    <w:qFormat/>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12"/>
      </w:numPr>
      <w:spacing w:line="312" w:lineRule="auto"/>
    </w:pPr>
  </w:style>
  <w:style w:type="paragraph" w:customStyle="1" w:styleId="GliederungmitNummerierung">
    <w:name w:val="Gliederung mit Nummerierung"/>
    <w:basedOn w:val="Normal"/>
    <w:uiPriority w:val="1"/>
    <w:qFormat/>
    <w:rsid w:val="001E5A75"/>
    <w:pPr>
      <w:numPr>
        <w:numId w:val="13"/>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14"/>
      </w:numPr>
    </w:pPr>
  </w:style>
  <w:style w:type="paragraph" w:customStyle="1" w:styleId="Nummerierungsart2">
    <w:name w:val="Nummerierungsart2"/>
    <w:basedOn w:val="Normal"/>
    <w:uiPriority w:val="1"/>
    <w:qFormat/>
    <w:rsid w:val="001E5A75"/>
    <w:pPr>
      <w:numPr>
        <w:numId w:val="15"/>
      </w:numPr>
    </w:pPr>
  </w:style>
  <w:style w:type="paragraph" w:customStyle="1" w:styleId="Nummerierungsart3">
    <w:name w:val="Nummerierungsart3"/>
    <w:basedOn w:val="Normal"/>
    <w:uiPriority w:val="1"/>
    <w:qFormat/>
    <w:rsid w:val="001E5A75"/>
    <w:pPr>
      <w:numPr>
        <w:numId w:val="16"/>
      </w:numPr>
    </w:pPr>
  </w:style>
  <w:style w:type="paragraph" w:customStyle="1" w:styleId="Nummerierungsart4">
    <w:name w:val="Nummerierungsart4"/>
    <w:basedOn w:val="Normal"/>
    <w:uiPriority w:val="1"/>
    <w:qFormat/>
    <w:rsid w:val="001E5A75"/>
    <w:pPr>
      <w:numPr>
        <w:numId w:val="17"/>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D71CFD"/>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bidi="ar-SA"/>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8"/>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9"/>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bidi="ar-SA"/>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01573B"/>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bidi="ar-SA"/>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01573B"/>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20"/>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24"/>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lang w:bidi="ar-SA"/>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11"/>
      </w:numPr>
    </w:pPr>
  </w:style>
  <w:style w:type="numbering" w:customStyle="1" w:styleId="Formatvorlage3">
    <w:name w:val="Formatvorlage3"/>
    <w:uiPriority w:val="99"/>
    <w:rsid w:val="00BF60F7"/>
    <w:pPr>
      <w:numPr>
        <w:numId w:val="21"/>
      </w:numPr>
    </w:pPr>
  </w:style>
  <w:style w:type="numbering" w:customStyle="1" w:styleId="Formatvorlage1">
    <w:name w:val="Formatvorlage1"/>
    <w:uiPriority w:val="99"/>
    <w:rsid w:val="00BF60F7"/>
    <w:pPr>
      <w:numPr>
        <w:numId w:val="10"/>
      </w:numPr>
    </w:pPr>
  </w:style>
  <w:style w:type="numbering" w:customStyle="1" w:styleId="Formatvorlage4">
    <w:name w:val="Formatvorlage4"/>
    <w:uiPriority w:val="99"/>
    <w:rsid w:val="00BF60F7"/>
    <w:pPr>
      <w:numPr>
        <w:numId w:val="23"/>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 w:type="paragraph" w:customStyle="1" w:styleId="CM1">
    <w:name w:val="CM1"/>
    <w:basedOn w:val="Default"/>
    <w:next w:val="Default"/>
    <w:uiPriority w:val="99"/>
    <w:rsid w:val="003D7822"/>
    <w:rPr>
      <w:rFonts w:ascii="EU Albertina" w:hAnsi="EU Albertina" w:cs="Times New Roman"/>
      <w:color w:val="auto"/>
    </w:rPr>
  </w:style>
  <w:style w:type="paragraph" w:customStyle="1" w:styleId="CM3">
    <w:name w:val="CM3"/>
    <w:basedOn w:val="Default"/>
    <w:next w:val="Default"/>
    <w:uiPriority w:val="99"/>
    <w:rsid w:val="003D7822"/>
    <w:rPr>
      <w:rFonts w:ascii="EU Albertina" w:hAnsi="EU Albertina" w:cs="Times New Roman"/>
      <w:color w:val="auto"/>
    </w:rPr>
  </w:style>
  <w:style w:type="paragraph" w:styleId="NormalWeb">
    <w:name w:val="Normal (Web)"/>
    <w:basedOn w:val="Normal"/>
    <w:uiPriority w:val="99"/>
    <w:unhideWhenUsed/>
    <w:locked/>
    <w:rsid w:val="00C7103D"/>
    <w:pPr>
      <w:spacing w:before="100" w:beforeAutospacing="1" w:after="100" w:afterAutospacing="1"/>
      <w:jc w:val="left"/>
    </w:pPr>
    <w:rPr>
      <w:rFonts w:ascii="Times New Roman" w:hAnsi="Times New Roman"/>
      <w:sz w:val="24"/>
      <w:lang w:eastAsia="en-GB"/>
    </w:rPr>
  </w:style>
  <w:style w:type="character" w:styleId="Emphasis">
    <w:name w:val="Emphasis"/>
    <w:basedOn w:val="DefaultParagraphFont"/>
    <w:uiPriority w:val="20"/>
    <w:qFormat/>
    <w:locked/>
    <w:rsid w:val="00C7103D"/>
    <w:rPr>
      <w:i/>
      <w:iCs/>
    </w:rPr>
  </w:style>
  <w:style w:type="paragraph" w:customStyle="1" w:styleId="TableMainHeading">
    <w:name w:val="TableMainHeading"/>
    <w:basedOn w:val="Normal"/>
    <w:next w:val="Normal"/>
    <w:uiPriority w:val="99"/>
    <w:rsid w:val="007C64F7"/>
    <w:pPr>
      <w:jc w:val="left"/>
    </w:pPr>
    <w:rPr>
      <w:rFonts w:ascii="Segoe UI" w:hAnsi="Segoe UI"/>
      <w:sz w:val="22"/>
      <w:szCs w:val="20"/>
    </w:rPr>
  </w:style>
  <w:style w:type="paragraph" w:customStyle="1" w:styleId="body">
    <w:name w:val="body"/>
    <w:link w:val="bodyChar"/>
    <w:qFormat/>
    <w:rsid w:val="008151A6"/>
    <w:pPr>
      <w:spacing w:before="240" w:after="120" w:line="276" w:lineRule="auto"/>
      <w:jc w:val="both"/>
    </w:pPr>
    <w:rPr>
      <w:rFonts w:asciiTheme="minorHAnsi" w:eastAsiaTheme="minorEastAsia" w:hAnsiTheme="minorHAnsi" w:cstheme="minorBidi"/>
      <w:sz w:val="22"/>
      <w:szCs w:val="24"/>
      <w:lang w:val="en-US" w:eastAsia="en-US" w:bidi="ar-SA"/>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572FA8"/>
    <w:rPr>
      <w:color w:val="605E5C"/>
      <w:shd w:val="clear" w:color="auto" w:fill="E1DFDD"/>
    </w:rPr>
  </w:style>
  <w:style w:type="paragraph" w:customStyle="1" w:styleId="Chartleft-Measure">
    <w:name w:val="Chart left - Measure"/>
    <w:link w:val="Chartleft-MeasureChar"/>
    <w:uiPriority w:val="3"/>
    <w:qFormat/>
    <w:rsid w:val="00F02616"/>
    <w:pPr>
      <w:keepNext/>
      <w:keepLines/>
      <w:framePr w:w="4706" w:hSpace="227" w:wrap="around" w:vAnchor="text" w:hAnchor="page" w:x="1135" w:y="1"/>
      <w:spacing w:before="100" w:after="100" w:line="144" w:lineRule="atLeast"/>
      <w:contextualSpacing/>
    </w:pPr>
    <w:rPr>
      <w:rFonts w:eastAsia="Times New Roman" w:cs="Sendnya"/>
      <w:color w:val="003299"/>
      <w:kern w:val="12"/>
      <w:sz w:val="12"/>
      <w:szCs w:val="22"/>
      <w:lang w:bidi="ar-SA"/>
    </w:rPr>
  </w:style>
  <w:style w:type="character" w:customStyle="1" w:styleId="Chartleft-MeasureChar">
    <w:name w:val="Chart left - Measure Char"/>
    <w:link w:val="Chartleft-Measure"/>
    <w:uiPriority w:val="3"/>
    <w:rsid w:val="00F02616"/>
    <w:rPr>
      <w:rFonts w:eastAsia="Times New Roman" w:cs="Sendnya"/>
      <w:color w:val="003299"/>
      <w:kern w:val="12"/>
      <w:sz w:val="12"/>
      <w:szCs w:val="22"/>
      <w:lang w:bidi="ar-SA"/>
    </w:rPr>
  </w:style>
  <w:style w:type="character" w:customStyle="1" w:styleId="lxp-definition-term">
    <w:name w:val="lxp-definition-term"/>
    <w:basedOn w:val="DefaultParagraphFont"/>
    <w:rsid w:val="00F02616"/>
  </w:style>
  <w:style w:type="character" w:customStyle="1" w:styleId="FooterChar1">
    <w:name w:val="Footer Char1"/>
    <w:uiPriority w:val="99"/>
    <w:locked/>
    <w:rsid w:val="00D00AB9"/>
    <w:rPr>
      <w:rFonts w:ascii="Arial" w:hAnsi="Arial" w:cs="Times New Roman"/>
      <w:sz w:val="14"/>
      <w:szCs w:val="14"/>
      <w:lang w:eastAsia="de-DE"/>
    </w:rPr>
  </w:style>
  <w:style w:type="character" w:customStyle="1" w:styleId="HeaderChar1">
    <w:name w:val="Header Char1"/>
    <w:uiPriority w:val="99"/>
    <w:locked/>
    <w:rsid w:val="00D00AB9"/>
    <w:rPr>
      <w:rFonts w:ascii="Arial" w:hAnsi="Arial" w:cs="Times New Roman"/>
      <w:sz w:val="20"/>
      <w:szCs w:val="20"/>
      <w:lang w:eastAsia="de-DE"/>
    </w:rPr>
  </w:style>
  <w:style w:type="character" w:customStyle="1" w:styleId="bodyChar">
    <w:name w:val="body Char"/>
    <w:basedOn w:val="DefaultParagraphFont"/>
    <w:link w:val="body"/>
    <w:rsid w:val="00512CC3"/>
    <w:rPr>
      <w:rFonts w:asciiTheme="minorHAnsi" w:eastAsiaTheme="minorEastAsia" w:hAnsiTheme="minorHAnsi" w:cstheme="minorBidi"/>
      <w:sz w:val="22"/>
      <w:szCs w:val="24"/>
      <w:lang w:val="en-US" w:eastAsia="en-US" w:bidi="ar-SA"/>
    </w:rPr>
  </w:style>
  <w:style w:type="character" w:customStyle="1" w:styleId="Mention2">
    <w:name w:val="Mention2"/>
    <w:basedOn w:val="DefaultParagraphFont"/>
    <w:uiPriority w:val="99"/>
    <w:unhideWhenUsed/>
    <w:rsid w:val="00693092"/>
    <w:rPr>
      <w:color w:val="2B579A"/>
      <w:shd w:val="clear" w:color="auto" w:fill="E1DFDD"/>
    </w:rPr>
  </w:style>
  <w:style w:type="paragraph" w:customStyle="1" w:styleId="NumPar2">
    <w:name w:val="NumPar 2"/>
    <w:basedOn w:val="Normal"/>
    <w:next w:val="Normal"/>
    <w:rsid w:val="00940746"/>
    <w:pPr>
      <w:tabs>
        <w:tab w:val="num" w:pos="850"/>
      </w:tabs>
      <w:ind w:left="850" w:hanging="850"/>
    </w:pPr>
    <w:rPr>
      <w:rFonts w:ascii="Times New Roman" w:hAnsi="Times New Roman"/>
      <w:sz w:val="24"/>
      <w:szCs w:val="20"/>
      <w:lang w:eastAsia="en-GB"/>
    </w:rPr>
  </w:style>
  <w:style w:type="paragraph" w:customStyle="1" w:styleId="NumPar3">
    <w:name w:val="NumPar 3"/>
    <w:basedOn w:val="Normal"/>
    <w:next w:val="Normal"/>
    <w:rsid w:val="00940746"/>
    <w:pPr>
      <w:tabs>
        <w:tab w:val="num" w:pos="850"/>
      </w:tabs>
      <w:ind w:left="850" w:hanging="850"/>
    </w:pPr>
    <w:rPr>
      <w:rFonts w:ascii="Times New Roman" w:hAnsi="Times New Roman"/>
      <w:sz w:val="24"/>
      <w:szCs w:val="20"/>
      <w:lang w:eastAsia="en-GB"/>
    </w:rPr>
  </w:style>
  <w:style w:type="paragraph" w:customStyle="1" w:styleId="NumPar4">
    <w:name w:val="NumPar 4"/>
    <w:basedOn w:val="Normal"/>
    <w:next w:val="Normal"/>
    <w:rsid w:val="00940746"/>
    <w:pPr>
      <w:tabs>
        <w:tab w:val="num" w:pos="850"/>
      </w:tabs>
      <w:ind w:left="850" w:hanging="850"/>
    </w:pPr>
    <w:rPr>
      <w:rFonts w:ascii="Times New Roman" w:hAnsi="Times New Roman"/>
      <w:sz w:val="24"/>
      <w:szCs w:val="20"/>
      <w:lang w:eastAsia="en-GB"/>
    </w:rPr>
  </w:style>
  <w:style w:type="character" w:customStyle="1" w:styleId="Mention3">
    <w:name w:val="Mention3"/>
    <w:basedOn w:val="DefaultParagraphFont"/>
    <w:uiPriority w:val="99"/>
    <w:unhideWhenUsed/>
    <w:rsid w:val="007E639D"/>
    <w:rPr>
      <w:color w:val="2B579A"/>
      <w:shd w:val="clear" w:color="auto" w:fill="E1DFDD"/>
    </w:rPr>
  </w:style>
  <w:style w:type="character" w:customStyle="1" w:styleId="UnresolvedMention2">
    <w:name w:val="Unresolved Mention2"/>
    <w:basedOn w:val="DefaultParagraphFont"/>
    <w:uiPriority w:val="99"/>
    <w:semiHidden/>
    <w:unhideWhenUsed/>
    <w:rsid w:val="001B51C6"/>
    <w:rPr>
      <w:color w:val="605E5C"/>
      <w:shd w:val="clear" w:color="auto" w:fill="E1DFDD"/>
    </w:rPr>
  </w:style>
  <w:style w:type="character" w:customStyle="1" w:styleId="Mention30">
    <w:name w:val="Mention3"/>
    <w:basedOn w:val="DefaultParagraphFont"/>
    <w:uiPriority w:val="99"/>
    <w:unhideWhenUsed/>
    <w:rsid w:val="000F5488"/>
    <w:rPr>
      <w:color w:val="2B579A"/>
      <w:shd w:val="clear" w:color="auto" w:fill="E1DFDD"/>
    </w:rPr>
  </w:style>
  <w:style w:type="character" w:customStyle="1" w:styleId="UnresolvedMention20">
    <w:name w:val="Unresolved Mention2"/>
    <w:basedOn w:val="DefaultParagraphFont"/>
    <w:uiPriority w:val="99"/>
    <w:semiHidden/>
    <w:unhideWhenUsed/>
    <w:rsid w:val="000F5488"/>
    <w:rPr>
      <w:color w:val="605E5C"/>
      <w:shd w:val="clear" w:color="auto" w:fill="E1DFDD"/>
    </w:rPr>
  </w:style>
  <w:style w:type="character" w:customStyle="1" w:styleId="ui-provider">
    <w:name w:val="ui-provider"/>
    <w:basedOn w:val="DefaultParagraphFont"/>
    <w:rsid w:val="002705E0"/>
  </w:style>
  <w:style w:type="character" w:customStyle="1" w:styleId="cf01">
    <w:name w:val="cf01"/>
    <w:basedOn w:val="DefaultParagraphFont"/>
    <w:rsid w:val="007963FC"/>
    <w:rPr>
      <w:rFonts w:ascii="Segoe UI" w:hAnsi="Segoe UI" w:cs="Segoe UI" w:hint="default"/>
      <w:sz w:val="18"/>
      <w:szCs w:val="18"/>
    </w:rPr>
  </w:style>
  <w:style w:type="paragraph" w:customStyle="1" w:styleId="footnotedescription">
    <w:name w:val="footnote description"/>
    <w:next w:val="Normal"/>
    <w:link w:val="footnotedescriptionChar"/>
    <w:hidden/>
    <w:rsid w:val="00212817"/>
    <w:pPr>
      <w:spacing w:line="241" w:lineRule="auto"/>
      <w:ind w:left="144" w:right="260" w:hanging="144"/>
      <w:jc w:val="both"/>
    </w:pPr>
    <w:rPr>
      <w:rFonts w:cs="Arial"/>
      <w:color w:val="000000"/>
      <w:sz w:val="16"/>
      <w:szCs w:val="22"/>
      <w:lang w:val="es-ES" w:eastAsia="es-ES" w:bidi="ar-SA"/>
    </w:rPr>
  </w:style>
  <w:style w:type="character" w:customStyle="1" w:styleId="footnotedescriptionChar">
    <w:name w:val="footnote description Char"/>
    <w:link w:val="footnotedescription"/>
    <w:rsid w:val="00212817"/>
    <w:rPr>
      <w:rFonts w:cs="Arial"/>
      <w:color w:val="000000"/>
      <w:sz w:val="16"/>
      <w:szCs w:val="22"/>
      <w:lang w:val="es-ES" w:eastAsia="es-ES" w:bidi="ar-SA"/>
    </w:rPr>
  </w:style>
  <w:style w:type="character" w:customStyle="1" w:styleId="footnotemark">
    <w:name w:val="footnote mark"/>
    <w:hidden/>
    <w:rsid w:val="00212817"/>
    <w:rPr>
      <w:rFonts w:ascii="Arial" w:eastAsia="Arial" w:hAnsi="Arial" w:cs="Arial"/>
      <w:color w:val="000000"/>
      <w:sz w:val="20"/>
      <w:vertAlign w:val="superscript"/>
    </w:rPr>
  </w:style>
  <w:style w:type="character" w:styleId="Mention">
    <w:name w:val="Mention"/>
    <w:basedOn w:val="DefaultParagraphFont"/>
    <w:uiPriority w:val="99"/>
    <w:unhideWhenUsed/>
    <w:rsid w:val="008A6E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5551">
      <w:bodyDiv w:val="1"/>
      <w:marLeft w:val="0"/>
      <w:marRight w:val="0"/>
      <w:marTop w:val="0"/>
      <w:marBottom w:val="0"/>
      <w:divBdr>
        <w:top w:val="none" w:sz="0" w:space="0" w:color="auto"/>
        <w:left w:val="none" w:sz="0" w:space="0" w:color="auto"/>
        <w:bottom w:val="none" w:sz="0" w:space="0" w:color="auto"/>
        <w:right w:val="none" w:sz="0" w:space="0" w:color="auto"/>
      </w:divBdr>
    </w:div>
    <w:div w:id="189728779">
      <w:bodyDiv w:val="1"/>
      <w:marLeft w:val="0"/>
      <w:marRight w:val="0"/>
      <w:marTop w:val="0"/>
      <w:marBottom w:val="0"/>
      <w:divBdr>
        <w:top w:val="none" w:sz="0" w:space="0" w:color="auto"/>
        <w:left w:val="none" w:sz="0" w:space="0" w:color="auto"/>
        <w:bottom w:val="none" w:sz="0" w:space="0" w:color="auto"/>
        <w:right w:val="none" w:sz="0" w:space="0" w:color="auto"/>
      </w:divBdr>
    </w:div>
    <w:div w:id="299265773">
      <w:bodyDiv w:val="1"/>
      <w:marLeft w:val="0"/>
      <w:marRight w:val="0"/>
      <w:marTop w:val="0"/>
      <w:marBottom w:val="0"/>
      <w:divBdr>
        <w:top w:val="none" w:sz="0" w:space="0" w:color="auto"/>
        <w:left w:val="none" w:sz="0" w:space="0" w:color="auto"/>
        <w:bottom w:val="none" w:sz="0" w:space="0" w:color="auto"/>
        <w:right w:val="none" w:sz="0" w:space="0" w:color="auto"/>
      </w:divBdr>
    </w:div>
    <w:div w:id="538904984">
      <w:bodyDiv w:val="1"/>
      <w:marLeft w:val="0"/>
      <w:marRight w:val="0"/>
      <w:marTop w:val="0"/>
      <w:marBottom w:val="0"/>
      <w:divBdr>
        <w:top w:val="none" w:sz="0" w:space="0" w:color="auto"/>
        <w:left w:val="none" w:sz="0" w:space="0" w:color="auto"/>
        <w:bottom w:val="none" w:sz="0" w:space="0" w:color="auto"/>
        <w:right w:val="none" w:sz="0" w:space="0" w:color="auto"/>
      </w:divBdr>
    </w:div>
    <w:div w:id="718362389">
      <w:bodyDiv w:val="1"/>
      <w:marLeft w:val="0"/>
      <w:marRight w:val="0"/>
      <w:marTop w:val="0"/>
      <w:marBottom w:val="0"/>
      <w:divBdr>
        <w:top w:val="none" w:sz="0" w:space="0" w:color="auto"/>
        <w:left w:val="none" w:sz="0" w:space="0" w:color="auto"/>
        <w:bottom w:val="none" w:sz="0" w:space="0" w:color="auto"/>
        <w:right w:val="none" w:sz="0" w:space="0" w:color="auto"/>
      </w:divBdr>
    </w:div>
    <w:div w:id="733621892">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1069496910">
      <w:bodyDiv w:val="1"/>
      <w:marLeft w:val="0"/>
      <w:marRight w:val="0"/>
      <w:marTop w:val="0"/>
      <w:marBottom w:val="0"/>
      <w:divBdr>
        <w:top w:val="none" w:sz="0" w:space="0" w:color="auto"/>
        <w:left w:val="none" w:sz="0" w:space="0" w:color="auto"/>
        <w:bottom w:val="none" w:sz="0" w:space="0" w:color="auto"/>
        <w:right w:val="none" w:sz="0" w:space="0" w:color="auto"/>
      </w:divBdr>
    </w:div>
    <w:div w:id="1071536696">
      <w:bodyDiv w:val="1"/>
      <w:marLeft w:val="0"/>
      <w:marRight w:val="0"/>
      <w:marTop w:val="0"/>
      <w:marBottom w:val="0"/>
      <w:divBdr>
        <w:top w:val="none" w:sz="0" w:space="0" w:color="auto"/>
        <w:left w:val="none" w:sz="0" w:space="0" w:color="auto"/>
        <w:bottom w:val="none" w:sz="0" w:space="0" w:color="auto"/>
        <w:right w:val="none" w:sz="0" w:space="0" w:color="auto"/>
      </w:divBdr>
    </w:div>
    <w:div w:id="1127431200">
      <w:bodyDiv w:val="1"/>
      <w:marLeft w:val="0"/>
      <w:marRight w:val="0"/>
      <w:marTop w:val="0"/>
      <w:marBottom w:val="0"/>
      <w:divBdr>
        <w:top w:val="none" w:sz="0" w:space="0" w:color="auto"/>
        <w:left w:val="none" w:sz="0" w:space="0" w:color="auto"/>
        <w:bottom w:val="none" w:sz="0" w:space="0" w:color="auto"/>
        <w:right w:val="none" w:sz="0" w:space="0" w:color="auto"/>
      </w:divBdr>
    </w:div>
    <w:div w:id="1282807518">
      <w:bodyDiv w:val="1"/>
      <w:marLeft w:val="0"/>
      <w:marRight w:val="0"/>
      <w:marTop w:val="0"/>
      <w:marBottom w:val="0"/>
      <w:divBdr>
        <w:top w:val="none" w:sz="0" w:space="0" w:color="auto"/>
        <w:left w:val="none" w:sz="0" w:space="0" w:color="auto"/>
        <w:bottom w:val="none" w:sz="0" w:space="0" w:color="auto"/>
        <w:right w:val="none" w:sz="0" w:space="0" w:color="auto"/>
      </w:divBdr>
    </w:div>
    <w:div w:id="1349869843">
      <w:bodyDiv w:val="1"/>
      <w:marLeft w:val="0"/>
      <w:marRight w:val="0"/>
      <w:marTop w:val="0"/>
      <w:marBottom w:val="0"/>
      <w:divBdr>
        <w:top w:val="none" w:sz="0" w:space="0" w:color="auto"/>
        <w:left w:val="none" w:sz="0" w:space="0" w:color="auto"/>
        <w:bottom w:val="none" w:sz="0" w:space="0" w:color="auto"/>
        <w:right w:val="none" w:sz="0" w:space="0" w:color="auto"/>
      </w:divBdr>
    </w:div>
    <w:div w:id="1352951290">
      <w:bodyDiv w:val="1"/>
      <w:marLeft w:val="0"/>
      <w:marRight w:val="0"/>
      <w:marTop w:val="0"/>
      <w:marBottom w:val="0"/>
      <w:divBdr>
        <w:top w:val="none" w:sz="0" w:space="0" w:color="auto"/>
        <w:left w:val="none" w:sz="0" w:space="0" w:color="auto"/>
        <w:bottom w:val="none" w:sz="0" w:space="0" w:color="auto"/>
        <w:right w:val="none" w:sz="0" w:space="0" w:color="auto"/>
      </w:divBdr>
    </w:div>
    <w:div w:id="1663463802">
      <w:bodyDiv w:val="1"/>
      <w:marLeft w:val="0"/>
      <w:marRight w:val="0"/>
      <w:marTop w:val="0"/>
      <w:marBottom w:val="0"/>
      <w:divBdr>
        <w:top w:val="none" w:sz="0" w:space="0" w:color="auto"/>
        <w:left w:val="none" w:sz="0" w:space="0" w:color="auto"/>
        <w:bottom w:val="none" w:sz="0" w:space="0" w:color="auto"/>
        <w:right w:val="none" w:sz="0" w:space="0" w:color="auto"/>
      </w:divBdr>
    </w:div>
    <w:div w:id="1775176392">
      <w:bodyDiv w:val="1"/>
      <w:marLeft w:val="0"/>
      <w:marRight w:val="0"/>
      <w:marTop w:val="0"/>
      <w:marBottom w:val="0"/>
      <w:divBdr>
        <w:top w:val="none" w:sz="0" w:space="0" w:color="auto"/>
        <w:left w:val="none" w:sz="0" w:space="0" w:color="auto"/>
        <w:bottom w:val="none" w:sz="0" w:space="0" w:color="auto"/>
        <w:right w:val="none" w:sz="0" w:space="0" w:color="auto"/>
      </w:divBdr>
    </w:div>
    <w:div w:id="1891187645">
      <w:bodyDiv w:val="1"/>
      <w:marLeft w:val="0"/>
      <w:marRight w:val="0"/>
      <w:marTop w:val="0"/>
      <w:marBottom w:val="0"/>
      <w:divBdr>
        <w:top w:val="none" w:sz="0" w:space="0" w:color="auto"/>
        <w:left w:val="none" w:sz="0" w:space="0" w:color="auto"/>
        <w:bottom w:val="none" w:sz="0" w:space="0" w:color="auto"/>
        <w:right w:val="none" w:sz="0" w:space="0" w:color="auto"/>
      </w:divBdr>
    </w:div>
    <w:div w:id="1999115281">
      <w:bodyDiv w:val="1"/>
      <w:marLeft w:val="0"/>
      <w:marRight w:val="0"/>
      <w:marTop w:val="0"/>
      <w:marBottom w:val="0"/>
      <w:divBdr>
        <w:top w:val="none" w:sz="0" w:space="0" w:color="auto"/>
        <w:left w:val="none" w:sz="0" w:space="0" w:color="auto"/>
        <w:bottom w:val="none" w:sz="0" w:space="0" w:color="auto"/>
        <w:right w:val="none" w:sz="0" w:space="0" w:color="auto"/>
      </w:divBdr>
      <w:divsChild>
        <w:div w:id="146216544">
          <w:marLeft w:val="0"/>
          <w:marRight w:val="0"/>
          <w:marTop w:val="0"/>
          <w:marBottom w:val="0"/>
          <w:divBdr>
            <w:top w:val="none" w:sz="0" w:space="0" w:color="auto"/>
            <w:left w:val="none" w:sz="0" w:space="0" w:color="auto"/>
            <w:bottom w:val="none" w:sz="0" w:space="0" w:color="auto"/>
            <w:right w:val="none" w:sz="0" w:space="0" w:color="auto"/>
          </w:divBdr>
          <w:divsChild>
            <w:div w:id="14986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sites/default/documents/files/document_library/Publications/Draft%20Technical%20Standards/2022/EBA-RTS-2022-09%20RTS%20on%20SA/1041755/Final%20draft%20RTS%20on%20SA.pdf" TargetMode="External"/><Relationship Id="rId2" Type="http://schemas.openxmlformats.org/officeDocument/2006/relationships/hyperlink" Target="https://www.eba.europa.eu/sites/default/documents/files/document_library/Publications/Draft%20Technical%20Standards/2022/EBA-RTS-2022-09%20RTS%20on%20SA/1041755/Final%20draft%20RTS%20on%20SA.pdf" TargetMode="External"/><Relationship Id="rId1" Type="http://schemas.openxmlformats.org/officeDocument/2006/relationships/hyperlink" Target="https://www.eba.europa.eu/sites/default/documents/files/document_library/Publications/Draft%20Technical%20Standards/2022/EBA-RTS-2022-10%20RTS%20on%20SOTs/1041756/Final%20draft%20RTS%20on%20SO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10314279CDF64A87AE2FF1FD0D2738" ma:contentTypeVersion="4" ma:contentTypeDescription="Create a new document." ma:contentTypeScope="" ma:versionID="5e1fa2d447f187b2d4c16b166276b47c">
  <xsd:schema xmlns:xsd="http://www.w3.org/2001/XMLSchema" xmlns:xs="http://www.w3.org/2001/XMLSchema" xmlns:p="http://schemas.microsoft.com/office/2006/metadata/properties" xmlns:ns2="5d32e82b-b3ee-422c-93d2-7c0e8d3fd927" targetNamespace="http://schemas.microsoft.com/office/2006/metadata/properties" ma:root="true" ma:fieldsID="1e482d4912b3d87ca055f7d6ebe74fbb" ns2:_="">
    <xsd:import namespace="5d32e82b-b3ee-422c-93d2-7c0e8d3fd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2e82b-b3ee-422c-93d2-7c0e8d3fd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06DDB-9395-42E0-8E2D-12A408D4D0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D19CF0-49A0-46EC-A5BE-C785B011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2e82b-b3ee-422c-93d2-7c0e8d3fd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BC3CB-892C-4F62-BA8D-4EC5D06FF4DB}">
  <ds:schemaRefs>
    <ds:schemaRef ds:uri="http://schemas.microsoft.com/sharepoint/v3/contenttype/forms"/>
  </ds:schemaRefs>
</ds:datastoreItem>
</file>

<file path=customXml/itemProps4.xml><?xml version="1.0" encoding="utf-8"?>
<ds:datastoreItem xmlns:ds="http://schemas.openxmlformats.org/officeDocument/2006/customXml" ds:itemID="{E8C206E3-BBEA-4CA0-8869-A057AFBA8ECB}">
  <ds:schemaRefs>
    <ds:schemaRef ds:uri="http://schemas.openxmlformats.org/officeDocument/2006/bibliography"/>
  </ds:schemaRefs>
</ds:datastoreItem>
</file>

<file path=docMetadata/LabelInfo.xml><?xml version="1.0" encoding="utf-8"?>
<clbl:labelList xmlns:clbl="http://schemas.microsoft.com/office/2020/mipLabelMetadata">
  <clbl:label id="{e66ba66e-8b7b-475b-ae81-4aab15d5f212}" enabled="1" method="Privileged" siteId="{3bacb4ff-f1a2-4c92-b96c-e99fec826b68}"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6</Pages>
  <Words>9438</Words>
  <Characters>53798</Characters>
  <Application>Microsoft Office Word</Application>
  <DocSecurity>0</DocSecurity>
  <Lines>448</Lines>
  <Paragraphs>126</Paragraphs>
  <ScaleCrop>false</ScaleCrop>
  <HeadingPairs>
    <vt:vector size="10" baseType="variant">
      <vt:variant>
        <vt:lpstr>Title</vt:lpstr>
      </vt:variant>
      <vt:variant>
        <vt:i4>1</vt:i4>
      </vt:variant>
      <vt:variant>
        <vt:lpstr>Titolo</vt:lpstr>
      </vt:variant>
      <vt:variant>
        <vt:i4>1</vt:i4>
      </vt:variant>
      <vt:variant>
        <vt:lpstr>Titel</vt:lpstr>
      </vt:variant>
      <vt:variant>
        <vt:i4>1</vt:i4>
      </vt:variant>
      <vt:variant>
        <vt:lpstr>Naslov</vt:lpstr>
      </vt:variant>
      <vt:variant>
        <vt:i4>1</vt:i4>
      </vt:variant>
      <vt:variant>
        <vt:lpstr>Título</vt:lpstr>
      </vt:variant>
      <vt:variant>
        <vt:i4>1</vt:i4>
      </vt:variant>
    </vt:vector>
  </HeadingPairs>
  <TitlesOfParts>
    <vt:vector size="5" baseType="lpstr">
      <vt:lpstr/>
      <vt:lpstr/>
      <vt:lpstr/>
      <vt:lpstr/>
      <vt:lpstr/>
    </vt:vector>
  </TitlesOfParts>
  <Company/>
  <LinksUpToDate>false</LinksUpToDate>
  <CharactersWithSpaces>63110</CharactersWithSpaces>
  <SharedDoc>false</SharedDoc>
  <HLinks>
    <vt:vector size="318" baseType="variant">
      <vt:variant>
        <vt:i4>1835062</vt:i4>
      </vt:variant>
      <vt:variant>
        <vt:i4>140</vt:i4>
      </vt:variant>
      <vt:variant>
        <vt:i4>0</vt:i4>
      </vt:variant>
      <vt:variant>
        <vt:i4>5</vt:i4>
      </vt:variant>
      <vt:variant>
        <vt:lpwstr/>
      </vt:variant>
      <vt:variant>
        <vt:lpwstr>_Toc139897778</vt:lpwstr>
      </vt:variant>
      <vt:variant>
        <vt:i4>1835062</vt:i4>
      </vt:variant>
      <vt:variant>
        <vt:i4>134</vt:i4>
      </vt:variant>
      <vt:variant>
        <vt:i4>0</vt:i4>
      </vt:variant>
      <vt:variant>
        <vt:i4>5</vt:i4>
      </vt:variant>
      <vt:variant>
        <vt:lpwstr/>
      </vt:variant>
      <vt:variant>
        <vt:lpwstr>_Toc139897777</vt:lpwstr>
      </vt:variant>
      <vt:variant>
        <vt:i4>1835062</vt:i4>
      </vt:variant>
      <vt:variant>
        <vt:i4>128</vt:i4>
      </vt:variant>
      <vt:variant>
        <vt:i4>0</vt:i4>
      </vt:variant>
      <vt:variant>
        <vt:i4>5</vt:i4>
      </vt:variant>
      <vt:variant>
        <vt:lpwstr/>
      </vt:variant>
      <vt:variant>
        <vt:lpwstr>_Toc139897776</vt:lpwstr>
      </vt:variant>
      <vt:variant>
        <vt:i4>1835062</vt:i4>
      </vt:variant>
      <vt:variant>
        <vt:i4>122</vt:i4>
      </vt:variant>
      <vt:variant>
        <vt:i4>0</vt:i4>
      </vt:variant>
      <vt:variant>
        <vt:i4>5</vt:i4>
      </vt:variant>
      <vt:variant>
        <vt:lpwstr/>
      </vt:variant>
      <vt:variant>
        <vt:lpwstr>_Toc139897775</vt:lpwstr>
      </vt:variant>
      <vt:variant>
        <vt:i4>1835062</vt:i4>
      </vt:variant>
      <vt:variant>
        <vt:i4>116</vt:i4>
      </vt:variant>
      <vt:variant>
        <vt:i4>0</vt:i4>
      </vt:variant>
      <vt:variant>
        <vt:i4>5</vt:i4>
      </vt:variant>
      <vt:variant>
        <vt:lpwstr/>
      </vt:variant>
      <vt:variant>
        <vt:lpwstr>_Toc139897774</vt:lpwstr>
      </vt:variant>
      <vt:variant>
        <vt:i4>1835062</vt:i4>
      </vt:variant>
      <vt:variant>
        <vt:i4>110</vt:i4>
      </vt:variant>
      <vt:variant>
        <vt:i4>0</vt:i4>
      </vt:variant>
      <vt:variant>
        <vt:i4>5</vt:i4>
      </vt:variant>
      <vt:variant>
        <vt:lpwstr/>
      </vt:variant>
      <vt:variant>
        <vt:lpwstr>_Toc139897773</vt:lpwstr>
      </vt:variant>
      <vt:variant>
        <vt:i4>1835062</vt:i4>
      </vt:variant>
      <vt:variant>
        <vt:i4>104</vt:i4>
      </vt:variant>
      <vt:variant>
        <vt:i4>0</vt:i4>
      </vt:variant>
      <vt:variant>
        <vt:i4>5</vt:i4>
      </vt:variant>
      <vt:variant>
        <vt:lpwstr/>
      </vt:variant>
      <vt:variant>
        <vt:lpwstr>_Toc139897772</vt:lpwstr>
      </vt:variant>
      <vt:variant>
        <vt:i4>1835062</vt:i4>
      </vt:variant>
      <vt:variant>
        <vt:i4>98</vt:i4>
      </vt:variant>
      <vt:variant>
        <vt:i4>0</vt:i4>
      </vt:variant>
      <vt:variant>
        <vt:i4>5</vt:i4>
      </vt:variant>
      <vt:variant>
        <vt:lpwstr/>
      </vt:variant>
      <vt:variant>
        <vt:lpwstr>_Toc139897771</vt:lpwstr>
      </vt:variant>
      <vt:variant>
        <vt:i4>1835062</vt:i4>
      </vt:variant>
      <vt:variant>
        <vt:i4>92</vt:i4>
      </vt:variant>
      <vt:variant>
        <vt:i4>0</vt:i4>
      </vt:variant>
      <vt:variant>
        <vt:i4>5</vt:i4>
      </vt:variant>
      <vt:variant>
        <vt:lpwstr/>
      </vt:variant>
      <vt:variant>
        <vt:lpwstr>_Toc139897770</vt:lpwstr>
      </vt:variant>
      <vt:variant>
        <vt:i4>1900598</vt:i4>
      </vt:variant>
      <vt:variant>
        <vt:i4>86</vt:i4>
      </vt:variant>
      <vt:variant>
        <vt:i4>0</vt:i4>
      </vt:variant>
      <vt:variant>
        <vt:i4>5</vt:i4>
      </vt:variant>
      <vt:variant>
        <vt:lpwstr/>
      </vt:variant>
      <vt:variant>
        <vt:lpwstr>_Toc139897769</vt:lpwstr>
      </vt:variant>
      <vt:variant>
        <vt:i4>1900598</vt:i4>
      </vt:variant>
      <vt:variant>
        <vt:i4>80</vt:i4>
      </vt:variant>
      <vt:variant>
        <vt:i4>0</vt:i4>
      </vt:variant>
      <vt:variant>
        <vt:i4>5</vt:i4>
      </vt:variant>
      <vt:variant>
        <vt:lpwstr/>
      </vt:variant>
      <vt:variant>
        <vt:lpwstr>_Toc139897768</vt:lpwstr>
      </vt:variant>
      <vt:variant>
        <vt:i4>1900598</vt:i4>
      </vt:variant>
      <vt:variant>
        <vt:i4>74</vt:i4>
      </vt:variant>
      <vt:variant>
        <vt:i4>0</vt:i4>
      </vt:variant>
      <vt:variant>
        <vt:i4>5</vt:i4>
      </vt:variant>
      <vt:variant>
        <vt:lpwstr/>
      </vt:variant>
      <vt:variant>
        <vt:lpwstr>_Toc139897767</vt:lpwstr>
      </vt:variant>
      <vt:variant>
        <vt:i4>1900598</vt:i4>
      </vt:variant>
      <vt:variant>
        <vt:i4>68</vt:i4>
      </vt:variant>
      <vt:variant>
        <vt:i4>0</vt:i4>
      </vt:variant>
      <vt:variant>
        <vt:i4>5</vt:i4>
      </vt:variant>
      <vt:variant>
        <vt:lpwstr/>
      </vt:variant>
      <vt:variant>
        <vt:lpwstr>_Toc139897766</vt:lpwstr>
      </vt:variant>
      <vt:variant>
        <vt:i4>1900598</vt:i4>
      </vt:variant>
      <vt:variant>
        <vt:i4>62</vt:i4>
      </vt:variant>
      <vt:variant>
        <vt:i4>0</vt:i4>
      </vt:variant>
      <vt:variant>
        <vt:i4>5</vt:i4>
      </vt:variant>
      <vt:variant>
        <vt:lpwstr/>
      </vt:variant>
      <vt:variant>
        <vt:lpwstr>_Toc139897765</vt:lpwstr>
      </vt:variant>
      <vt:variant>
        <vt:i4>1900598</vt:i4>
      </vt:variant>
      <vt:variant>
        <vt:i4>56</vt:i4>
      </vt:variant>
      <vt:variant>
        <vt:i4>0</vt:i4>
      </vt:variant>
      <vt:variant>
        <vt:i4>5</vt:i4>
      </vt:variant>
      <vt:variant>
        <vt:lpwstr/>
      </vt:variant>
      <vt:variant>
        <vt:lpwstr>_Toc139897764</vt:lpwstr>
      </vt:variant>
      <vt:variant>
        <vt:i4>1900598</vt:i4>
      </vt:variant>
      <vt:variant>
        <vt:i4>50</vt:i4>
      </vt:variant>
      <vt:variant>
        <vt:i4>0</vt:i4>
      </vt:variant>
      <vt:variant>
        <vt:i4>5</vt:i4>
      </vt:variant>
      <vt:variant>
        <vt:lpwstr/>
      </vt:variant>
      <vt:variant>
        <vt:lpwstr>_Toc139897763</vt:lpwstr>
      </vt:variant>
      <vt:variant>
        <vt:i4>1900598</vt:i4>
      </vt:variant>
      <vt:variant>
        <vt:i4>44</vt:i4>
      </vt:variant>
      <vt:variant>
        <vt:i4>0</vt:i4>
      </vt:variant>
      <vt:variant>
        <vt:i4>5</vt:i4>
      </vt:variant>
      <vt:variant>
        <vt:lpwstr/>
      </vt:variant>
      <vt:variant>
        <vt:lpwstr>_Toc139897762</vt:lpwstr>
      </vt:variant>
      <vt:variant>
        <vt:i4>1900598</vt:i4>
      </vt:variant>
      <vt:variant>
        <vt:i4>38</vt:i4>
      </vt:variant>
      <vt:variant>
        <vt:i4>0</vt:i4>
      </vt:variant>
      <vt:variant>
        <vt:i4>5</vt:i4>
      </vt:variant>
      <vt:variant>
        <vt:lpwstr/>
      </vt:variant>
      <vt:variant>
        <vt:lpwstr>_Toc139897761</vt:lpwstr>
      </vt:variant>
      <vt:variant>
        <vt:i4>1900598</vt:i4>
      </vt:variant>
      <vt:variant>
        <vt:i4>32</vt:i4>
      </vt:variant>
      <vt:variant>
        <vt:i4>0</vt:i4>
      </vt:variant>
      <vt:variant>
        <vt:i4>5</vt:i4>
      </vt:variant>
      <vt:variant>
        <vt:lpwstr/>
      </vt:variant>
      <vt:variant>
        <vt:lpwstr>_Toc139897760</vt:lpwstr>
      </vt:variant>
      <vt:variant>
        <vt:i4>1966134</vt:i4>
      </vt:variant>
      <vt:variant>
        <vt:i4>26</vt:i4>
      </vt:variant>
      <vt:variant>
        <vt:i4>0</vt:i4>
      </vt:variant>
      <vt:variant>
        <vt:i4>5</vt:i4>
      </vt:variant>
      <vt:variant>
        <vt:lpwstr/>
      </vt:variant>
      <vt:variant>
        <vt:lpwstr>_Toc139897759</vt:lpwstr>
      </vt:variant>
      <vt:variant>
        <vt:i4>1966134</vt:i4>
      </vt:variant>
      <vt:variant>
        <vt:i4>20</vt:i4>
      </vt:variant>
      <vt:variant>
        <vt:i4>0</vt:i4>
      </vt:variant>
      <vt:variant>
        <vt:i4>5</vt:i4>
      </vt:variant>
      <vt:variant>
        <vt:lpwstr/>
      </vt:variant>
      <vt:variant>
        <vt:lpwstr>_Toc139897758</vt:lpwstr>
      </vt:variant>
      <vt:variant>
        <vt:i4>1966134</vt:i4>
      </vt:variant>
      <vt:variant>
        <vt:i4>14</vt:i4>
      </vt:variant>
      <vt:variant>
        <vt:i4>0</vt:i4>
      </vt:variant>
      <vt:variant>
        <vt:i4>5</vt:i4>
      </vt:variant>
      <vt:variant>
        <vt:lpwstr/>
      </vt:variant>
      <vt:variant>
        <vt:lpwstr>_Toc139897757</vt:lpwstr>
      </vt:variant>
      <vt:variant>
        <vt:i4>1966134</vt:i4>
      </vt:variant>
      <vt:variant>
        <vt:i4>8</vt:i4>
      </vt:variant>
      <vt:variant>
        <vt:i4>0</vt:i4>
      </vt:variant>
      <vt:variant>
        <vt:i4>5</vt:i4>
      </vt:variant>
      <vt:variant>
        <vt:lpwstr/>
      </vt:variant>
      <vt:variant>
        <vt:lpwstr>_Toc139897756</vt:lpwstr>
      </vt:variant>
      <vt:variant>
        <vt:i4>1966134</vt:i4>
      </vt:variant>
      <vt:variant>
        <vt:i4>2</vt:i4>
      </vt:variant>
      <vt:variant>
        <vt:i4>0</vt:i4>
      </vt:variant>
      <vt:variant>
        <vt:i4>5</vt:i4>
      </vt:variant>
      <vt:variant>
        <vt:lpwstr/>
      </vt:variant>
      <vt:variant>
        <vt:lpwstr>_Toc139897755</vt:lpwstr>
      </vt:variant>
      <vt:variant>
        <vt:i4>5177399</vt:i4>
      </vt:variant>
      <vt:variant>
        <vt:i4>6</vt:i4>
      </vt:variant>
      <vt:variant>
        <vt:i4>0</vt:i4>
      </vt:variant>
      <vt:variant>
        <vt:i4>5</vt:i4>
      </vt:variant>
      <vt:variant>
        <vt:lpwstr>https://www.eba.europa.eu/sites/default/documents/files/document_library/Publications/Draft Technical Standards/2022/EBA-RTS-2022-09 RTS on SA/1041755/Final draft RTS on SA.pdf</vt:lpwstr>
      </vt:variant>
      <vt:variant>
        <vt:lpwstr/>
      </vt:variant>
      <vt:variant>
        <vt:i4>5177399</vt:i4>
      </vt:variant>
      <vt:variant>
        <vt:i4>3</vt:i4>
      </vt:variant>
      <vt:variant>
        <vt:i4>0</vt:i4>
      </vt:variant>
      <vt:variant>
        <vt:i4>5</vt:i4>
      </vt:variant>
      <vt:variant>
        <vt:lpwstr>https://www.eba.europa.eu/sites/default/documents/files/document_library/Publications/Draft Technical Standards/2022/EBA-RTS-2022-09 RTS on SA/1041755/Final draft RTS on SA.pdf</vt:lpwstr>
      </vt:variant>
      <vt:variant>
        <vt:lpwstr/>
      </vt:variant>
      <vt:variant>
        <vt:i4>4522038</vt:i4>
      </vt:variant>
      <vt:variant>
        <vt:i4>0</vt:i4>
      </vt:variant>
      <vt:variant>
        <vt:i4>0</vt:i4>
      </vt:variant>
      <vt:variant>
        <vt:i4>5</vt:i4>
      </vt:variant>
      <vt:variant>
        <vt:lpwstr>https://www.eba.europa.eu/sites/default/documents/files/document_library/Publications/Draft Technical Standards/2022/EBA-RTS-2022-10 RTS on SOTs/1041756/Final draft RTS on SOTs.pdf</vt:lpwstr>
      </vt:variant>
      <vt:variant>
        <vt:lpwstr/>
      </vt:variant>
      <vt:variant>
        <vt:i4>3473436</vt:i4>
      </vt:variant>
      <vt:variant>
        <vt:i4>75</vt:i4>
      </vt:variant>
      <vt:variant>
        <vt:i4>0</vt:i4>
      </vt:variant>
      <vt:variant>
        <vt:i4>5</vt:i4>
      </vt:variant>
      <vt:variant>
        <vt:lpwstr>mailto:Davide.Vioto@eba.europa.eu</vt:lpwstr>
      </vt:variant>
      <vt:variant>
        <vt:lpwstr/>
      </vt:variant>
      <vt:variant>
        <vt:i4>3473436</vt:i4>
      </vt:variant>
      <vt:variant>
        <vt:i4>72</vt:i4>
      </vt:variant>
      <vt:variant>
        <vt:i4>0</vt:i4>
      </vt:variant>
      <vt:variant>
        <vt:i4>5</vt:i4>
      </vt:variant>
      <vt:variant>
        <vt:lpwstr>mailto:Davide.Vioto@eba.europa.eu</vt:lpwstr>
      </vt:variant>
      <vt:variant>
        <vt:lpwstr/>
      </vt:variant>
      <vt:variant>
        <vt:i4>3801093</vt:i4>
      </vt:variant>
      <vt:variant>
        <vt:i4>69</vt:i4>
      </vt:variant>
      <vt:variant>
        <vt:i4>0</vt:i4>
      </vt:variant>
      <vt:variant>
        <vt:i4>5</vt:i4>
      </vt:variant>
      <vt:variant>
        <vt:lpwstr>mailto:Teresa.Bento@eba.europa.eu</vt:lpwstr>
      </vt:variant>
      <vt:variant>
        <vt:lpwstr/>
      </vt:variant>
      <vt:variant>
        <vt:i4>3473436</vt:i4>
      </vt:variant>
      <vt:variant>
        <vt:i4>66</vt:i4>
      </vt:variant>
      <vt:variant>
        <vt:i4>0</vt:i4>
      </vt:variant>
      <vt:variant>
        <vt:i4>5</vt:i4>
      </vt:variant>
      <vt:variant>
        <vt:lpwstr>mailto:Davide.Vioto@eba.europa.eu</vt:lpwstr>
      </vt:variant>
      <vt:variant>
        <vt:lpwstr/>
      </vt:variant>
      <vt:variant>
        <vt:i4>3473436</vt:i4>
      </vt:variant>
      <vt:variant>
        <vt:i4>63</vt:i4>
      </vt:variant>
      <vt:variant>
        <vt:i4>0</vt:i4>
      </vt:variant>
      <vt:variant>
        <vt:i4>5</vt:i4>
      </vt:variant>
      <vt:variant>
        <vt:lpwstr>mailto:Davide.Vioto@eba.europa.eu</vt:lpwstr>
      </vt:variant>
      <vt:variant>
        <vt:lpwstr/>
      </vt:variant>
      <vt:variant>
        <vt:i4>3473436</vt:i4>
      </vt:variant>
      <vt:variant>
        <vt:i4>60</vt:i4>
      </vt:variant>
      <vt:variant>
        <vt:i4>0</vt:i4>
      </vt:variant>
      <vt:variant>
        <vt:i4>5</vt:i4>
      </vt:variant>
      <vt:variant>
        <vt:lpwstr>mailto:Davide.Vioto@eba.europa.eu</vt:lpwstr>
      </vt:variant>
      <vt:variant>
        <vt:lpwstr/>
      </vt:variant>
      <vt:variant>
        <vt:i4>3473436</vt:i4>
      </vt:variant>
      <vt:variant>
        <vt:i4>57</vt:i4>
      </vt:variant>
      <vt:variant>
        <vt:i4>0</vt:i4>
      </vt:variant>
      <vt:variant>
        <vt:i4>5</vt:i4>
      </vt:variant>
      <vt:variant>
        <vt:lpwstr>mailto:Davide.Vioto@eba.europa.eu</vt:lpwstr>
      </vt:variant>
      <vt:variant>
        <vt:lpwstr/>
      </vt:variant>
      <vt:variant>
        <vt:i4>3473436</vt:i4>
      </vt:variant>
      <vt:variant>
        <vt:i4>54</vt:i4>
      </vt:variant>
      <vt:variant>
        <vt:i4>0</vt:i4>
      </vt:variant>
      <vt:variant>
        <vt:i4>5</vt:i4>
      </vt:variant>
      <vt:variant>
        <vt:lpwstr>mailto:Davide.Vioto@eba.europa.eu</vt:lpwstr>
      </vt:variant>
      <vt:variant>
        <vt:lpwstr/>
      </vt:variant>
      <vt:variant>
        <vt:i4>3473436</vt:i4>
      </vt:variant>
      <vt:variant>
        <vt:i4>51</vt:i4>
      </vt:variant>
      <vt:variant>
        <vt:i4>0</vt:i4>
      </vt:variant>
      <vt:variant>
        <vt:i4>5</vt:i4>
      </vt:variant>
      <vt:variant>
        <vt:lpwstr>mailto:Davide.Vioto@eba.europa.eu</vt:lpwstr>
      </vt:variant>
      <vt:variant>
        <vt:lpwstr/>
      </vt:variant>
      <vt:variant>
        <vt:i4>3473436</vt:i4>
      </vt:variant>
      <vt:variant>
        <vt:i4>48</vt:i4>
      </vt:variant>
      <vt:variant>
        <vt:i4>0</vt:i4>
      </vt:variant>
      <vt:variant>
        <vt:i4>5</vt:i4>
      </vt:variant>
      <vt:variant>
        <vt:lpwstr>mailto:Davide.Vioto@eba.europa.eu</vt:lpwstr>
      </vt:variant>
      <vt:variant>
        <vt:lpwstr/>
      </vt:variant>
      <vt:variant>
        <vt:i4>3473436</vt:i4>
      </vt:variant>
      <vt:variant>
        <vt:i4>45</vt:i4>
      </vt:variant>
      <vt:variant>
        <vt:i4>0</vt:i4>
      </vt:variant>
      <vt:variant>
        <vt:i4>5</vt:i4>
      </vt:variant>
      <vt:variant>
        <vt:lpwstr>mailto:Davide.Vioto@eba.europa.eu</vt:lpwstr>
      </vt:variant>
      <vt:variant>
        <vt:lpwstr/>
      </vt:variant>
      <vt:variant>
        <vt:i4>3473436</vt:i4>
      </vt:variant>
      <vt:variant>
        <vt:i4>42</vt:i4>
      </vt:variant>
      <vt:variant>
        <vt:i4>0</vt:i4>
      </vt:variant>
      <vt:variant>
        <vt:i4>5</vt:i4>
      </vt:variant>
      <vt:variant>
        <vt:lpwstr>mailto:Davide.Vioto@eba.europa.eu</vt:lpwstr>
      </vt:variant>
      <vt:variant>
        <vt:lpwstr/>
      </vt:variant>
      <vt:variant>
        <vt:i4>3473436</vt:i4>
      </vt:variant>
      <vt:variant>
        <vt:i4>39</vt:i4>
      </vt:variant>
      <vt:variant>
        <vt:i4>0</vt:i4>
      </vt:variant>
      <vt:variant>
        <vt:i4>5</vt:i4>
      </vt:variant>
      <vt:variant>
        <vt:lpwstr>mailto:Davide.Vioto@eba.europa.eu</vt:lpwstr>
      </vt:variant>
      <vt:variant>
        <vt:lpwstr/>
      </vt:variant>
      <vt:variant>
        <vt:i4>3473436</vt:i4>
      </vt:variant>
      <vt:variant>
        <vt:i4>36</vt:i4>
      </vt:variant>
      <vt:variant>
        <vt:i4>0</vt:i4>
      </vt:variant>
      <vt:variant>
        <vt:i4>5</vt:i4>
      </vt:variant>
      <vt:variant>
        <vt:lpwstr>mailto:Davide.Vioto@eba.europa.eu</vt:lpwstr>
      </vt:variant>
      <vt:variant>
        <vt:lpwstr/>
      </vt:variant>
      <vt:variant>
        <vt:i4>3473436</vt:i4>
      </vt:variant>
      <vt:variant>
        <vt:i4>33</vt:i4>
      </vt:variant>
      <vt:variant>
        <vt:i4>0</vt:i4>
      </vt:variant>
      <vt:variant>
        <vt:i4>5</vt:i4>
      </vt:variant>
      <vt:variant>
        <vt:lpwstr>mailto:Davide.Vioto@eba.europa.eu</vt:lpwstr>
      </vt:variant>
      <vt:variant>
        <vt:lpwstr/>
      </vt:variant>
      <vt:variant>
        <vt:i4>8060994</vt:i4>
      </vt:variant>
      <vt:variant>
        <vt:i4>30</vt:i4>
      </vt:variant>
      <vt:variant>
        <vt:i4>0</vt:i4>
      </vt:variant>
      <vt:variant>
        <vt:i4>5</vt:i4>
      </vt:variant>
      <vt:variant>
        <vt:lpwstr>mailto:Jorge.Rivero@eba.europa.eu</vt:lpwstr>
      </vt:variant>
      <vt:variant>
        <vt:lpwstr/>
      </vt:variant>
      <vt:variant>
        <vt:i4>3473436</vt:i4>
      </vt:variant>
      <vt:variant>
        <vt:i4>27</vt:i4>
      </vt:variant>
      <vt:variant>
        <vt:i4>0</vt:i4>
      </vt:variant>
      <vt:variant>
        <vt:i4>5</vt:i4>
      </vt:variant>
      <vt:variant>
        <vt:lpwstr>mailto:Davide.Vioto@eba.europa.eu</vt:lpwstr>
      </vt:variant>
      <vt:variant>
        <vt:lpwstr/>
      </vt:variant>
      <vt:variant>
        <vt:i4>3473436</vt:i4>
      </vt:variant>
      <vt:variant>
        <vt:i4>24</vt:i4>
      </vt:variant>
      <vt:variant>
        <vt:i4>0</vt:i4>
      </vt:variant>
      <vt:variant>
        <vt:i4>5</vt:i4>
      </vt:variant>
      <vt:variant>
        <vt:lpwstr>mailto:Davide.Vioto@eba.europa.eu</vt:lpwstr>
      </vt:variant>
      <vt:variant>
        <vt:lpwstr/>
      </vt:variant>
      <vt:variant>
        <vt:i4>3473436</vt:i4>
      </vt:variant>
      <vt:variant>
        <vt:i4>21</vt:i4>
      </vt:variant>
      <vt:variant>
        <vt:i4>0</vt:i4>
      </vt:variant>
      <vt:variant>
        <vt:i4>5</vt:i4>
      </vt:variant>
      <vt:variant>
        <vt:lpwstr>mailto:Davide.Vioto@eba.europa.eu</vt:lpwstr>
      </vt:variant>
      <vt:variant>
        <vt:lpwstr/>
      </vt:variant>
      <vt:variant>
        <vt:i4>3473436</vt:i4>
      </vt:variant>
      <vt:variant>
        <vt:i4>18</vt:i4>
      </vt:variant>
      <vt:variant>
        <vt:i4>0</vt:i4>
      </vt:variant>
      <vt:variant>
        <vt:i4>5</vt:i4>
      </vt:variant>
      <vt:variant>
        <vt:lpwstr>mailto:Davide.Vioto@eba.europa.eu</vt:lpwstr>
      </vt:variant>
      <vt:variant>
        <vt:lpwstr/>
      </vt:variant>
      <vt:variant>
        <vt:i4>3801093</vt:i4>
      </vt:variant>
      <vt:variant>
        <vt:i4>15</vt:i4>
      </vt:variant>
      <vt:variant>
        <vt:i4>0</vt:i4>
      </vt:variant>
      <vt:variant>
        <vt:i4>5</vt:i4>
      </vt:variant>
      <vt:variant>
        <vt:lpwstr>mailto:Teresa.Bento@eba.europa.eu</vt:lpwstr>
      </vt:variant>
      <vt:variant>
        <vt:lpwstr/>
      </vt:variant>
      <vt:variant>
        <vt:i4>3473436</vt:i4>
      </vt:variant>
      <vt:variant>
        <vt:i4>12</vt:i4>
      </vt:variant>
      <vt:variant>
        <vt:i4>0</vt:i4>
      </vt:variant>
      <vt:variant>
        <vt:i4>5</vt:i4>
      </vt:variant>
      <vt:variant>
        <vt:lpwstr>mailto:Davide.Vioto@eba.europa.eu</vt:lpwstr>
      </vt:variant>
      <vt:variant>
        <vt:lpwstr/>
      </vt:variant>
      <vt:variant>
        <vt:i4>3801093</vt:i4>
      </vt:variant>
      <vt:variant>
        <vt:i4>9</vt:i4>
      </vt:variant>
      <vt:variant>
        <vt:i4>0</vt:i4>
      </vt:variant>
      <vt:variant>
        <vt:i4>5</vt:i4>
      </vt:variant>
      <vt:variant>
        <vt:lpwstr>mailto:Teresa.Bento@eba.europa.eu</vt:lpwstr>
      </vt:variant>
      <vt:variant>
        <vt:lpwstr/>
      </vt:variant>
      <vt:variant>
        <vt:i4>3473436</vt:i4>
      </vt:variant>
      <vt:variant>
        <vt:i4>6</vt:i4>
      </vt:variant>
      <vt:variant>
        <vt:i4>0</vt:i4>
      </vt:variant>
      <vt:variant>
        <vt:i4>5</vt:i4>
      </vt:variant>
      <vt:variant>
        <vt:lpwstr>mailto:Davide.Vioto@eba.europa.eu</vt:lpwstr>
      </vt:variant>
      <vt:variant>
        <vt:lpwstr/>
      </vt:variant>
      <vt:variant>
        <vt:i4>3801093</vt:i4>
      </vt:variant>
      <vt:variant>
        <vt:i4>3</vt:i4>
      </vt:variant>
      <vt:variant>
        <vt:i4>0</vt:i4>
      </vt:variant>
      <vt:variant>
        <vt:i4>5</vt:i4>
      </vt:variant>
      <vt:variant>
        <vt:lpwstr>mailto:Teresa.Bento@eba.europa.eu</vt:lpwstr>
      </vt:variant>
      <vt:variant>
        <vt:lpwstr/>
      </vt:variant>
      <vt:variant>
        <vt:i4>3473436</vt:i4>
      </vt:variant>
      <vt:variant>
        <vt:i4>0</vt:i4>
      </vt:variant>
      <vt:variant>
        <vt:i4>0</vt:i4>
      </vt:variant>
      <vt:variant>
        <vt:i4>5</vt:i4>
      </vt:variant>
      <vt:variant>
        <vt:lpwstr>mailto:Davide.Vioto@eba.europa.eu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Bento</dc:creator>
  <cp:keywords/>
  <cp:lastModifiedBy>Jana Jaklic</cp:lastModifiedBy>
  <cp:revision>17</cp:revision>
  <dcterms:created xsi:type="dcterms:W3CDTF">2023-07-20T09:03:00Z</dcterms:created>
  <dcterms:modified xsi:type="dcterms:W3CDTF">2023-07-31T13:09:00Z</dcterms:modified>
</cp:coreProperties>
</file>