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E3B" w:rsidRPr="00267206" w:rsidRDefault="00A57E3B" w:rsidP="005D249C">
      <w:pPr>
        <w:pStyle w:val="Heading2"/>
        <w:rPr>
          <w:rFonts w:ascii="Times New Roman" w:hAnsi="Times New Roman"/>
          <w:i/>
          <w:lang w:val="fr-FR"/>
        </w:rPr>
      </w:pPr>
      <w:bookmarkStart w:id="0" w:name="_Toc310414964"/>
    </w:p>
    <w:p w:rsidR="0070134A" w:rsidRPr="007B693F" w:rsidRDefault="0070134A" w:rsidP="0070134A">
      <w:pPr>
        <w:jc w:val="center"/>
        <w:rPr>
          <w:rFonts w:ascii="Times New Roman" w:hAnsi="Times New Roman"/>
          <w:sz w:val="28"/>
          <w:szCs w:val="28"/>
        </w:rPr>
      </w:pPr>
      <w:r>
        <w:rPr>
          <w:rFonts w:ascii="Times New Roman" w:hAnsi="Times New Roman"/>
          <w:sz w:val="28"/>
          <w:szCs w:val="28"/>
        </w:rPr>
        <w:t>ANNEX XIII</w:t>
      </w:r>
    </w:p>
    <w:p w:rsidR="0070134A" w:rsidRPr="007B693F" w:rsidRDefault="0070134A" w:rsidP="0070134A">
      <w:pPr>
        <w:jc w:val="center"/>
        <w:rPr>
          <w:rFonts w:ascii="Times New Roman" w:hAnsi="Times New Roman"/>
          <w:b/>
          <w:sz w:val="24"/>
          <w:lang w:eastAsia="de-DE"/>
        </w:rPr>
      </w:pPr>
      <w:r w:rsidRPr="007B693F">
        <w:rPr>
          <w:rFonts w:ascii="Times New Roman" w:hAnsi="Times New Roman"/>
          <w:b/>
          <w:sz w:val="24"/>
          <w:lang w:eastAsia="de-DE"/>
        </w:rPr>
        <w:t xml:space="preserve">REPORTING ON </w:t>
      </w:r>
      <w:r>
        <w:rPr>
          <w:rFonts w:ascii="Times New Roman" w:hAnsi="Times New Roman"/>
          <w:b/>
          <w:sz w:val="24"/>
          <w:lang w:eastAsia="de-DE"/>
        </w:rPr>
        <w:t>LIQUIDITY (P</w:t>
      </w:r>
      <w:r w:rsidR="00E10352">
        <w:rPr>
          <w:rFonts w:ascii="Times New Roman" w:hAnsi="Times New Roman"/>
          <w:b/>
          <w:sz w:val="24"/>
          <w:lang w:eastAsia="de-DE"/>
        </w:rPr>
        <w:t xml:space="preserve">ART </w:t>
      </w:r>
      <w:r w:rsidR="0004119A">
        <w:rPr>
          <w:rFonts w:ascii="Times New Roman" w:hAnsi="Times New Roman"/>
          <w:b/>
          <w:sz w:val="24"/>
          <w:lang w:eastAsia="de-DE"/>
        </w:rPr>
        <w:t>1</w:t>
      </w:r>
      <w:r w:rsidR="00E10352">
        <w:rPr>
          <w:rFonts w:ascii="Times New Roman" w:hAnsi="Times New Roman"/>
          <w:b/>
          <w:sz w:val="24"/>
          <w:lang w:eastAsia="de-DE"/>
        </w:rPr>
        <w:t>: LIQUID ASSETS</w:t>
      </w:r>
      <w:r>
        <w:rPr>
          <w:rFonts w:ascii="Times New Roman" w:hAnsi="Times New Roman"/>
          <w:b/>
          <w:sz w:val="24"/>
          <w:lang w:eastAsia="de-DE"/>
        </w:rPr>
        <w:t>)</w:t>
      </w:r>
    </w:p>
    <w:bookmarkEnd w:id="0"/>
    <w:p w:rsidR="00D02FE4" w:rsidRPr="000818F4" w:rsidRDefault="00D02FE4" w:rsidP="005D249C">
      <w:pPr>
        <w:pStyle w:val="Instructionsberschrift2"/>
        <w:numPr>
          <w:ilvl w:val="0"/>
          <w:numId w:val="3"/>
        </w:numPr>
        <w:rPr>
          <w:rFonts w:ascii="Times New Roman" w:hAnsi="Times New Roman" w:cs="Times New Roman"/>
          <w:u w:val="none"/>
        </w:rPr>
      </w:pPr>
      <w:r w:rsidRPr="000818F4">
        <w:rPr>
          <w:rFonts w:ascii="Times New Roman" w:hAnsi="Times New Roman" w:cs="Times New Roman"/>
          <w:u w:val="none"/>
        </w:rPr>
        <w:t>Liquid assets</w:t>
      </w:r>
    </w:p>
    <w:p w:rsidR="00D02FE4" w:rsidRPr="000818F4" w:rsidRDefault="00D02FE4" w:rsidP="005D249C">
      <w:pPr>
        <w:pStyle w:val="Instructionsberschrift2"/>
        <w:numPr>
          <w:ilvl w:val="1"/>
          <w:numId w:val="3"/>
        </w:numPr>
        <w:rPr>
          <w:rFonts w:ascii="Times New Roman" w:hAnsi="Times New Roman" w:cs="Times New Roman"/>
          <w:u w:val="none"/>
        </w:rPr>
      </w:pPr>
      <w:bookmarkStart w:id="1" w:name="_Toc308175819"/>
      <w:bookmarkStart w:id="2" w:name="_Toc310414966"/>
      <w:r w:rsidRPr="000818F4">
        <w:rPr>
          <w:rFonts w:ascii="Times New Roman" w:hAnsi="Times New Roman" w:cs="Times New Roman"/>
          <w:u w:val="none"/>
        </w:rPr>
        <w:t>General remarks</w:t>
      </w:r>
      <w:bookmarkEnd w:id="1"/>
      <w:bookmarkEnd w:id="2"/>
    </w:p>
    <w:p w:rsidR="005D6CE3" w:rsidRPr="000818F4" w:rsidRDefault="00D02FE4" w:rsidP="00267206">
      <w:pPr>
        <w:pStyle w:val="InstructionsText2"/>
        <w:rPr>
          <w:u w:val="none"/>
        </w:rPr>
      </w:pPr>
      <w:r w:rsidRPr="000818F4">
        <w:rPr>
          <w:u w:val="none"/>
        </w:rPr>
        <w:t>This is a summary template which contains information about</w:t>
      </w:r>
      <w:r w:rsidR="00104F31" w:rsidRPr="000818F4">
        <w:rPr>
          <w:u w:val="none"/>
        </w:rPr>
        <w:t xml:space="preserve"> assets</w:t>
      </w:r>
      <w:r w:rsidR="005E3727" w:rsidRPr="000818F4">
        <w:rPr>
          <w:u w:val="none"/>
        </w:rPr>
        <w:t xml:space="preserve"> for the purpose of </w:t>
      </w:r>
      <w:r w:rsidR="00C27BE9" w:rsidRPr="000818F4">
        <w:rPr>
          <w:u w:val="none"/>
        </w:rPr>
        <w:t>monitoring</w:t>
      </w:r>
      <w:r w:rsidR="005E3727" w:rsidRPr="000818F4">
        <w:rPr>
          <w:u w:val="none"/>
        </w:rPr>
        <w:t xml:space="preserve"> the liquidity coverage requirement as specified in Article </w:t>
      </w:r>
      <w:r w:rsidR="005D4472" w:rsidRPr="000818F4">
        <w:rPr>
          <w:u w:val="none"/>
        </w:rPr>
        <w:t>41</w:t>
      </w:r>
      <w:r w:rsidR="00F90623" w:rsidRPr="000818F4">
        <w:rPr>
          <w:u w:val="none"/>
        </w:rPr>
        <w:t>2</w:t>
      </w:r>
      <w:r w:rsidR="005D4472" w:rsidRPr="000818F4">
        <w:rPr>
          <w:u w:val="none"/>
        </w:rPr>
        <w:t xml:space="preserve"> </w:t>
      </w:r>
      <w:r w:rsidR="007655D4" w:rsidRPr="000818F4">
        <w:rPr>
          <w:u w:val="none"/>
        </w:rPr>
        <w:t>REGULATION (EU) NO 575/2013</w:t>
      </w:r>
      <w:r w:rsidR="00767000" w:rsidRPr="000818F4">
        <w:rPr>
          <w:u w:val="none"/>
        </w:rPr>
        <w:t xml:space="preserve">. </w:t>
      </w:r>
      <w:r w:rsidR="00604078" w:rsidRPr="000818F4">
        <w:rPr>
          <w:u w:val="none"/>
        </w:rPr>
        <w:t xml:space="preserve">Items which do not need to be completed by institutions are </w:t>
      </w:r>
      <w:r w:rsidR="000818F4" w:rsidRPr="000818F4">
        <w:rPr>
          <w:u w:val="none"/>
        </w:rPr>
        <w:t>colored</w:t>
      </w:r>
      <w:r w:rsidR="00604078" w:rsidRPr="000818F4">
        <w:rPr>
          <w:u w:val="none"/>
        </w:rPr>
        <w:t xml:space="preserve"> grey.</w:t>
      </w:r>
    </w:p>
    <w:p w:rsidR="005D6CE3" w:rsidRPr="000818F4" w:rsidRDefault="00767000" w:rsidP="00267206">
      <w:pPr>
        <w:pStyle w:val="InstructionsText2"/>
        <w:rPr>
          <w:u w:val="none"/>
        </w:rPr>
      </w:pPr>
      <w:r w:rsidRPr="000818F4">
        <w:rPr>
          <w:u w:val="none"/>
        </w:rPr>
        <w:t xml:space="preserve">Assets </w:t>
      </w:r>
      <w:r w:rsidR="00DC250E" w:rsidRPr="000818F4">
        <w:rPr>
          <w:u w:val="none"/>
        </w:rPr>
        <w:t>shall</w:t>
      </w:r>
      <w:r w:rsidRPr="000818F4">
        <w:rPr>
          <w:u w:val="none"/>
        </w:rPr>
        <w:t xml:space="preserve"> be reported in one of </w:t>
      </w:r>
      <w:r w:rsidR="00C32DFF" w:rsidRPr="000818F4">
        <w:rPr>
          <w:u w:val="none"/>
        </w:rPr>
        <w:t xml:space="preserve">six </w:t>
      </w:r>
      <w:r w:rsidRPr="000818F4">
        <w:rPr>
          <w:u w:val="none"/>
        </w:rPr>
        <w:t>sections in this template:</w:t>
      </w:r>
    </w:p>
    <w:p w:rsidR="005D6CE3" w:rsidRPr="000818F4" w:rsidRDefault="00767000" w:rsidP="00267206">
      <w:pPr>
        <w:pStyle w:val="InstructionsText2"/>
        <w:rPr>
          <w:u w:val="none"/>
        </w:rPr>
      </w:pPr>
      <w:r w:rsidRPr="000818F4">
        <w:rPr>
          <w:u w:val="none"/>
        </w:rPr>
        <w:t>Assets which meet the requirements</w:t>
      </w:r>
      <w:r w:rsidR="005D4472" w:rsidRPr="000818F4">
        <w:rPr>
          <w:u w:val="none"/>
        </w:rPr>
        <w:t xml:space="preserve"> of</w:t>
      </w:r>
      <w:r w:rsidRPr="000818F4">
        <w:rPr>
          <w:u w:val="none"/>
        </w:rPr>
        <w:t xml:space="preserve"> Article 4</w:t>
      </w:r>
      <w:r w:rsidR="00E57D5A" w:rsidRPr="000818F4">
        <w:rPr>
          <w:u w:val="none"/>
        </w:rPr>
        <w:t>16</w:t>
      </w:r>
      <w:r w:rsidRPr="000818F4">
        <w:rPr>
          <w:u w:val="none"/>
        </w:rPr>
        <w:t xml:space="preserve"> and Article 4</w:t>
      </w:r>
      <w:r w:rsidR="00E57D5A" w:rsidRPr="000818F4">
        <w:rPr>
          <w:u w:val="none"/>
        </w:rPr>
        <w:t>17</w:t>
      </w:r>
      <w:r w:rsidRPr="000818F4">
        <w:rPr>
          <w:u w:val="none"/>
        </w:rPr>
        <w:t>: assets</w:t>
      </w:r>
      <w:r w:rsidR="00C97690" w:rsidRPr="000818F4">
        <w:rPr>
          <w:u w:val="none"/>
        </w:rPr>
        <w:t xml:space="preserve"> identified as</w:t>
      </w:r>
      <w:r w:rsidRPr="000818F4">
        <w:rPr>
          <w:u w:val="none"/>
        </w:rPr>
        <w:t xml:space="preserve"> </w:t>
      </w:r>
      <w:r w:rsidR="00C97690" w:rsidRPr="000818F4">
        <w:rPr>
          <w:u w:val="none"/>
        </w:rPr>
        <w:t xml:space="preserve">liquid </w:t>
      </w:r>
      <w:r w:rsidR="005D4472" w:rsidRPr="000818F4">
        <w:rPr>
          <w:u w:val="none"/>
        </w:rPr>
        <w:t xml:space="preserve">for </w:t>
      </w:r>
      <w:r w:rsidR="00021303" w:rsidRPr="000818F4">
        <w:rPr>
          <w:u w:val="none"/>
        </w:rPr>
        <w:t>reporting</w:t>
      </w:r>
      <w:r w:rsidR="005D4472" w:rsidRPr="000818F4">
        <w:rPr>
          <w:u w:val="none"/>
        </w:rPr>
        <w:t xml:space="preserve"> purposes </w:t>
      </w:r>
      <w:r w:rsidR="00C97690" w:rsidRPr="000818F4">
        <w:rPr>
          <w:u w:val="none"/>
        </w:rPr>
        <w:t xml:space="preserve">in the </w:t>
      </w:r>
      <w:r w:rsidR="007655D4" w:rsidRPr="000818F4">
        <w:rPr>
          <w:u w:val="none"/>
        </w:rPr>
        <w:t>REGULATION (EU) NO 575/2013</w:t>
      </w:r>
      <w:r w:rsidR="00C97690" w:rsidRPr="000818F4">
        <w:rPr>
          <w:u w:val="none"/>
        </w:rPr>
        <w:t xml:space="preserve">, </w:t>
      </w:r>
      <w:r w:rsidRPr="000818F4">
        <w:rPr>
          <w:u w:val="none"/>
        </w:rPr>
        <w:t>which meet the operational requirements for holdings of liquid assets.</w:t>
      </w:r>
    </w:p>
    <w:p w:rsidR="0051259E" w:rsidRPr="000818F4" w:rsidRDefault="00767000" w:rsidP="00267206">
      <w:pPr>
        <w:pStyle w:val="InstructionsText2"/>
        <w:rPr>
          <w:u w:val="none"/>
        </w:rPr>
      </w:pPr>
      <w:r w:rsidRPr="000818F4">
        <w:rPr>
          <w:u w:val="none"/>
        </w:rPr>
        <w:t>Assets which meet the</w:t>
      </w:r>
      <w:r w:rsidR="005D4472" w:rsidRPr="000818F4">
        <w:rPr>
          <w:u w:val="none"/>
        </w:rPr>
        <w:t xml:space="preserve"> requirements of</w:t>
      </w:r>
      <w:r w:rsidRPr="000818F4">
        <w:rPr>
          <w:u w:val="none"/>
        </w:rPr>
        <w:t xml:space="preserve"> Article 4</w:t>
      </w:r>
      <w:r w:rsidR="00AA3B42" w:rsidRPr="000818F4">
        <w:rPr>
          <w:u w:val="none"/>
        </w:rPr>
        <w:t>16 (1) (b) and (d)</w:t>
      </w:r>
      <w:r w:rsidRPr="000818F4">
        <w:rPr>
          <w:u w:val="none"/>
        </w:rPr>
        <w:t xml:space="preserve"> but do not meet the requirements of Article </w:t>
      </w:r>
      <w:r w:rsidR="00AA3B42" w:rsidRPr="000818F4">
        <w:rPr>
          <w:u w:val="none"/>
        </w:rPr>
        <w:t>417</w:t>
      </w:r>
      <w:r w:rsidRPr="000818F4">
        <w:rPr>
          <w:u w:val="none"/>
        </w:rPr>
        <w:t xml:space="preserve"> (</w:t>
      </w:r>
      <w:r w:rsidR="0062425C" w:rsidRPr="000818F4">
        <w:rPr>
          <w:u w:val="none"/>
        </w:rPr>
        <w:t>b</w:t>
      </w:r>
      <w:r w:rsidRPr="000818F4">
        <w:rPr>
          <w:u w:val="none"/>
        </w:rPr>
        <w:t>) and (</w:t>
      </w:r>
      <w:r w:rsidR="0062425C" w:rsidRPr="000818F4">
        <w:rPr>
          <w:u w:val="none"/>
        </w:rPr>
        <w:t>c</w:t>
      </w:r>
      <w:r w:rsidRPr="000818F4">
        <w:rPr>
          <w:u w:val="none"/>
        </w:rPr>
        <w:t xml:space="preserve">) </w:t>
      </w:r>
      <w:r w:rsidR="007655D4" w:rsidRPr="000818F4">
        <w:rPr>
          <w:u w:val="none"/>
        </w:rPr>
        <w:t>REGULATION (EU) NO 575/2013</w:t>
      </w:r>
      <w:r w:rsidR="00B22151" w:rsidRPr="000818F4">
        <w:rPr>
          <w:u w:val="none"/>
        </w:rPr>
        <w:t>.</w:t>
      </w:r>
    </w:p>
    <w:p w:rsidR="0051259E" w:rsidRPr="000818F4" w:rsidRDefault="00C32DFF" w:rsidP="00267206">
      <w:pPr>
        <w:pStyle w:val="InstructionsText2"/>
        <w:rPr>
          <w:u w:val="none"/>
        </w:rPr>
      </w:pPr>
      <w:r w:rsidRPr="000818F4">
        <w:rPr>
          <w:u w:val="none"/>
        </w:rPr>
        <w:t xml:space="preserve">Items subject to supplementary reporting of liquid assets according to Annex III </w:t>
      </w:r>
      <w:r w:rsidR="007655D4" w:rsidRPr="000818F4">
        <w:rPr>
          <w:u w:val="none"/>
        </w:rPr>
        <w:t>REGULATION (EU) NO 575/2013</w:t>
      </w:r>
    </w:p>
    <w:p w:rsidR="0051259E" w:rsidRPr="000818F4" w:rsidRDefault="00767000" w:rsidP="00267206">
      <w:pPr>
        <w:pStyle w:val="InstructionsText2"/>
        <w:rPr>
          <w:u w:val="none"/>
        </w:rPr>
      </w:pPr>
      <w:r w:rsidRPr="000818F4">
        <w:rPr>
          <w:u w:val="none"/>
        </w:rPr>
        <w:t xml:space="preserve">Assets which do not meet the </w:t>
      </w:r>
      <w:r w:rsidR="00C32DFF" w:rsidRPr="000818F4">
        <w:rPr>
          <w:u w:val="none"/>
        </w:rPr>
        <w:t xml:space="preserve">requirements </w:t>
      </w:r>
      <w:r w:rsidRPr="000818F4">
        <w:rPr>
          <w:u w:val="none"/>
        </w:rPr>
        <w:t>of Article 4</w:t>
      </w:r>
      <w:r w:rsidR="00254638" w:rsidRPr="000818F4">
        <w:rPr>
          <w:u w:val="none"/>
        </w:rPr>
        <w:t>16</w:t>
      </w:r>
      <w:r w:rsidRPr="000818F4">
        <w:rPr>
          <w:u w:val="none"/>
        </w:rPr>
        <w:t xml:space="preserve"> </w:t>
      </w:r>
      <w:r w:rsidR="007655D4" w:rsidRPr="000818F4">
        <w:rPr>
          <w:u w:val="none"/>
        </w:rPr>
        <w:t>REGULATION (EU) NO 575/2013</w:t>
      </w:r>
      <w:r w:rsidR="00C32DFF" w:rsidRPr="000818F4">
        <w:rPr>
          <w:u w:val="none"/>
        </w:rPr>
        <w:t xml:space="preserve"> but meet the requirements of Article 417(b) and (c) </w:t>
      </w:r>
      <w:r w:rsidR="007655D4" w:rsidRPr="000818F4">
        <w:rPr>
          <w:u w:val="none"/>
        </w:rPr>
        <w:t>REGULATION (EU) NO 575/2013</w:t>
      </w:r>
      <w:r w:rsidRPr="000818F4">
        <w:rPr>
          <w:u w:val="none"/>
        </w:rPr>
        <w:t>.</w:t>
      </w:r>
    </w:p>
    <w:p w:rsidR="0051259E" w:rsidRPr="000818F4" w:rsidRDefault="00C32DFF" w:rsidP="00267206">
      <w:pPr>
        <w:pStyle w:val="InstructionsText2"/>
        <w:rPr>
          <w:u w:val="none"/>
        </w:rPr>
      </w:pPr>
      <w:r w:rsidRPr="000818F4">
        <w:rPr>
          <w:u w:val="none"/>
        </w:rPr>
        <w:t>Treatment for jurisdictions with insufficient liquid assets</w:t>
      </w:r>
    </w:p>
    <w:p w:rsidR="0051259E" w:rsidRPr="000818F4" w:rsidRDefault="00C32DFF" w:rsidP="00267206">
      <w:pPr>
        <w:pStyle w:val="InstructionsText2"/>
        <w:rPr>
          <w:u w:val="none"/>
        </w:rPr>
      </w:pPr>
      <w:r w:rsidRPr="000818F4">
        <w:rPr>
          <w:u w:val="none"/>
        </w:rPr>
        <w:t xml:space="preserve">Reporting of </w:t>
      </w:r>
      <w:proofErr w:type="spellStart"/>
      <w:r w:rsidRPr="000818F4">
        <w:rPr>
          <w:u w:val="none"/>
        </w:rPr>
        <w:t>Shar’iah</w:t>
      </w:r>
      <w:proofErr w:type="spellEnd"/>
      <w:r w:rsidRPr="000818F4">
        <w:rPr>
          <w:u w:val="none"/>
        </w:rPr>
        <w:t xml:space="preserve"> compliant assets as alternative assets under Article 509(2</w:t>
      </w:r>
      <w:proofErr w:type="gramStart"/>
      <w:r w:rsidRPr="000818F4">
        <w:rPr>
          <w:u w:val="none"/>
        </w:rPr>
        <w:t>)(</w:t>
      </w:r>
      <w:proofErr w:type="spellStart"/>
      <w:proofErr w:type="gramEnd"/>
      <w:r w:rsidRPr="000818F4">
        <w:rPr>
          <w:u w:val="none"/>
        </w:rPr>
        <w:t>i</w:t>
      </w:r>
      <w:proofErr w:type="spellEnd"/>
      <w:r w:rsidRPr="000818F4">
        <w:rPr>
          <w:u w:val="none"/>
        </w:rPr>
        <w:t>).</w:t>
      </w:r>
    </w:p>
    <w:p w:rsidR="00B22151" w:rsidRPr="000818F4" w:rsidRDefault="00B22151" w:rsidP="00B22151">
      <w:pPr>
        <w:pStyle w:val="Instructionsberschrift2"/>
        <w:numPr>
          <w:ilvl w:val="1"/>
          <w:numId w:val="3"/>
        </w:numPr>
        <w:rPr>
          <w:rFonts w:ascii="Times New Roman" w:hAnsi="Times New Roman" w:cs="Times New Roman"/>
          <w:u w:val="none"/>
        </w:rPr>
      </w:pPr>
      <w:r w:rsidRPr="000818F4">
        <w:rPr>
          <w:rFonts w:ascii="Times New Roman" w:hAnsi="Times New Roman" w:cs="Times New Roman"/>
          <w:u w:val="none"/>
        </w:rPr>
        <w:t>Specific remarks</w:t>
      </w:r>
    </w:p>
    <w:p w:rsidR="0051259E" w:rsidRPr="000818F4" w:rsidRDefault="00B22151" w:rsidP="00267206">
      <w:pPr>
        <w:pStyle w:val="InstructionsText2"/>
        <w:rPr>
          <w:u w:val="none"/>
        </w:rPr>
      </w:pPr>
      <w:r w:rsidRPr="000818F4">
        <w:rPr>
          <w:u w:val="none"/>
        </w:rPr>
        <w:t xml:space="preserve">For items </w:t>
      </w:r>
      <w:r w:rsidR="00DB58E5" w:rsidRPr="000818F4">
        <w:rPr>
          <w:u w:val="none"/>
        </w:rPr>
        <w:t>1.1</w:t>
      </w:r>
      <w:r w:rsidRPr="000818F4">
        <w:rPr>
          <w:u w:val="none"/>
        </w:rPr>
        <w:t xml:space="preserve"> to </w:t>
      </w:r>
      <w:r w:rsidR="00C32DFF" w:rsidRPr="000818F4">
        <w:rPr>
          <w:u w:val="none"/>
        </w:rPr>
        <w:t xml:space="preserve">1.2 institutions shall report the relevant amounts in column </w:t>
      </w:r>
      <w:r w:rsidR="000818F4">
        <w:rPr>
          <w:u w:val="none"/>
        </w:rPr>
        <w:t>010</w:t>
      </w:r>
      <w:r w:rsidR="00C32DFF" w:rsidRPr="000818F4">
        <w:rPr>
          <w:u w:val="none"/>
        </w:rPr>
        <w:t>.</w:t>
      </w:r>
    </w:p>
    <w:p w:rsidR="0051259E" w:rsidRPr="000818F4" w:rsidRDefault="00C32DFF" w:rsidP="00267206">
      <w:pPr>
        <w:pStyle w:val="InstructionsText2"/>
        <w:rPr>
          <w:u w:val="none"/>
        </w:rPr>
      </w:pPr>
      <w:r w:rsidRPr="000818F4">
        <w:rPr>
          <w:u w:val="none"/>
        </w:rPr>
        <w:t xml:space="preserve">For items 1.3 to </w:t>
      </w:r>
      <w:r w:rsidR="00DB58E5" w:rsidRPr="000818F4">
        <w:rPr>
          <w:u w:val="none"/>
        </w:rPr>
        <w:t>1.4</w:t>
      </w:r>
      <w:r w:rsidR="000F32F6" w:rsidRPr="000818F4">
        <w:rPr>
          <w:u w:val="none"/>
        </w:rPr>
        <w:t xml:space="preserve"> institutions </w:t>
      </w:r>
      <w:r w:rsidR="00F0098F" w:rsidRPr="000818F4">
        <w:rPr>
          <w:u w:val="none"/>
        </w:rPr>
        <w:t xml:space="preserve">shall </w:t>
      </w:r>
      <w:r w:rsidR="000F32F6" w:rsidRPr="000818F4">
        <w:rPr>
          <w:u w:val="none"/>
        </w:rPr>
        <w:t xml:space="preserve">report the market value of assets in column </w:t>
      </w:r>
      <w:r w:rsidR="000818F4">
        <w:rPr>
          <w:u w:val="none"/>
        </w:rPr>
        <w:t>010</w:t>
      </w:r>
      <w:r w:rsidR="007359FE" w:rsidRPr="000818F4">
        <w:rPr>
          <w:u w:val="none"/>
        </w:rPr>
        <w:t xml:space="preserve"> </w:t>
      </w:r>
      <w:r w:rsidR="00C16CAF" w:rsidRPr="000818F4">
        <w:rPr>
          <w:u w:val="none"/>
        </w:rPr>
        <w:t xml:space="preserve">and the value according to Article 418 in column </w:t>
      </w:r>
      <w:r w:rsidR="000818F4">
        <w:rPr>
          <w:u w:val="none"/>
        </w:rPr>
        <w:t>020</w:t>
      </w:r>
      <w:r w:rsidR="00C16CAF" w:rsidRPr="000818F4">
        <w:rPr>
          <w:u w:val="none"/>
        </w:rPr>
        <w:t xml:space="preserve"> </w:t>
      </w:r>
      <w:r w:rsidR="007359FE" w:rsidRPr="000818F4">
        <w:rPr>
          <w:u w:val="none"/>
        </w:rPr>
        <w:t>for each category of assets</w:t>
      </w:r>
      <w:r w:rsidR="000F32F6" w:rsidRPr="000818F4">
        <w:rPr>
          <w:u w:val="none"/>
        </w:rPr>
        <w:t>.</w:t>
      </w:r>
    </w:p>
    <w:p w:rsidR="0051259E" w:rsidRPr="000818F4" w:rsidRDefault="00F0098F" w:rsidP="00267206">
      <w:pPr>
        <w:pStyle w:val="InstructionsText2"/>
        <w:rPr>
          <w:u w:val="none"/>
        </w:rPr>
      </w:pPr>
      <w:r w:rsidRPr="000818F4">
        <w:rPr>
          <w:u w:val="none"/>
        </w:rPr>
        <w:t xml:space="preserve">For item 1.5 institutions shall report the relevant undrawn amount in column </w:t>
      </w:r>
      <w:r w:rsidR="000818F4">
        <w:rPr>
          <w:u w:val="none"/>
        </w:rPr>
        <w:t>010</w:t>
      </w:r>
      <w:r w:rsidRPr="000818F4">
        <w:rPr>
          <w:u w:val="none"/>
        </w:rPr>
        <w:t>.</w:t>
      </w:r>
    </w:p>
    <w:p w:rsidR="0051259E" w:rsidRPr="000818F4" w:rsidRDefault="00F0098F" w:rsidP="00267206">
      <w:pPr>
        <w:pStyle w:val="InstructionsText2"/>
        <w:rPr>
          <w:u w:val="none"/>
        </w:rPr>
      </w:pPr>
      <w:r w:rsidRPr="000818F4">
        <w:rPr>
          <w:u w:val="none"/>
        </w:rPr>
        <w:t xml:space="preserve">For item 1.6 institutions shall report the relevant amounts in column </w:t>
      </w:r>
      <w:r w:rsidR="000818F4">
        <w:rPr>
          <w:u w:val="none"/>
        </w:rPr>
        <w:t>020</w:t>
      </w:r>
      <w:r w:rsidRPr="000818F4">
        <w:rPr>
          <w:u w:val="none"/>
        </w:rPr>
        <w:t>.</w:t>
      </w:r>
    </w:p>
    <w:p w:rsidR="0051259E" w:rsidRPr="000818F4" w:rsidRDefault="00B22151" w:rsidP="00267206">
      <w:pPr>
        <w:pStyle w:val="InstructionsText2"/>
        <w:rPr>
          <w:u w:val="none"/>
        </w:rPr>
      </w:pPr>
      <w:r w:rsidRPr="000818F4">
        <w:rPr>
          <w:u w:val="none"/>
        </w:rPr>
        <w:t>F</w:t>
      </w:r>
      <w:r w:rsidR="000F32F6" w:rsidRPr="000818F4">
        <w:rPr>
          <w:u w:val="none"/>
        </w:rPr>
        <w:t xml:space="preserve">or items </w:t>
      </w:r>
      <w:r w:rsidR="00FF25FE" w:rsidRPr="000818F4">
        <w:rPr>
          <w:u w:val="none"/>
        </w:rPr>
        <w:t>1.</w:t>
      </w:r>
      <w:r w:rsidR="00F0098F" w:rsidRPr="000818F4">
        <w:rPr>
          <w:u w:val="none"/>
        </w:rPr>
        <w:t xml:space="preserve">7 </w:t>
      </w:r>
      <w:r w:rsidR="00FF25FE" w:rsidRPr="000818F4">
        <w:rPr>
          <w:u w:val="none"/>
        </w:rPr>
        <w:t xml:space="preserve">to </w:t>
      </w:r>
      <w:r w:rsidR="009B6780" w:rsidRPr="000818F4">
        <w:rPr>
          <w:u w:val="none"/>
        </w:rPr>
        <w:t>2.2</w:t>
      </w:r>
      <w:r w:rsidR="00FF25FE" w:rsidRPr="000818F4">
        <w:rPr>
          <w:u w:val="none"/>
        </w:rPr>
        <w:t xml:space="preserve">, </w:t>
      </w:r>
      <w:r w:rsidRPr="000818F4">
        <w:rPr>
          <w:u w:val="none"/>
        </w:rPr>
        <w:t>in accordance with</w:t>
      </w:r>
      <w:r w:rsidR="00BD5CF6" w:rsidRPr="000818F4">
        <w:rPr>
          <w:u w:val="none"/>
        </w:rPr>
        <w:t xml:space="preserve"> the last paragraph of</w:t>
      </w:r>
      <w:r w:rsidRPr="000818F4">
        <w:rPr>
          <w:u w:val="none"/>
        </w:rPr>
        <w:t xml:space="preserve"> Article 4</w:t>
      </w:r>
      <w:r w:rsidR="009C4F19" w:rsidRPr="000818F4">
        <w:rPr>
          <w:u w:val="none"/>
        </w:rPr>
        <w:t>16</w:t>
      </w:r>
      <w:r w:rsidR="00236D21" w:rsidRPr="000818F4">
        <w:rPr>
          <w:u w:val="none"/>
        </w:rPr>
        <w:t>(</w:t>
      </w:r>
      <w:r w:rsidRPr="000818F4">
        <w:rPr>
          <w:u w:val="none"/>
        </w:rPr>
        <w:t>1</w:t>
      </w:r>
      <w:r w:rsidR="00236D21" w:rsidRPr="000818F4">
        <w:rPr>
          <w:u w:val="none"/>
        </w:rPr>
        <w:t>)</w:t>
      </w:r>
      <w:r w:rsidRPr="000818F4">
        <w:rPr>
          <w:u w:val="none"/>
        </w:rPr>
        <w:t xml:space="preserve"> </w:t>
      </w:r>
      <w:r w:rsidR="007655D4" w:rsidRPr="000818F4">
        <w:rPr>
          <w:u w:val="none"/>
        </w:rPr>
        <w:t>REGULATION (EU) NO 575/2013</w:t>
      </w:r>
      <w:r w:rsidRPr="000818F4">
        <w:rPr>
          <w:u w:val="none"/>
        </w:rPr>
        <w:t xml:space="preserve"> and </w:t>
      </w:r>
      <w:r w:rsidR="001065D2" w:rsidRPr="000818F4">
        <w:rPr>
          <w:u w:val="none"/>
        </w:rPr>
        <w:t xml:space="preserve">pending a uniform definition in accordance with Article </w:t>
      </w:r>
      <w:r w:rsidR="00236D21" w:rsidRPr="000818F4">
        <w:rPr>
          <w:u w:val="none"/>
        </w:rPr>
        <w:t xml:space="preserve">460 </w:t>
      </w:r>
      <w:r w:rsidR="001065D2" w:rsidRPr="000818F4">
        <w:rPr>
          <w:u w:val="none"/>
        </w:rPr>
        <w:t xml:space="preserve">of high and extremely high liquidity and credit quality, institutions shall identify themselves in a given currency transferable assets that are of </w:t>
      </w:r>
      <w:r w:rsidR="00316094" w:rsidRPr="000818F4">
        <w:rPr>
          <w:u w:val="none"/>
        </w:rPr>
        <w:t>e</w:t>
      </w:r>
      <w:r w:rsidR="001065D2" w:rsidRPr="000818F4">
        <w:rPr>
          <w:u w:val="none"/>
        </w:rPr>
        <w:t>xtremely high</w:t>
      </w:r>
      <w:r w:rsidR="00316094" w:rsidRPr="000818F4">
        <w:rPr>
          <w:u w:val="none"/>
        </w:rPr>
        <w:t xml:space="preserve"> and high</w:t>
      </w:r>
      <w:r w:rsidR="001065D2" w:rsidRPr="000818F4">
        <w:rPr>
          <w:u w:val="none"/>
        </w:rPr>
        <w:t xml:space="preserve"> liquidity and credit quality </w:t>
      </w:r>
      <w:r w:rsidR="00FF25FE" w:rsidRPr="000818F4">
        <w:rPr>
          <w:u w:val="none"/>
        </w:rPr>
        <w:t>and report the</w:t>
      </w:r>
      <w:r w:rsidR="00336282" w:rsidRPr="000818F4">
        <w:rPr>
          <w:u w:val="none"/>
        </w:rPr>
        <w:t>ir</w:t>
      </w:r>
      <w:r w:rsidR="00D868F0" w:rsidRPr="000818F4">
        <w:rPr>
          <w:u w:val="none"/>
        </w:rPr>
        <w:t xml:space="preserve"> market value</w:t>
      </w:r>
      <w:r w:rsidR="00FF25FE" w:rsidRPr="000818F4">
        <w:rPr>
          <w:u w:val="none"/>
        </w:rPr>
        <w:t xml:space="preserve"> in columns </w:t>
      </w:r>
      <w:r w:rsidR="000818F4">
        <w:rPr>
          <w:u w:val="none"/>
        </w:rPr>
        <w:t>010</w:t>
      </w:r>
      <w:r w:rsidR="00FF25FE" w:rsidRPr="000818F4">
        <w:rPr>
          <w:u w:val="none"/>
        </w:rPr>
        <w:t xml:space="preserve"> </w:t>
      </w:r>
      <w:r w:rsidR="004B3A13" w:rsidRPr="000818F4">
        <w:rPr>
          <w:u w:val="none"/>
        </w:rPr>
        <w:t xml:space="preserve">and </w:t>
      </w:r>
      <w:r w:rsidR="000818F4">
        <w:rPr>
          <w:u w:val="none"/>
        </w:rPr>
        <w:t>030</w:t>
      </w:r>
      <w:r w:rsidR="004B3A13" w:rsidRPr="000818F4">
        <w:rPr>
          <w:u w:val="none"/>
        </w:rPr>
        <w:t xml:space="preserve"> and the value according to Article 418 in columns </w:t>
      </w:r>
      <w:r w:rsidR="000818F4">
        <w:rPr>
          <w:u w:val="none"/>
        </w:rPr>
        <w:t>020</w:t>
      </w:r>
      <w:r w:rsidR="004B3A13" w:rsidRPr="000818F4">
        <w:rPr>
          <w:u w:val="none"/>
        </w:rPr>
        <w:t xml:space="preserve"> and </w:t>
      </w:r>
      <w:r w:rsidR="000818F4">
        <w:rPr>
          <w:u w:val="none"/>
        </w:rPr>
        <w:t>040</w:t>
      </w:r>
      <w:r w:rsidR="004B3A13" w:rsidRPr="000818F4">
        <w:rPr>
          <w:u w:val="none"/>
        </w:rPr>
        <w:t>.</w:t>
      </w:r>
    </w:p>
    <w:p w:rsidR="0051259E" w:rsidRPr="000818F4" w:rsidRDefault="004B3A13" w:rsidP="00267206">
      <w:pPr>
        <w:pStyle w:val="InstructionsText2"/>
        <w:rPr>
          <w:u w:val="none"/>
        </w:rPr>
      </w:pPr>
      <w:r w:rsidRPr="000818F4">
        <w:rPr>
          <w:u w:val="none"/>
        </w:rPr>
        <w:t xml:space="preserve">For items </w:t>
      </w:r>
      <w:r w:rsidR="005D6CE3" w:rsidRPr="000818F4">
        <w:rPr>
          <w:u w:val="none"/>
        </w:rPr>
        <w:t>1.</w:t>
      </w:r>
      <w:r w:rsidRPr="000818F4">
        <w:rPr>
          <w:u w:val="none"/>
        </w:rPr>
        <w:t xml:space="preserve">3 to </w:t>
      </w:r>
      <w:r w:rsidR="005D6CE3" w:rsidRPr="000818F4">
        <w:rPr>
          <w:u w:val="none"/>
        </w:rPr>
        <w:t>1.</w:t>
      </w:r>
      <w:r w:rsidRPr="000818F4">
        <w:rPr>
          <w:u w:val="none"/>
        </w:rPr>
        <w:t xml:space="preserve">4 and 1.7 to 1.14, institutions shall only report assets that fulfill all the operational requirements referred to in Article 417 </w:t>
      </w:r>
      <w:r w:rsidR="007655D4" w:rsidRPr="000818F4">
        <w:rPr>
          <w:u w:val="none"/>
        </w:rPr>
        <w:t>REGULATION (EU) NO 575/2013</w:t>
      </w:r>
      <w:r w:rsidRPr="000818F4">
        <w:rPr>
          <w:u w:val="none"/>
        </w:rPr>
        <w:t>.</w:t>
      </w:r>
    </w:p>
    <w:p w:rsidR="002E6B84" w:rsidRPr="000818F4" w:rsidRDefault="004B3A13" w:rsidP="00267206">
      <w:pPr>
        <w:pStyle w:val="InstructionsText2"/>
        <w:rPr>
          <w:u w:val="none"/>
        </w:rPr>
      </w:pPr>
      <w:r w:rsidRPr="000818F4">
        <w:rPr>
          <w:u w:val="none"/>
        </w:rPr>
        <w:lastRenderedPageBreak/>
        <w:t xml:space="preserve">For items </w:t>
      </w:r>
      <w:r w:rsidR="005D6CE3" w:rsidRPr="000818F4">
        <w:rPr>
          <w:u w:val="none"/>
        </w:rPr>
        <w:t>2.1 to 2.2</w:t>
      </w:r>
      <w:r w:rsidRPr="000818F4">
        <w:rPr>
          <w:u w:val="none"/>
        </w:rPr>
        <w:t xml:space="preserve">, institutions shall report assets which would otherwise qualify to be reported in section </w:t>
      </w:r>
      <w:r w:rsidR="005D6CE3" w:rsidRPr="000818F4">
        <w:rPr>
          <w:u w:val="none"/>
        </w:rPr>
        <w:t xml:space="preserve">1.1 to 1.14 </w:t>
      </w:r>
      <w:r w:rsidRPr="000818F4">
        <w:rPr>
          <w:u w:val="none"/>
        </w:rPr>
        <w:t xml:space="preserve">but do not meet the operational requirements referred to in Article 417 (b) and (c) </w:t>
      </w:r>
      <w:r w:rsidR="007655D4" w:rsidRPr="000818F4">
        <w:rPr>
          <w:u w:val="none"/>
        </w:rPr>
        <w:t>REGULATION (EU) NO 575/2013</w:t>
      </w:r>
      <w:r w:rsidRPr="000818F4">
        <w:rPr>
          <w:u w:val="none"/>
        </w:rPr>
        <w:t xml:space="preserve">. </w:t>
      </w:r>
    </w:p>
    <w:p w:rsidR="002E6B84" w:rsidRPr="000818F4" w:rsidRDefault="004B3A13" w:rsidP="00267206">
      <w:pPr>
        <w:pStyle w:val="InstructionsText2"/>
        <w:rPr>
          <w:u w:val="none"/>
        </w:rPr>
      </w:pPr>
      <w:r w:rsidRPr="000818F4">
        <w:rPr>
          <w:u w:val="none"/>
        </w:rPr>
        <w:t>For items 1.1 to 2.2,</w:t>
      </w:r>
      <w:r w:rsidR="0051259E" w:rsidRPr="000818F4">
        <w:rPr>
          <w:u w:val="none"/>
        </w:rPr>
        <w:t xml:space="preserve"> with the</w:t>
      </w:r>
      <w:r w:rsidR="00431EBC" w:rsidRPr="000818F4">
        <w:rPr>
          <w:u w:val="none"/>
        </w:rPr>
        <w:t xml:space="preserve"> exception of item 1.5, institutions shall only report assets which fulfill all the conditions referred to in Article 416(3) </w:t>
      </w:r>
      <w:r w:rsidR="007655D4" w:rsidRPr="000818F4">
        <w:rPr>
          <w:u w:val="none"/>
        </w:rPr>
        <w:t>REGULATION (EU) NO 575/2013</w:t>
      </w:r>
      <w:r w:rsidR="00431EBC" w:rsidRPr="000818F4">
        <w:rPr>
          <w:u w:val="none"/>
        </w:rPr>
        <w:t xml:space="preserve">. </w:t>
      </w:r>
    </w:p>
    <w:p w:rsidR="002E6B84" w:rsidRPr="000818F4" w:rsidRDefault="00002330" w:rsidP="00267206">
      <w:pPr>
        <w:pStyle w:val="InstructionsText2"/>
        <w:rPr>
          <w:u w:val="none"/>
        </w:rPr>
      </w:pPr>
      <w:r w:rsidRPr="000818F4">
        <w:rPr>
          <w:u w:val="none"/>
        </w:rPr>
        <w:t xml:space="preserve">For items 3.1 to 3.12, institutions shall only report assets subject to supplementary reporting of liquid assets in accordance with Annex III </w:t>
      </w:r>
      <w:r w:rsidR="007655D4" w:rsidRPr="000818F4">
        <w:rPr>
          <w:u w:val="none"/>
        </w:rPr>
        <w:t>REGULATION (EU) NO 575/2013</w:t>
      </w:r>
      <w:r w:rsidRPr="000818F4">
        <w:rPr>
          <w:u w:val="none"/>
        </w:rPr>
        <w:t>. All items, with the exception of those referred to in sections 3.1, 3.2 and 3.9, must satisfy the conditions as set out in the last paragraph of that Annex.</w:t>
      </w:r>
    </w:p>
    <w:p w:rsidR="002E6B84" w:rsidRPr="000818F4" w:rsidRDefault="00431EBC" w:rsidP="00267206">
      <w:pPr>
        <w:pStyle w:val="InstructionsText2"/>
        <w:rPr>
          <w:u w:val="none"/>
        </w:rPr>
      </w:pPr>
      <w:r w:rsidRPr="000818F4">
        <w:rPr>
          <w:u w:val="none"/>
        </w:rPr>
        <w:t>For items 4.1 to 4.1</w:t>
      </w:r>
      <w:r w:rsidR="00C56C36" w:rsidRPr="000818F4">
        <w:rPr>
          <w:u w:val="none"/>
        </w:rPr>
        <w:t>2</w:t>
      </w:r>
      <w:r w:rsidRPr="000818F4">
        <w:rPr>
          <w:u w:val="none"/>
        </w:rPr>
        <w:t>.</w:t>
      </w:r>
      <w:r w:rsidR="00C56C36" w:rsidRPr="000818F4">
        <w:rPr>
          <w:u w:val="none"/>
        </w:rPr>
        <w:t>3</w:t>
      </w:r>
      <w:r w:rsidRPr="000818F4">
        <w:rPr>
          <w:u w:val="none"/>
        </w:rPr>
        <w:t xml:space="preserve">, institutions shall only report assets which do not meet the requirements of </w:t>
      </w:r>
      <w:r w:rsidR="00F0098F" w:rsidRPr="000818F4">
        <w:rPr>
          <w:u w:val="none"/>
        </w:rPr>
        <w:t>A</w:t>
      </w:r>
      <w:r w:rsidRPr="000818F4">
        <w:rPr>
          <w:u w:val="none"/>
        </w:rPr>
        <w:t xml:space="preserve">rticle 416 </w:t>
      </w:r>
      <w:r w:rsidR="007655D4" w:rsidRPr="000818F4">
        <w:rPr>
          <w:u w:val="none"/>
        </w:rPr>
        <w:t>REGULATION (EU) NO 575/2013</w:t>
      </w:r>
      <w:r w:rsidRPr="000818F4">
        <w:rPr>
          <w:u w:val="none"/>
        </w:rPr>
        <w:t xml:space="preserve"> but still meet the requirements of Article 417(b) and (c) </w:t>
      </w:r>
      <w:r w:rsidR="007655D4" w:rsidRPr="000818F4">
        <w:rPr>
          <w:u w:val="none"/>
        </w:rPr>
        <w:t>REGULATION (EU) NO 575/2013</w:t>
      </w:r>
    </w:p>
    <w:p w:rsidR="002E6B84" w:rsidRPr="000818F4" w:rsidRDefault="00431EBC" w:rsidP="00267206">
      <w:pPr>
        <w:pStyle w:val="InstructionsText2"/>
        <w:rPr>
          <w:u w:val="none"/>
        </w:rPr>
      </w:pPr>
      <w:r w:rsidRPr="000818F4">
        <w:rPr>
          <w:u w:val="none"/>
        </w:rPr>
        <w:t xml:space="preserve">For items 5.1 to 5.2, institutions shall only report items related to the derogations as referred to in Article 419(2) </w:t>
      </w:r>
      <w:r w:rsidR="007655D4" w:rsidRPr="000818F4">
        <w:rPr>
          <w:u w:val="none"/>
        </w:rPr>
        <w:t>REGULATION (EU) NO 575/2013</w:t>
      </w:r>
      <w:r w:rsidRPr="000818F4">
        <w:rPr>
          <w:u w:val="none"/>
        </w:rPr>
        <w:t xml:space="preserve"> for currencies with constraints on the availability of liquid assets</w:t>
      </w:r>
    </w:p>
    <w:p w:rsidR="002E6B84" w:rsidRPr="000818F4" w:rsidRDefault="00D676BC" w:rsidP="00267206">
      <w:pPr>
        <w:pStyle w:val="InstructionsText2"/>
        <w:rPr>
          <w:u w:val="none"/>
        </w:rPr>
      </w:pPr>
      <w:r w:rsidRPr="000818F4">
        <w:rPr>
          <w:u w:val="none"/>
        </w:rPr>
        <w:t xml:space="preserve">For items 6.1 to 6.1.3, only </w:t>
      </w:r>
      <w:proofErr w:type="spellStart"/>
      <w:r w:rsidRPr="000818F4">
        <w:rPr>
          <w:u w:val="none"/>
        </w:rPr>
        <w:t>Shar’iah</w:t>
      </w:r>
      <w:proofErr w:type="spellEnd"/>
      <w:r w:rsidRPr="000818F4">
        <w:rPr>
          <w:u w:val="none"/>
        </w:rPr>
        <w:t xml:space="preserve"> compliant banks shall report items that are </w:t>
      </w:r>
      <w:proofErr w:type="spellStart"/>
      <w:r w:rsidRPr="000818F4">
        <w:rPr>
          <w:u w:val="none"/>
        </w:rPr>
        <w:t>Shar’iah</w:t>
      </w:r>
      <w:proofErr w:type="spellEnd"/>
      <w:r w:rsidRPr="000818F4">
        <w:rPr>
          <w:u w:val="none"/>
        </w:rPr>
        <w:t xml:space="preserve"> compliant financial products as an alternative to assets that would qualify as liquid assets for the purposes of Article 416 </w:t>
      </w:r>
      <w:r w:rsidR="007655D4" w:rsidRPr="000818F4">
        <w:rPr>
          <w:u w:val="none"/>
        </w:rPr>
        <w:t>REGULATION (EU) NO 575/2013</w:t>
      </w:r>
    </w:p>
    <w:p w:rsidR="002E6B84" w:rsidRPr="000818F4" w:rsidRDefault="00873159" w:rsidP="00267206">
      <w:pPr>
        <w:pStyle w:val="InstructionsText2"/>
        <w:rPr>
          <w:u w:val="none"/>
        </w:rPr>
      </w:pPr>
      <w:r w:rsidRPr="000818F4">
        <w:rPr>
          <w:u w:val="none"/>
        </w:rPr>
        <w:t>T</w:t>
      </w:r>
      <w:r w:rsidR="00D676BC" w:rsidRPr="000818F4">
        <w:rPr>
          <w:u w:val="none"/>
        </w:rPr>
        <w:t xml:space="preserve">he value of the </w:t>
      </w:r>
      <w:r w:rsidRPr="000818F4">
        <w:rPr>
          <w:u w:val="none"/>
        </w:rPr>
        <w:t xml:space="preserve">liquid </w:t>
      </w:r>
      <w:r w:rsidR="00D676BC" w:rsidRPr="000818F4">
        <w:rPr>
          <w:u w:val="none"/>
        </w:rPr>
        <w:t>assets</w:t>
      </w:r>
      <w:r w:rsidRPr="000818F4">
        <w:rPr>
          <w:u w:val="none"/>
        </w:rPr>
        <w:t xml:space="preserve"> of all items in the template, with the exception of 1.1 to 1.2.1, 1.5 to 1.6.2, </w:t>
      </w:r>
      <w:r w:rsidR="00F0098F" w:rsidRPr="000818F4">
        <w:rPr>
          <w:u w:val="none"/>
        </w:rPr>
        <w:t xml:space="preserve">3.1 to 3.2, 3.9 to 3.10 </w:t>
      </w:r>
      <w:r w:rsidRPr="000818F4">
        <w:rPr>
          <w:u w:val="none"/>
        </w:rPr>
        <w:t>and 5.2</w:t>
      </w:r>
      <w:r w:rsidR="0011276D" w:rsidRPr="000818F4">
        <w:rPr>
          <w:u w:val="none"/>
        </w:rPr>
        <w:t xml:space="preserve"> shall be the market value and the value after the application of the </w:t>
      </w:r>
      <w:r w:rsidRPr="000818F4">
        <w:rPr>
          <w:u w:val="none"/>
        </w:rPr>
        <w:t>relevant haircuts.</w:t>
      </w:r>
      <w:r w:rsidR="0011276D" w:rsidRPr="000818F4">
        <w:rPr>
          <w:u w:val="none"/>
        </w:rPr>
        <w:t xml:space="preserve"> For items 1.1 to 1.2.1, 1.6 to 1.6.2</w:t>
      </w:r>
      <w:r w:rsidR="00001E75" w:rsidRPr="000818F4">
        <w:rPr>
          <w:u w:val="none"/>
        </w:rPr>
        <w:t>,</w:t>
      </w:r>
      <w:r w:rsidR="00F0098F" w:rsidRPr="000818F4">
        <w:rPr>
          <w:u w:val="none"/>
        </w:rPr>
        <w:t xml:space="preserve"> 3.1 to 3.2, 3.10</w:t>
      </w:r>
      <w:r w:rsidR="00001E75" w:rsidRPr="000818F4">
        <w:rPr>
          <w:u w:val="none"/>
        </w:rPr>
        <w:t xml:space="preserve"> and 5.2 </w:t>
      </w:r>
      <w:r w:rsidR="0011276D" w:rsidRPr="000818F4">
        <w:rPr>
          <w:u w:val="none"/>
        </w:rPr>
        <w:t xml:space="preserve">the amount of the item shall be reported. For item 1.5 </w:t>
      </w:r>
      <w:r w:rsidR="00F0098F" w:rsidRPr="000818F4">
        <w:rPr>
          <w:u w:val="none"/>
        </w:rPr>
        <w:t xml:space="preserve">and 3.9 </w:t>
      </w:r>
      <w:r w:rsidR="0011276D" w:rsidRPr="000818F4">
        <w:rPr>
          <w:u w:val="none"/>
        </w:rPr>
        <w:t>the undrawn amount of the line shall be reported.</w:t>
      </w:r>
      <w:r w:rsidR="00001E75" w:rsidRPr="000818F4">
        <w:rPr>
          <w:u w:val="none"/>
        </w:rPr>
        <w:t xml:space="preserve"> </w:t>
      </w:r>
    </w:p>
    <w:p w:rsidR="00D02FE4" w:rsidRPr="000818F4" w:rsidRDefault="00D02FE4" w:rsidP="009B6780">
      <w:pPr>
        <w:pStyle w:val="Instructionsberschrift2"/>
        <w:numPr>
          <w:ilvl w:val="0"/>
          <w:numId w:val="0"/>
        </w:numPr>
        <w:rPr>
          <w:rFonts w:ascii="Times New Roman" w:hAnsi="Times New Roman" w:cs="Times New Roman"/>
          <w:u w:val="none"/>
        </w:rPr>
      </w:pPr>
      <w:r w:rsidRPr="000818F4">
        <w:rPr>
          <w:rFonts w:ascii="Times New Roman" w:hAnsi="Times New Roman" w:cs="Times New Roman"/>
          <w:u w:val="none"/>
        </w:rPr>
        <w:t>Liquid assets su</w:t>
      </w:r>
      <w:r w:rsidR="00017710" w:rsidRPr="000818F4">
        <w:rPr>
          <w:rFonts w:ascii="Times New Roman" w:hAnsi="Times New Roman" w:cs="Times New Roman"/>
          <w:u w:val="none"/>
        </w:rPr>
        <w:t>b template</w:t>
      </w:r>
    </w:p>
    <w:p w:rsidR="00D02FE4" w:rsidRPr="000818F4" w:rsidRDefault="00D02FE4" w:rsidP="00D02FE4">
      <w:pPr>
        <w:pStyle w:val="Instructionsberschrift2"/>
        <w:numPr>
          <w:ilvl w:val="2"/>
          <w:numId w:val="3"/>
        </w:numPr>
        <w:rPr>
          <w:rFonts w:ascii="Times New Roman" w:hAnsi="Times New Roman" w:cs="Times New Roman"/>
          <w:u w:val="none"/>
        </w:rPr>
      </w:pPr>
      <w:bookmarkStart w:id="3" w:name="_Toc308175821"/>
      <w:bookmarkStart w:id="4" w:name="_Toc310414968"/>
      <w:r w:rsidRPr="000818F4">
        <w:rPr>
          <w:rFonts w:ascii="Times New Roman" w:hAnsi="Times New Roman" w:cs="Times New Roman"/>
          <w:u w:val="none"/>
        </w:rPr>
        <w:t>Instructions concerning specific rows</w:t>
      </w:r>
      <w:bookmarkEnd w:id="3"/>
      <w:bookmarkEnd w:id="4"/>
    </w:p>
    <w:p w:rsidR="005D6CE3" w:rsidRDefault="005D6CE3" w:rsidP="00267206">
      <w:pPr>
        <w:pStyle w:val="InstructionsText"/>
      </w:pPr>
    </w:p>
    <w:tbl>
      <w:tblPr>
        <w:tblW w:w="807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5"/>
        <w:gridCol w:w="8"/>
        <w:gridCol w:w="7371"/>
      </w:tblGrid>
      <w:tr w:rsidR="001B3F25" w:rsidRPr="00B37090" w:rsidTr="001B3F25">
        <w:tc>
          <w:tcPr>
            <w:tcW w:w="695" w:type="dxa"/>
            <w:shd w:val="clear" w:color="auto" w:fill="E6E6E6"/>
          </w:tcPr>
          <w:p w:rsidR="001B3F25" w:rsidRPr="002E6B84" w:rsidRDefault="001B3F25" w:rsidP="00267206">
            <w:pPr>
              <w:pStyle w:val="InstructionsText"/>
              <w:rPr>
                <w:rStyle w:val="InstructionsTabelleText"/>
                <w:rFonts w:eastAsiaTheme="minorEastAsia"/>
                <w:sz w:val="18"/>
                <w:lang w:val="en-GB" w:eastAsia="en-GB"/>
              </w:rPr>
            </w:pPr>
            <w:r w:rsidRPr="002E6B84">
              <w:rPr>
                <w:rStyle w:val="InstructionsTabelleText"/>
                <w:sz w:val="18"/>
              </w:rPr>
              <w:t>Row</w:t>
            </w:r>
          </w:p>
        </w:tc>
        <w:tc>
          <w:tcPr>
            <w:tcW w:w="7379" w:type="dxa"/>
            <w:gridSpan w:val="2"/>
            <w:shd w:val="clear" w:color="auto" w:fill="E6E6E6"/>
          </w:tcPr>
          <w:p w:rsidR="001B3F25" w:rsidRDefault="001B3F25" w:rsidP="00267206">
            <w:pPr>
              <w:pStyle w:val="InstructionsText"/>
              <w:rPr>
                <w:rStyle w:val="InstructionsTabelleText"/>
                <w:rFonts w:eastAsiaTheme="minorEastAsia"/>
                <w:bCs/>
                <w:szCs w:val="24"/>
                <w:lang w:val="en-GB" w:eastAsia="en-US"/>
              </w:rPr>
            </w:pPr>
            <w:r w:rsidRPr="00B37090">
              <w:rPr>
                <w:rStyle w:val="InstructionsTabelleText"/>
              </w:rPr>
              <w:t>Legal references and instru</w:t>
            </w:r>
            <w:r>
              <w:rPr>
                <w:rStyle w:val="InstructionsTabelleText"/>
              </w:rPr>
              <w:t>cti</w:t>
            </w:r>
            <w:r w:rsidRPr="00B37090">
              <w:rPr>
                <w:rStyle w:val="InstructionsTabelleText"/>
              </w:rPr>
              <w:t>ons</w:t>
            </w:r>
          </w:p>
        </w:tc>
      </w:tr>
      <w:tr w:rsidR="001B3F25" w:rsidRPr="00B37090" w:rsidTr="001B3F25">
        <w:tc>
          <w:tcPr>
            <w:tcW w:w="703" w:type="dxa"/>
            <w:gridSpan w:val="2"/>
            <w:shd w:val="clear" w:color="auto" w:fill="E6E6E6"/>
          </w:tcPr>
          <w:p w:rsidR="001B3F25" w:rsidRDefault="001B3F25" w:rsidP="00267206">
            <w:pPr>
              <w:pStyle w:val="InstructionsText"/>
              <w:rPr>
                <w:rStyle w:val="FormatvorlageInstructionsTabelleText"/>
              </w:rPr>
            </w:pPr>
            <w:r>
              <w:rPr>
                <w:rStyle w:val="FormatvorlageInstructionsTabelleText"/>
              </w:rPr>
              <w:t>010-390</w:t>
            </w:r>
          </w:p>
        </w:tc>
        <w:tc>
          <w:tcPr>
            <w:tcW w:w="7371" w:type="dxa"/>
            <w:shd w:val="clear" w:color="auto" w:fill="E6E6E6"/>
          </w:tcPr>
          <w:p w:rsidR="001B3F25" w:rsidRDefault="001B3F25" w:rsidP="00267206">
            <w:pPr>
              <w:pStyle w:val="InstructionsText"/>
              <w:rPr>
                <w:rStyle w:val="FormatvorlageInstructionsTabelleText"/>
                <w:b/>
                <w:u w:val="single"/>
              </w:rPr>
            </w:pPr>
          </w:p>
          <w:p w:rsidR="001B3F25" w:rsidRPr="009D67FE" w:rsidRDefault="001B3F25" w:rsidP="00267206">
            <w:pPr>
              <w:pStyle w:val="InstructionsText"/>
              <w:rPr>
                <w:rStyle w:val="FormatvorlageInstructionsTabelleText"/>
                <w:b/>
                <w:u w:val="single"/>
              </w:rPr>
            </w:pPr>
            <w:r w:rsidRPr="009D67FE">
              <w:rPr>
                <w:rStyle w:val="FormatvorlageInstructionsTabelleText"/>
                <w:b/>
                <w:u w:val="single"/>
              </w:rPr>
              <w:t xml:space="preserve">1. ASSETS WHICH MEET THE REQUIREMENTS OF ARTICLES 416 AND 417 </w:t>
            </w:r>
            <w:r w:rsidR="007655D4">
              <w:rPr>
                <w:rStyle w:val="FormatvorlageInstructionsTabelleText"/>
                <w:b/>
                <w:u w:val="single"/>
              </w:rPr>
              <w:t>REGULATION (EU) NO 575/2013</w:t>
            </w:r>
            <w:r w:rsidRPr="009D67FE">
              <w:rPr>
                <w:rStyle w:val="FormatvorlageInstructionsTabelleText"/>
                <w:b/>
                <w:u w:val="single"/>
              </w:rPr>
              <w:t xml:space="preserve"> </w:t>
            </w:r>
          </w:p>
          <w:p w:rsidR="001B3F25" w:rsidRDefault="001B3F25" w:rsidP="00267206">
            <w:pPr>
              <w:pStyle w:val="InstructionsText"/>
              <w:rPr>
                <w:rStyle w:val="FormatvorlageInstructionsTabelleText"/>
                <w:b/>
                <w:u w:val="single"/>
              </w:rPr>
            </w:pPr>
          </w:p>
          <w:p w:rsidR="001B3F25" w:rsidRPr="00644F67" w:rsidRDefault="001B3F25" w:rsidP="00267206">
            <w:pPr>
              <w:pStyle w:val="InstructionsText"/>
              <w:rPr>
                <w:rStyle w:val="InstructionsTabelleberschrift"/>
                <w:u w:val="none"/>
              </w:rPr>
            </w:pPr>
            <w:r w:rsidRPr="00644F67">
              <w:rPr>
                <w:rStyle w:val="FormatvorlageInstructionsTabelleText"/>
              </w:rPr>
              <w:t xml:space="preserve">Assets reported in this section have been explicitly identified as potentially being of high or extremely high liquidity and credit </w:t>
            </w:r>
            <w:proofErr w:type="spellStart"/>
            <w:r w:rsidRPr="00644F67">
              <w:rPr>
                <w:rStyle w:val="FormatvorlageInstructionsTabelleText"/>
              </w:rPr>
              <w:t>quality.</w:t>
            </w:r>
            <w:r w:rsidR="007655D4">
              <w:rPr>
                <w:rStyle w:val="FormatvorlageInstructionsTabelleText"/>
              </w:rPr>
              <w:t>REGULATION</w:t>
            </w:r>
            <w:proofErr w:type="spellEnd"/>
            <w:r w:rsidR="007655D4">
              <w:rPr>
                <w:rStyle w:val="FormatvorlageInstructionsTabelleText"/>
              </w:rPr>
              <w:t xml:space="preserve"> (EU) NO 575/2013</w:t>
            </w:r>
          </w:p>
        </w:tc>
      </w:tr>
      <w:tr w:rsidR="001B3F25" w:rsidRPr="00B37090" w:rsidTr="001B3F25">
        <w:tc>
          <w:tcPr>
            <w:tcW w:w="695" w:type="dxa"/>
            <w:vAlign w:val="center"/>
          </w:tcPr>
          <w:p w:rsidR="001B3F25" w:rsidRDefault="001B3F25">
            <w:pPr>
              <w:jc w:val="left"/>
              <w:rPr>
                <w:rFonts w:cs="Arial"/>
                <w:szCs w:val="20"/>
              </w:rPr>
            </w:pPr>
            <w:r>
              <w:rPr>
                <w:rFonts w:cs="Arial"/>
                <w:szCs w:val="20"/>
              </w:rPr>
              <w:t>010</w:t>
            </w:r>
          </w:p>
        </w:tc>
        <w:tc>
          <w:tcPr>
            <w:tcW w:w="7379" w:type="dxa"/>
            <w:gridSpan w:val="2"/>
          </w:tcPr>
          <w:p w:rsidR="001B3F25" w:rsidRDefault="001B3F25" w:rsidP="00267206">
            <w:pPr>
              <w:pStyle w:val="InstructionsText"/>
              <w:rPr>
                <w:rStyle w:val="InstructionsTabelleberschrift"/>
              </w:rPr>
            </w:pPr>
            <w:r w:rsidRPr="00B37090">
              <w:rPr>
                <w:rStyle w:val="InstructionsTabelleberschrift"/>
              </w:rPr>
              <w:t xml:space="preserve">1.1 </w:t>
            </w:r>
            <w:r>
              <w:rPr>
                <w:rStyle w:val="InstructionsTabelleberschrift"/>
              </w:rPr>
              <w:t>C</w:t>
            </w:r>
            <w:r w:rsidRPr="00B37090">
              <w:rPr>
                <w:rStyle w:val="InstructionsTabelleberschrift"/>
              </w:rPr>
              <w:t>ash</w:t>
            </w:r>
          </w:p>
          <w:p w:rsidR="001B3F25" w:rsidRDefault="001B3F25" w:rsidP="00267206">
            <w:pPr>
              <w:pStyle w:val="InstructionsText"/>
              <w:rPr>
                <w:rStyle w:val="FormatvorlageInstructionsTabelleText"/>
                <w:szCs w:val="24"/>
                <w:lang w:val="en-GB" w:eastAsia="en-US"/>
              </w:rPr>
            </w:pPr>
          </w:p>
          <w:p w:rsidR="001B3F25" w:rsidRPr="00644F67" w:rsidRDefault="001B3F25" w:rsidP="00267206">
            <w:pPr>
              <w:pStyle w:val="InstructionsText"/>
              <w:rPr>
                <w:rStyle w:val="FormatvorlageInstructionsTabelleText"/>
                <w:szCs w:val="24"/>
                <w:lang w:val="en-GB" w:eastAsia="en-US"/>
              </w:rPr>
            </w:pPr>
            <w:r w:rsidRPr="00644F67">
              <w:rPr>
                <w:rStyle w:val="FormatvorlageInstructionsTabelleText"/>
              </w:rPr>
              <w:t>Article 416(1)(a)</w:t>
            </w:r>
            <w:r w:rsidR="00644F67">
              <w:rPr>
                <w:rStyle w:val="FormatvorlageInstructionsTabelleText"/>
              </w:rPr>
              <w:t xml:space="preserve"> of </w:t>
            </w:r>
            <w:r w:rsidR="007655D4">
              <w:rPr>
                <w:rStyle w:val="FormatvorlageInstructionsTabelleText"/>
              </w:rPr>
              <w:t>REGULATION (EU) NO 575/2013</w:t>
            </w:r>
          </w:p>
          <w:p w:rsidR="001B3F25" w:rsidRPr="00644F67" w:rsidRDefault="001B3F25" w:rsidP="00267206">
            <w:pPr>
              <w:pStyle w:val="InstructionsText"/>
              <w:rPr>
                <w:rStyle w:val="FormatvorlageInstructionsTabelleText"/>
                <w:szCs w:val="24"/>
                <w:lang w:val="en-GB" w:eastAsia="en-US"/>
              </w:rPr>
            </w:pPr>
          </w:p>
          <w:p w:rsidR="001B3F25" w:rsidRPr="00644F67" w:rsidRDefault="001B3F25" w:rsidP="00267206">
            <w:pPr>
              <w:pStyle w:val="InstructionsText"/>
              <w:rPr>
                <w:rStyle w:val="FormatvorlageInstructionsTabelleText"/>
                <w:szCs w:val="24"/>
                <w:lang w:val="en-GB" w:eastAsia="en-US"/>
              </w:rPr>
            </w:pPr>
            <w:r w:rsidRPr="00644F67">
              <w:rPr>
                <w:rStyle w:val="FormatvorlageInstructionsTabelleText"/>
              </w:rPr>
              <w:t>Total amount of cash including coins and banknotes/currency.</w:t>
            </w:r>
          </w:p>
          <w:p w:rsidR="001B3F25" w:rsidRPr="00644F67" w:rsidRDefault="001B3F25" w:rsidP="00267206">
            <w:pPr>
              <w:pStyle w:val="InstructionsText"/>
              <w:rPr>
                <w:rStyle w:val="FormatvorlageInstructionsTabelleText"/>
                <w:szCs w:val="24"/>
                <w:lang w:val="en-GB" w:eastAsia="en-US"/>
              </w:rPr>
            </w:pPr>
          </w:p>
          <w:p w:rsidR="001B3F25" w:rsidRPr="00644F67" w:rsidRDefault="001B3F25" w:rsidP="00267206">
            <w:pPr>
              <w:pStyle w:val="InstructionsText"/>
              <w:rPr>
                <w:rStyle w:val="FormatvorlageInstructionsTabelleText"/>
                <w:szCs w:val="24"/>
                <w:lang w:val="en-GB" w:eastAsia="en-US"/>
              </w:rPr>
            </w:pPr>
            <w:r w:rsidRPr="00644F67">
              <w:rPr>
                <w:rStyle w:val="FormatvorlageInstructionsTabelleText"/>
              </w:rPr>
              <w:t>Note cash on deposit with other institutions shall not be reported here and shall instead be reported in the collateral category of template 1.3 “Inflows” if it qualifies as monies due over the next 30 days.</w:t>
            </w:r>
          </w:p>
          <w:p w:rsidR="001B3F25" w:rsidRDefault="001B3F25" w:rsidP="00267206">
            <w:pPr>
              <w:pStyle w:val="InstructionsText"/>
              <w:rPr>
                <w:rStyle w:val="FormatvorlageInstructionsTabelleText"/>
              </w:rPr>
            </w:pPr>
          </w:p>
        </w:tc>
      </w:tr>
      <w:tr w:rsidR="001B3F25" w:rsidRPr="00B37090" w:rsidTr="001B3F25">
        <w:tc>
          <w:tcPr>
            <w:tcW w:w="695" w:type="dxa"/>
            <w:vAlign w:val="center"/>
          </w:tcPr>
          <w:p w:rsidR="001B3F25" w:rsidRPr="006D0410" w:rsidRDefault="001B3F25" w:rsidP="006D0410">
            <w:pPr>
              <w:jc w:val="left"/>
              <w:rPr>
                <w:rFonts w:cs="Arial"/>
                <w:szCs w:val="20"/>
              </w:rPr>
            </w:pPr>
            <w:r>
              <w:rPr>
                <w:rFonts w:cs="Arial"/>
                <w:szCs w:val="20"/>
              </w:rPr>
              <w:t>020</w:t>
            </w:r>
          </w:p>
        </w:tc>
        <w:tc>
          <w:tcPr>
            <w:tcW w:w="7379" w:type="dxa"/>
            <w:gridSpan w:val="2"/>
          </w:tcPr>
          <w:p w:rsidR="001B3F25" w:rsidRPr="00127A6C" w:rsidRDefault="001B3F25" w:rsidP="00267206">
            <w:pPr>
              <w:pStyle w:val="InstructionsText"/>
              <w:rPr>
                <w:rStyle w:val="InstructionsTabelleberschrift"/>
              </w:rPr>
            </w:pPr>
            <w:r w:rsidRPr="00127A6C">
              <w:rPr>
                <w:rStyle w:val="InstructionsTabelleberschrift"/>
              </w:rPr>
              <w:t xml:space="preserve">1.2 Exposures to central banks </w:t>
            </w:r>
          </w:p>
          <w:p w:rsidR="001B3F25" w:rsidRDefault="001B3F25" w:rsidP="00267206">
            <w:pPr>
              <w:pStyle w:val="InstructionsText"/>
              <w:rPr>
                <w:rStyle w:val="InstructionsTabelleberschrift"/>
              </w:rPr>
            </w:pPr>
          </w:p>
          <w:p w:rsidR="001B3F25" w:rsidRPr="00127A6C" w:rsidRDefault="001B3F25" w:rsidP="00267206">
            <w:pPr>
              <w:pStyle w:val="InstructionsText"/>
              <w:rPr>
                <w:rStyle w:val="FormatvorlageInstructionsTabelleText"/>
                <w:szCs w:val="24"/>
                <w:lang w:val="en-GB" w:eastAsia="en-US"/>
              </w:rPr>
            </w:pPr>
            <w:r w:rsidRPr="00127A6C">
              <w:rPr>
                <w:rStyle w:val="FormatvorlageInstructionsTabelleText"/>
              </w:rPr>
              <w:t xml:space="preserve">Articles 416(1)(a) </w:t>
            </w:r>
            <w:r w:rsidR="007655D4">
              <w:rPr>
                <w:rStyle w:val="InstructionsTabelleberschrift"/>
                <w:u w:val="none"/>
              </w:rPr>
              <w:t>REGULATION (EU) NO 575/2013</w:t>
            </w:r>
            <w:r w:rsidRPr="00127A6C">
              <w:rPr>
                <w:rStyle w:val="FormatvorlageInstructionsTabelleText"/>
              </w:rPr>
              <w:t xml:space="preserve"> </w:t>
            </w:r>
          </w:p>
          <w:p w:rsidR="001B3F25" w:rsidRPr="00127A6C" w:rsidRDefault="001B3F25" w:rsidP="00267206">
            <w:pPr>
              <w:pStyle w:val="InstructionsText"/>
              <w:rPr>
                <w:rStyle w:val="FormatvorlageInstructionsTabelleText"/>
              </w:rPr>
            </w:pPr>
          </w:p>
          <w:p w:rsidR="001B3F25" w:rsidRPr="00127A6C" w:rsidRDefault="001B3F25" w:rsidP="00267206">
            <w:pPr>
              <w:pStyle w:val="InstructionsText"/>
            </w:pPr>
            <w:r w:rsidRPr="00127A6C">
              <w:rPr>
                <w:rStyle w:val="FormatvorlageInstructionsTabelleText"/>
              </w:rPr>
              <w:t>Total amount of exposures to central banks</w:t>
            </w:r>
            <w:r w:rsidRPr="00127A6C">
              <w:t>.</w:t>
            </w:r>
          </w:p>
          <w:p w:rsidR="001B3F25" w:rsidRDefault="001B3F25" w:rsidP="00267206">
            <w:pPr>
              <w:pStyle w:val="InstructionsText"/>
              <w:rPr>
                <w:rStyle w:val="FormatvorlageInstructionsTabelleText"/>
              </w:rPr>
            </w:pPr>
          </w:p>
        </w:tc>
      </w:tr>
      <w:tr w:rsidR="001B3F25" w:rsidRPr="00B37090" w:rsidTr="001B3F25">
        <w:tc>
          <w:tcPr>
            <w:tcW w:w="695" w:type="dxa"/>
            <w:vAlign w:val="center"/>
          </w:tcPr>
          <w:p w:rsidR="001B3F25" w:rsidRPr="006D0410" w:rsidRDefault="001B3F25" w:rsidP="006D0410">
            <w:pPr>
              <w:jc w:val="left"/>
              <w:rPr>
                <w:rFonts w:cs="Arial"/>
                <w:szCs w:val="20"/>
              </w:rPr>
            </w:pPr>
            <w:r>
              <w:rPr>
                <w:rFonts w:cs="Arial"/>
                <w:szCs w:val="20"/>
              </w:rPr>
              <w:lastRenderedPageBreak/>
              <w:t>030</w:t>
            </w:r>
          </w:p>
        </w:tc>
        <w:tc>
          <w:tcPr>
            <w:tcW w:w="7379" w:type="dxa"/>
            <w:gridSpan w:val="2"/>
          </w:tcPr>
          <w:p w:rsidR="001B3F25" w:rsidRPr="00127A6C" w:rsidRDefault="001B3F25" w:rsidP="00267206">
            <w:pPr>
              <w:pStyle w:val="InstructionsText"/>
              <w:rPr>
                <w:rStyle w:val="InstructionsTabelleberschrift"/>
              </w:rPr>
            </w:pPr>
            <w:r w:rsidRPr="00127A6C">
              <w:rPr>
                <w:rStyle w:val="InstructionsTabelleberschrift"/>
              </w:rPr>
              <w:t xml:space="preserve">1.2.1 Exposures that can be withdrawn in times of stress </w:t>
            </w:r>
          </w:p>
          <w:p w:rsidR="001B3F25" w:rsidRPr="00127A6C" w:rsidRDefault="001B3F25" w:rsidP="00267206">
            <w:pPr>
              <w:pStyle w:val="InstructionsText"/>
              <w:rPr>
                <w:rStyle w:val="FormatvorlageInstructionsTabelleText"/>
              </w:rPr>
            </w:pPr>
          </w:p>
          <w:p w:rsidR="001B3F25" w:rsidRPr="00127A6C" w:rsidRDefault="001B3F25" w:rsidP="00267206">
            <w:pPr>
              <w:pStyle w:val="InstructionsText"/>
              <w:rPr>
                <w:rStyle w:val="FormatvorlageInstructionsTabelleText"/>
              </w:rPr>
            </w:pPr>
            <w:r w:rsidRPr="00127A6C">
              <w:rPr>
                <w:rStyle w:val="InstructionsTabelleberschrift"/>
                <w:b w:val="0"/>
              </w:rPr>
              <w:t xml:space="preserve">Article 416(1)(a) </w:t>
            </w:r>
            <w:r w:rsidR="007655D4">
              <w:rPr>
                <w:rStyle w:val="InstructionsTabelleberschrift"/>
                <w:b w:val="0"/>
              </w:rPr>
              <w:t>REGULATION (EU) NO 575/2013</w:t>
            </w:r>
          </w:p>
          <w:p w:rsidR="001B3F25" w:rsidRDefault="001B3F25" w:rsidP="00267206">
            <w:pPr>
              <w:pStyle w:val="InstructionsText"/>
              <w:rPr>
                <w:rStyle w:val="FormatvorlageInstructionsTabelleText"/>
              </w:rPr>
            </w:pPr>
          </w:p>
          <w:p w:rsidR="001B3F25" w:rsidRDefault="001B3F25" w:rsidP="00267206">
            <w:pPr>
              <w:pStyle w:val="InstructionsText"/>
              <w:rPr>
                <w:rStyle w:val="InstructionsTabelleberschrift"/>
              </w:rPr>
            </w:pPr>
          </w:p>
        </w:tc>
      </w:tr>
      <w:tr w:rsidR="001B3F25" w:rsidRPr="00B37090" w:rsidTr="001B3F25">
        <w:tc>
          <w:tcPr>
            <w:tcW w:w="695" w:type="dxa"/>
            <w:vAlign w:val="center"/>
          </w:tcPr>
          <w:p w:rsidR="001B3F25" w:rsidRPr="006D0410" w:rsidRDefault="001B3F25" w:rsidP="006D0410">
            <w:pPr>
              <w:jc w:val="left"/>
              <w:rPr>
                <w:rFonts w:cs="Arial"/>
                <w:szCs w:val="20"/>
              </w:rPr>
            </w:pPr>
            <w:r>
              <w:rPr>
                <w:rFonts w:cs="Arial"/>
                <w:szCs w:val="20"/>
              </w:rPr>
              <w:t>040-110</w:t>
            </w:r>
          </w:p>
        </w:tc>
        <w:tc>
          <w:tcPr>
            <w:tcW w:w="7379" w:type="dxa"/>
            <w:gridSpan w:val="2"/>
          </w:tcPr>
          <w:p w:rsidR="001B3F25" w:rsidRPr="00127A6C" w:rsidRDefault="001B3F25" w:rsidP="00267206">
            <w:pPr>
              <w:pStyle w:val="InstructionsText"/>
              <w:rPr>
                <w:rStyle w:val="FormatvorlageInstructionsTabelleText"/>
                <w:b/>
                <w:u w:val="single"/>
              </w:rPr>
            </w:pPr>
            <w:r w:rsidRPr="00127A6C">
              <w:rPr>
                <w:rStyle w:val="FormatvorlageInstructionsTabelleText"/>
                <w:b/>
                <w:u w:val="single"/>
              </w:rPr>
              <w:t>1.3 Other transferable assets representing claims on or guaranteed by</w:t>
            </w:r>
          </w:p>
          <w:p w:rsidR="001B3F25" w:rsidRDefault="001B3F25" w:rsidP="00267206">
            <w:pPr>
              <w:pStyle w:val="InstructionsText"/>
              <w:rPr>
                <w:rStyle w:val="FormatvorlageInstructionsTabelleText"/>
                <w:b/>
                <w:u w:val="single"/>
              </w:rPr>
            </w:pPr>
          </w:p>
          <w:p w:rsidR="001B3F25" w:rsidRPr="00127A6C" w:rsidRDefault="001B3F25" w:rsidP="00267206">
            <w:pPr>
              <w:pStyle w:val="InstructionsText"/>
              <w:rPr>
                <w:rStyle w:val="FormatvorlageInstructionsTabelleText"/>
                <w:szCs w:val="24"/>
                <w:lang w:val="en-GB" w:eastAsia="en-US"/>
              </w:rPr>
            </w:pPr>
            <w:r w:rsidRPr="00127A6C">
              <w:rPr>
                <w:rStyle w:val="FormatvorlageInstructionsTabelleText"/>
              </w:rPr>
              <w:t xml:space="preserve">Article 416.1(c) </w:t>
            </w:r>
            <w:r w:rsidR="007655D4">
              <w:rPr>
                <w:rStyle w:val="FormatvorlageInstructionsTabelleText"/>
              </w:rPr>
              <w:t>REGULATION (EU) NO 575/2013</w:t>
            </w:r>
          </w:p>
          <w:p w:rsidR="001B3F25" w:rsidRDefault="001B3F25" w:rsidP="00267206">
            <w:pPr>
              <w:pStyle w:val="InstructionsText"/>
              <w:rPr>
                <w:rStyle w:val="InstructionsTabelleberschrift"/>
              </w:rPr>
            </w:pPr>
          </w:p>
        </w:tc>
      </w:tr>
      <w:tr w:rsidR="001B3F25" w:rsidRPr="00B37090" w:rsidTr="001B3F25">
        <w:tc>
          <w:tcPr>
            <w:tcW w:w="695" w:type="dxa"/>
            <w:shd w:val="clear" w:color="auto" w:fill="F2F2F2" w:themeFill="background1" w:themeFillShade="F2"/>
            <w:vAlign w:val="center"/>
          </w:tcPr>
          <w:p w:rsidR="001B3F25" w:rsidRPr="006D0410" w:rsidRDefault="001B3F25" w:rsidP="006D0410">
            <w:pPr>
              <w:jc w:val="left"/>
              <w:rPr>
                <w:rFonts w:cs="Arial"/>
                <w:szCs w:val="20"/>
              </w:rPr>
            </w:pPr>
            <w:r>
              <w:rPr>
                <w:rFonts w:cs="Arial"/>
                <w:szCs w:val="20"/>
              </w:rPr>
              <w:t>040-050</w:t>
            </w:r>
          </w:p>
        </w:tc>
        <w:tc>
          <w:tcPr>
            <w:tcW w:w="7379" w:type="dxa"/>
            <w:gridSpan w:val="2"/>
            <w:shd w:val="clear" w:color="auto" w:fill="F2F2F2" w:themeFill="background1" w:themeFillShade="F2"/>
          </w:tcPr>
          <w:p w:rsidR="001B3F25" w:rsidRPr="00127A6C" w:rsidRDefault="001B3F25" w:rsidP="00267206">
            <w:pPr>
              <w:pStyle w:val="InstructionsText"/>
              <w:rPr>
                <w:rStyle w:val="InstructionsTabelleberschrift"/>
              </w:rPr>
            </w:pPr>
            <w:r w:rsidRPr="00127A6C">
              <w:rPr>
                <w:rStyle w:val="InstructionsTabelleberschrift"/>
              </w:rPr>
              <w:t xml:space="preserve">1.3.1 Transferable assets representing claims on or guaranteed by the central government of a Member State, a region with fiscal autonomy to raise and collect taxes, or of a third country in the domestic currency of the central or regional government, if the institution incurs a liquidity risk in that Member State or third country that it covers by holding those liquid assets </w:t>
            </w:r>
          </w:p>
          <w:p w:rsidR="001B3F25" w:rsidRDefault="001B3F25" w:rsidP="00267206">
            <w:pPr>
              <w:pStyle w:val="InstructionsText"/>
              <w:rPr>
                <w:rStyle w:val="InstructionsTabelleberschrift"/>
                <w:b w:val="0"/>
                <w:u w:val="none"/>
              </w:rPr>
            </w:pPr>
          </w:p>
          <w:p w:rsidR="001B3F25" w:rsidRPr="00127A6C" w:rsidRDefault="001B3F25" w:rsidP="00267206">
            <w:pPr>
              <w:pStyle w:val="InstructionsText"/>
              <w:rPr>
                <w:rStyle w:val="FormatvorlageInstructionsTabelleText"/>
                <w:b/>
              </w:rPr>
            </w:pPr>
            <w:r w:rsidRPr="00127A6C">
              <w:rPr>
                <w:rStyle w:val="InstructionsTabelleberschrift"/>
                <w:b w:val="0"/>
                <w:u w:val="none"/>
              </w:rPr>
              <w:t>Article 416(1)(c)(</w:t>
            </w:r>
            <w:proofErr w:type="spellStart"/>
            <w:r w:rsidRPr="00127A6C">
              <w:rPr>
                <w:rStyle w:val="InstructionsTabelleberschrift"/>
                <w:b w:val="0"/>
                <w:u w:val="none"/>
              </w:rPr>
              <w:t>i</w:t>
            </w:r>
            <w:proofErr w:type="spellEnd"/>
            <w:r w:rsidRPr="00127A6C">
              <w:rPr>
                <w:rStyle w:val="InstructionsTabelleberschrift"/>
                <w:b w:val="0"/>
                <w:u w:val="none"/>
              </w:rPr>
              <w:t xml:space="preserve">) </w:t>
            </w:r>
            <w:r w:rsidR="007655D4">
              <w:rPr>
                <w:rStyle w:val="InstructionsTabelleberschrift"/>
                <w:b w:val="0"/>
                <w:u w:val="none"/>
              </w:rPr>
              <w:t>REGULATION (EU) NO 575/2013</w:t>
            </w:r>
            <w:r w:rsidRPr="00127A6C">
              <w:rPr>
                <w:rStyle w:val="InstructionsTabelleberschrift"/>
                <w:b w:val="0"/>
                <w:u w:val="none"/>
              </w:rPr>
              <w:t xml:space="preserve"> </w:t>
            </w:r>
          </w:p>
          <w:p w:rsidR="001B3F25" w:rsidRDefault="001B3F25" w:rsidP="00267206">
            <w:pPr>
              <w:pStyle w:val="InstructionsText"/>
              <w:rPr>
                <w:rStyle w:val="InstructionsTabelleberschrift"/>
                <w:b w:val="0"/>
                <w:u w:val="none"/>
              </w:rPr>
            </w:pPr>
          </w:p>
        </w:tc>
      </w:tr>
      <w:tr w:rsidR="001B3F25" w:rsidRPr="00B37090" w:rsidTr="001B3F25">
        <w:tc>
          <w:tcPr>
            <w:tcW w:w="695" w:type="dxa"/>
            <w:vAlign w:val="center"/>
          </w:tcPr>
          <w:p w:rsidR="001B3F25" w:rsidRPr="006D0410" w:rsidRDefault="001B3F25" w:rsidP="006D0410">
            <w:pPr>
              <w:jc w:val="left"/>
              <w:rPr>
                <w:rFonts w:cs="Arial"/>
                <w:szCs w:val="20"/>
              </w:rPr>
            </w:pPr>
            <w:r>
              <w:rPr>
                <w:rFonts w:cs="Arial"/>
                <w:szCs w:val="20"/>
              </w:rPr>
              <w:t>040</w:t>
            </w:r>
          </w:p>
        </w:tc>
        <w:tc>
          <w:tcPr>
            <w:tcW w:w="7379" w:type="dxa"/>
            <w:gridSpan w:val="2"/>
          </w:tcPr>
          <w:p w:rsidR="001B3F25" w:rsidRPr="009877CB" w:rsidRDefault="001B3F25" w:rsidP="00267206">
            <w:pPr>
              <w:pStyle w:val="InstructionsText"/>
              <w:rPr>
                <w:rStyle w:val="InstructionsTabelleberschrift"/>
              </w:rPr>
            </w:pPr>
            <w:r w:rsidRPr="009877CB">
              <w:rPr>
                <w:rStyle w:val="InstructionsTabelleberschrift"/>
              </w:rPr>
              <w:t xml:space="preserve">1.3.1.1 representing claims </w:t>
            </w:r>
          </w:p>
          <w:p w:rsidR="001B3F25" w:rsidRDefault="001B3F25" w:rsidP="00267206">
            <w:pPr>
              <w:pStyle w:val="InstructionsText"/>
              <w:rPr>
                <w:rStyle w:val="InstructionsTabelleberschrift"/>
              </w:rPr>
            </w:pPr>
          </w:p>
          <w:p w:rsidR="001B3F25" w:rsidRPr="009877CB" w:rsidRDefault="001B3F25" w:rsidP="00267206">
            <w:pPr>
              <w:pStyle w:val="InstructionsText"/>
              <w:rPr>
                <w:rStyle w:val="InstructionsTabelleberschrift"/>
              </w:rPr>
            </w:pPr>
            <w:r w:rsidRPr="009877CB">
              <w:rPr>
                <w:rStyle w:val="InstructionsTabelleberschrift"/>
                <w:b w:val="0"/>
                <w:u w:val="none"/>
              </w:rPr>
              <w:t>Assets specified in 1.3.1 that represent claims on the above counterparties, according to Article 416(1)(c)(</w:t>
            </w:r>
            <w:proofErr w:type="spellStart"/>
            <w:r w:rsidRPr="009877CB">
              <w:rPr>
                <w:rStyle w:val="InstructionsTabelleberschrift"/>
                <w:b w:val="0"/>
                <w:u w:val="none"/>
              </w:rPr>
              <w:t>i</w:t>
            </w:r>
            <w:proofErr w:type="spellEnd"/>
            <w:r w:rsidRPr="009877CB">
              <w:rPr>
                <w:rStyle w:val="InstructionsTabelleberschrift"/>
                <w:b w:val="0"/>
                <w:u w:val="none"/>
              </w:rPr>
              <w:t>)</w:t>
            </w:r>
          </w:p>
          <w:p w:rsidR="001B3F25" w:rsidRDefault="001B3F25" w:rsidP="00267206">
            <w:pPr>
              <w:pStyle w:val="InstructionsText"/>
              <w:rPr>
                <w:rStyle w:val="InstructionsTabelleberschrift"/>
              </w:rPr>
            </w:pPr>
          </w:p>
        </w:tc>
      </w:tr>
      <w:tr w:rsidR="001B3F25" w:rsidRPr="00B37090" w:rsidTr="001B3F25">
        <w:tc>
          <w:tcPr>
            <w:tcW w:w="695" w:type="dxa"/>
            <w:vAlign w:val="center"/>
          </w:tcPr>
          <w:p w:rsidR="001B3F25" w:rsidRPr="006D0410" w:rsidRDefault="001B3F25" w:rsidP="006D0410">
            <w:pPr>
              <w:jc w:val="left"/>
              <w:rPr>
                <w:rFonts w:cs="Arial"/>
                <w:szCs w:val="20"/>
              </w:rPr>
            </w:pPr>
            <w:r>
              <w:rPr>
                <w:rFonts w:cs="Arial"/>
                <w:szCs w:val="20"/>
              </w:rPr>
              <w:t>050</w:t>
            </w:r>
          </w:p>
        </w:tc>
        <w:tc>
          <w:tcPr>
            <w:tcW w:w="7379" w:type="dxa"/>
            <w:gridSpan w:val="2"/>
          </w:tcPr>
          <w:p w:rsidR="001B3F25" w:rsidRPr="009877CB" w:rsidRDefault="001B3F25" w:rsidP="00267206">
            <w:pPr>
              <w:pStyle w:val="InstructionsText"/>
              <w:rPr>
                <w:rStyle w:val="InstructionsTabelleberschrift"/>
              </w:rPr>
            </w:pPr>
            <w:r w:rsidRPr="009877CB">
              <w:rPr>
                <w:rStyle w:val="InstructionsTabelleberschrift"/>
              </w:rPr>
              <w:t xml:space="preserve">1.3.1.2 guaranteed by </w:t>
            </w:r>
          </w:p>
          <w:p w:rsidR="001B3F25" w:rsidRDefault="001B3F25" w:rsidP="00267206">
            <w:pPr>
              <w:pStyle w:val="InstructionsText"/>
              <w:rPr>
                <w:rStyle w:val="InstructionsTabelleberschrift"/>
              </w:rPr>
            </w:pPr>
          </w:p>
          <w:p w:rsidR="001B3F25" w:rsidRPr="009877CB" w:rsidRDefault="001B3F25" w:rsidP="00267206">
            <w:pPr>
              <w:pStyle w:val="InstructionsText"/>
              <w:rPr>
                <w:rStyle w:val="InstructionsTabelleberschrift"/>
              </w:rPr>
            </w:pPr>
            <w:r w:rsidRPr="009877CB">
              <w:rPr>
                <w:rStyle w:val="InstructionsTabelleberschrift"/>
                <w:b w:val="0"/>
                <w:u w:val="none"/>
              </w:rPr>
              <w:t>Assets specified in 1.3.1 guaranteed by the above counterparties, according to Article 416(1)(c)(</w:t>
            </w:r>
            <w:proofErr w:type="spellStart"/>
            <w:r w:rsidRPr="009877CB">
              <w:rPr>
                <w:rStyle w:val="InstructionsTabelleberschrift"/>
                <w:b w:val="0"/>
                <w:u w:val="none"/>
              </w:rPr>
              <w:t>i</w:t>
            </w:r>
            <w:proofErr w:type="spellEnd"/>
            <w:r w:rsidRPr="009877CB">
              <w:rPr>
                <w:rStyle w:val="InstructionsTabelleberschrift"/>
                <w:b w:val="0"/>
                <w:u w:val="none"/>
              </w:rPr>
              <w:t>)</w:t>
            </w:r>
          </w:p>
          <w:p w:rsidR="001B3F25" w:rsidRPr="009877CB" w:rsidRDefault="001B3F25" w:rsidP="00267206">
            <w:pPr>
              <w:pStyle w:val="InstructionsText"/>
              <w:rPr>
                <w:rStyle w:val="InstructionsTabelleberschrift"/>
              </w:rPr>
            </w:pPr>
          </w:p>
          <w:p w:rsidR="001B3F25" w:rsidRDefault="001B3F25" w:rsidP="00267206">
            <w:pPr>
              <w:pStyle w:val="InstructionsText"/>
              <w:rPr>
                <w:rStyle w:val="InstructionsTabelleberschrift"/>
              </w:rPr>
            </w:pPr>
          </w:p>
        </w:tc>
      </w:tr>
      <w:tr w:rsidR="001B3F25" w:rsidRPr="00B37090" w:rsidTr="001B3F25">
        <w:tc>
          <w:tcPr>
            <w:tcW w:w="695" w:type="dxa"/>
            <w:shd w:val="clear" w:color="auto" w:fill="F2F2F2" w:themeFill="background1" w:themeFillShade="F2"/>
            <w:vAlign w:val="center"/>
          </w:tcPr>
          <w:p w:rsidR="001B3F25" w:rsidRPr="006D0410" w:rsidRDefault="001B3F25" w:rsidP="006D0410">
            <w:pPr>
              <w:jc w:val="left"/>
              <w:rPr>
                <w:rFonts w:cs="Arial"/>
                <w:szCs w:val="20"/>
              </w:rPr>
            </w:pPr>
            <w:r>
              <w:rPr>
                <w:rFonts w:cs="Arial"/>
                <w:szCs w:val="20"/>
              </w:rPr>
              <w:t>060-070</w:t>
            </w:r>
          </w:p>
        </w:tc>
        <w:tc>
          <w:tcPr>
            <w:tcW w:w="7379" w:type="dxa"/>
            <w:gridSpan w:val="2"/>
            <w:shd w:val="clear" w:color="auto" w:fill="F2F2F2" w:themeFill="background1" w:themeFillShade="F2"/>
          </w:tcPr>
          <w:p w:rsidR="001B3F25" w:rsidRPr="009877CB" w:rsidRDefault="001B3F25" w:rsidP="00267206">
            <w:pPr>
              <w:pStyle w:val="InstructionsText"/>
              <w:rPr>
                <w:rStyle w:val="InstructionsTabelleberschrift"/>
              </w:rPr>
            </w:pPr>
            <w:r w:rsidRPr="009877CB">
              <w:rPr>
                <w:rStyle w:val="InstructionsTabelleberschrift"/>
              </w:rPr>
              <w:t xml:space="preserve">1.3.2 transferable assets representing claims on or guaranteed by central banks and non-central government public sector entities in the domestic currency of the central bank and public sector entity </w:t>
            </w:r>
          </w:p>
          <w:p w:rsidR="001B3F25" w:rsidRDefault="001B3F25" w:rsidP="00267206">
            <w:pPr>
              <w:pStyle w:val="InstructionsText"/>
              <w:rPr>
                <w:rStyle w:val="InstructionsTabelleberschrift"/>
                <w:b w:val="0"/>
                <w:u w:val="none"/>
              </w:rPr>
            </w:pPr>
          </w:p>
          <w:p w:rsidR="001B3F25" w:rsidRDefault="001B3F25" w:rsidP="00267206">
            <w:pPr>
              <w:pStyle w:val="InstructionsText"/>
              <w:rPr>
                <w:rStyle w:val="InstructionsTabelleberschrift"/>
                <w:b w:val="0"/>
                <w:u w:val="none"/>
              </w:rPr>
            </w:pPr>
          </w:p>
          <w:p w:rsidR="001B3F25" w:rsidRPr="009877CB" w:rsidRDefault="001B3F25" w:rsidP="00267206">
            <w:pPr>
              <w:pStyle w:val="InstructionsText"/>
              <w:rPr>
                <w:rStyle w:val="FormatvorlageInstructionsTabelleText"/>
                <w:b/>
              </w:rPr>
            </w:pPr>
            <w:r w:rsidRPr="009877CB">
              <w:rPr>
                <w:rStyle w:val="InstructionsTabelleberschrift"/>
                <w:b w:val="0"/>
                <w:u w:val="none"/>
              </w:rPr>
              <w:t xml:space="preserve">Article 416(1)(c)(ii) </w:t>
            </w:r>
            <w:r w:rsidR="007655D4">
              <w:rPr>
                <w:rStyle w:val="InstructionsTabelleberschrift"/>
                <w:b w:val="0"/>
                <w:u w:val="none"/>
              </w:rPr>
              <w:t>REGULATION (EU) NO 575/2013</w:t>
            </w:r>
          </w:p>
          <w:p w:rsidR="001B3F25" w:rsidRPr="009D67FE" w:rsidRDefault="001B3F25" w:rsidP="00267206">
            <w:pPr>
              <w:pStyle w:val="InstructionsText"/>
              <w:rPr>
                <w:rStyle w:val="InstructionsTabelleberschrift"/>
              </w:rPr>
            </w:pPr>
          </w:p>
          <w:p w:rsidR="001B3F25" w:rsidRDefault="001B3F25" w:rsidP="00267206">
            <w:pPr>
              <w:pStyle w:val="InstructionsText"/>
              <w:rPr>
                <w:rStyle w:val="InstructionsTabelleberschrift"/>
                <w:b w:val="0"/>
                <w:u w:val="none"/>
              </w:rPr>
            </w:pPr>
          </w:p>
        </w:tc>
      </w:tr>
      <w:tr w:rsidR="001B3F25" w:rsidRPr="00B37090" w:rsidTr="001B3F25">
        <w:tc>
          <w:tcPr>
            <w:tcW w:w="695" w:type="dxa"/>
            <w:vAlign w:val="center"/>
          </w:tcPr>
          <w:p w:rsidR="001B3F25" w:rsidRPr="006D0410" w:rsidRDefault="001B3F25" w:rsidP="006D0410">
            <w:pPr>
              <w:jc w:val="left"/>
              <w:rPr>
                <w:rFonts w:cs="Arial"/>
                <w:szCs w:val="20"/>
              </w:rPr>
            </w:pPr>
            <w:r>
              <w:rPr>
                <w:rFonts w:cs="Arial"/>
                <w:szCs w:val="20"/>
              </w:rPr>
              <w:t>060</w:t>
            </w:r>
          </w:p>
        </w:tc>
        <w:tc>
          <w:tcPr>
            <w:tcW w:w="7379" w:type="dxa"/>
            <w:gridSpan w:val="2"/>
          </w:tcPr>
          <w:p w:rsidR="001B3F25" w:rsidRPr="009877CB" w:rsidRDefault="001B3F25" w:rsidP="00267206">
            <w:pPr>
              <w:pStyle w:val="InstructionsText"/>
              <w:rPr>
                <w:rStyle w:val="InstructionsTabelleberschrift"/>
              </w:rPr>
            </w:pPr>
            <w:r w:rsidRPr="009877CB">
              <w:rPr>
                <w:rStyle w:val="InstructionsTabelleberschrift"/>
              </w:rPr>
              <w:t xml:space="preserve">1.3.2.1 representing claims </w:t>
            </w:r>
          </w:p>
          <w:p w:rsidR="001B3F25" w:rsidRPr="009877CB" w:rsidRDefault="001B3F25" w:rsidP="00267206">
            <w:pPr>
              <w:pStyle w:val="InstructionsText"/>
              <w:rPr>
                <w:rStyle w:val="InstructionsTabelleberschrift"/>
                <w:b w:val="0"/>
              </w:rPr>
            </w:pPr>
          </w:p>
          <w:p w:rsidR="001B3F25" w:rsidRPr="009877CB" w:rsidRDefault="001B3F25" w:rsidP="00267206">
            <w:pPr>
              <w:pStyle w:val="InstructionsText"/>
              <w:rPr>
                <w:rStyle w:val="InstructionsTabelleberschrift"/>
                <w:b w:val="0"/>
                <w:u w:val="none"/>
              </w:rPr>
            </w:pPr>
            <w:r w:rsidRPr="009877CB">
              <w:rPr>
                <w:rStyle w:val="InstructionsTabelleberschrift"/>
                <w:b w:val="0"/>
                <w:u w:val="none"/>
              </w:rPr>
              <w:t xml:space="preserve">Assets specified in 1.3.2 that represent claims on the above counterparties, according to Article 416(1)(c)(ii)  </w:t>
            </w:r>
          </w:p>
          <w:p w:rsidR="001B3F25" w:rsidRDefault="001B3F25" w:rsidP="00267206">
            <w:pPr>
              <w:pStyle w:val="InstructionsText"/>
              <w:rPr>
                <w:rStyle w:val="InstructionsTabelleberschrift"/>
              </w:rPr>
            </w:pPr>
          </w:p>
        </w:tc>
      </w:tr>
      <w:tr w:rsidR="001B3F25" w:rsidRPr="00B37090" w:rsidTr="001B3F25">
        <w:tc>
          <w:tcPr>
            <w:tcW w:w="695" w:type="dxa"/>
            <w:vAlign w:val="center"/>
          </w:tcPr>
          <w:p w:rsidR="001B3F25" w:rsidRPr="006D0410" w:rsidRDefault="001B3F25" w:rsidP="006D0410">
            <w:pPr>
              <w:jc w:val="left"/>
              <w:rPr>
                <w:rFonts w:cs="Arial"/>
                <w:szCs w:val="20"/>
              </w:rPr>
            </w:pPr>
            <w:r>
              <w:rPr>
                <w:rFonts w:cs="Arial"/>
                <w:szCs w:val="20"/>
              </w:rPr>
              <w:t>070</w:t>
            </w:r>
          </w:p>
        </w:tc>
        <w:tc>
          <w:tcPr>
            <w:tcW w:w="7379" w:type="dxa"/>
            <w:gridSpan w:val="2"/>
          </w:tcPr>
          <w:p w:rsidR="001B3F25" w:rsidRPr="009877CB" w:rsidRDefault="001B3F25" w:rsidP="00267206">
            <w:pPr>
              <w:pStyle w:val="InstructionsText"/>
              <w:rPr>
                <w:rStyle w:val="InstructionsTabelleberschrift"/>
              </w:rPr>
            </w:pPr>
            <w:r w:rsidRPr="009877CB">
              <w:rPr>
                <w:rStyle w:val="InstructionsTabelleberschrift"/>
              </w:rPr>
              <w:t xml:space="preserve">1.3.2.2 guaranteed by </w:t>
            </w:r>
          </w:p>
          <w:p w:rsidR="001B3F25" w:rsidRDefault="001B3F25" w:rsidP="00267206">
            <w:pPr>
              <w:pStyle w:val="InstructionsText"/>
              <w:rPr>
                <w:rStyle w:val="InstructionsTabelleberschrift"/>
              </w:rPr>
            </w:pPr>
          </w:p>
          <w:p w:rsidR="001B3F25" w:rsidRPr="009877CB" w:rsidRDefault="001B3F25" w:rsidP="00267206">
            <w:pPr>
              <w:pStyle w:val="InstructionsText"/>
              <w:rPr>
                <w:rStyle w:val="InstructionsTabelleberschrift"/>
                <w:b w:val="0"/>
                <w:u w:val="none"/>
              </w:rPr>
            </w:pPr>
            <w:r w:rsidRPr="009877CB">
              <w:rPr>
                <w:rStyle w:val="InstructionsTabelleberschrift"/>
                <w:b w:val="0"/>
                <w:u w:val="none"/>
              </w:rPr>
              <w:t xml:space="preserve">Assets specified in 1.3.2 guaranteed by the above counterparties, according to Article 416(1)(c)(ii)  </w:t>
            </w:r>
          </w:p>
          <w:p w:rsidR="001B3F25" w:rsidRDefault="001B3F25" w:rsidP="00267206">
            <w:pPr>
              <w:pStyle w:val="InstructionsText"/>
              <w:rPr>
                <w:rStyle w:val="InstructionsTabelleberschrift"/>
              </w:rPr>
            </w:pPr>
          </w:p>
        </w:tc>
      </w:tr>
      <w:tr w:rsidR="001B3F25" w:rsidRPr="00B37090" w:rsidTr="001B3F25">
        <w:tc>
          <w:tcPr>
            <w:tcW w:w="695" w:type="dxa"/>
            <w:shd w:val="clear" w:color="auto" w:fill="FFFFFF" w:themeFill="background1"/>
            <w:vAlign w:val="center"/>
          </w:tcPr>
          <w:p w:rsidR="001B3F25" w:rsidRDefault="001B3F25" w:rsidP="005D6CE3">
            <w:pPr>
              <w:spacing w:before="0" w:after="0"/>
              <w:jc w:val="left"/>
              <w:rPr>
                <w:rFonts w:cs="Arial"/>
                <w:szCs w:val="20"/>
              </w:rPr>
            </w:pPr>
            <w:r>
              <w:rPr>
                <w:rFonts w:cs="Arial"/>
                <w:szCs w:val="20"/>
              </w:rPr>
              <w:t>080-090</w:t>
            </w:r>
          </w:p>
        </w:tc>
        <w:tc>
          <w:tcPr>
            <w:tcW w:w="7379" w:type="dxa"/>
            <w:gridSpan w:val="2"/>
            <w:shd w:val="clear" w:color="auto" w:fill="FFFFFF" w:themeFill="background1"/>
          </w:tcPr>
          <w:p w:rsidR="001B3F25" w:rsidRPr="009877CB" w:rsidRDefault="009D67FE" w:rsidP="00267206">
            <w:pPr>
              <w:pStyle w:val="InstructionsText"/>
              <w:rPr>
                <w:rStyle w:val="InstructionsTabelleberschrift"/>
              </w:rPr>
            </w:pPr>
            <w:r w:rsidRPr="009877CB">
              <w:rPr>
                <w:rStyle w:val="InstructionsTabelleberschrift"/>
              </w:rPr>
              <w:t xml:space="preserve">1.3.3 transferable assets representing claims on or guaranteed by </w:t>
            </w:r>
            <w:r w:rsidR="001B3F25" w:rsidRPr="009877CB">
              <w:rPr>
                <w:rStyle w:val="InstructionsTabelleberschrift"/>
              </w:rPr>
              <w:t>the Bank for International Settlements, the International Monetary Fund, the Commission and multilateral development banks</w:t>
            </w:r>
          </w:p>
          <w:p w:rsidR="001B3F25" w:rsidRDefault="001B3F25" w:rsidP="00267206">
            <w:pPr>
              <w:pStyle w:val="InstructionsText"/>
              <w:rPr>
                <w:rStyle w:val="InstructionsTabelleberschrift"/>
              </w:rPr>
            </w:pPr>
          </w:p>
          <w:p w:rsidR="001B3F25" w:rsidRPr="009877CB" w:rsidRDefault="001B3F25" w:rsidP="00267206">
            <w:pPr>
              <w:pStyle w:val="InstructionsText"/>
              <w:rPr>
                <w:rStyle w:val="FormatvorlageInstructionsTabelleText"/>
                <w:b/>
              </w:rPr>
            </w:pPr>
            <w:r w:rsidRPr="009877CB">
              <w:rPr>
                <w:rStyle w:val="InstructionsTabelleberschrift"/>
                <w:b w:val="0"/>
                <w:u w:val="none"/>
              </w:rPr>
              <w:t xml:space="preserve">Article 416(1)(c)(iii) </w:t>
            </w:r>
            <w:r w:rsidR="007655D4">
              <w:rPr>
                <w:rStyle w:val="InstructionsTabelleberschrift"/>
                <w:b w:val="0"/>
                <w:u w:val="none"/>
              </w:rPr>
              <w:t>REGULATION (EU) NO 575/2013</w:t>
            </w:r>
            <w:r w:rsidRPr="009877CB">
              <w:rPr>
                <w:rStyle w:val="InstructionsTabelleberschrift"/>
                <w:b w:val="0"/>
                <w:u w:val="none"/>
              </w:rPr>
              <w:t xml:space="preserve"> </w:t>
            </w:r>
          </w:p>
          <w:p w:rsidR="001B3F25" w:rsidRPr="009D67FE" w:rsidRDefault="001B3F25" w:rsidP="00267206">
            <w:pPr>
              <w:pStyle w:val="InstructionsText"/>
              <w:rPr>
                <w:rStyle w:val="InstructionsTabelleberschrift"/>
              </w:rPr>
            </w:pPr>
          </w:p>
          <w:p w:rsidR="001B3F25" w:rsidRDefault="001B3F25" w:rsidP="00267206">
            <w:pPr>
              <w:pStyle w:val="InstructionsText"/>
              <w:rPr>
                <w:rStyle w:val="InstructionsTabelleberschrift"/>
              </w:rPr>
            </w:pPr>
          </w:p>
        </w:tc>
      </w:tr>
      <w:tr w:rsidR="001B3F25" w:rsidRPr="00B37090" w:rsidTr="001B3F25">
        <w:tc>
          <w:tcPr>
            <w:tcW w:w="695" w:type="dxa"/>
            <w:shd w:val="clear" w:color="auto" w:fill="FFFFFF" w:themeFill="background1"/>
            <w:vAlign w:val="center"/>
          </w:tcPr>
          <w:p w:rsidR="001B3F25" w:rsidRPr="006D0410" w:rsidRDefault="001B3F25" w:rsidP="006D0410">
            <w:pPr>
              <w:jc w:val="left"/>
              <w:rPr>
                <w:rFonts w:cs="Arial"/>
                <w:szCs w:val="20"/>
              </w:rPr>
            </w:pPr>
            <w:r>
              <w:rPr>
                <w:rFonts w:cs="Arial"/>
                <w:szCs w:val="20"/>
              </w:rPr>
              <w:lastRenderedPageBreak/>
              <w:t>080</w:t>
            </w:r>
          </w:p>
        </w:tc>
        <w:tc>
          <w:tcPr>
            <w:tcW w:w="7379" w:type="dxa"/>
            <w:gridSpan w:val="2"/>
            <w:shd w:val="clear" w:color="auto" w:fill="FFFFFF" w:themeFill="background1"/>
          </w:tcPr>
          <w:p w:rsidR="001B3F25" w:rsidRPr="009877CB" w:rsidRDefault="001B3F25" w:rsidP="00267206">
            <w:pPr>
              <w:pStyle w:val="InstructionsText"/>
              <w:rPr>
                <w:rStyle w:val="InstructionsTabelleberschrift"/>
              </w:rPr>
            </w:pPr>
            <w:r w:rsidRPr="009877CB">
              <w:rPr>
                <w:rStyle w:val="InstructionsTabelleberschrift"/>
              </w:rPr>
              <w:t>1.3.3.1 representing claims</w:t>
            </w:r>
          </w:p>
          <w:p w:rsidR="001B3F25" w:rsidRDefault="001B3F25" w:rsidP="00267206">
            <w:pPr>
              <w:pStyle w:val="InstructionsText"/>
              <w:rPr>
                <w:rStyle w:val="InstructionsTabelleberschrift"/>
              </w:rPr>
            </w:pPr>
          </w:p>
          <w:p w:rsidR="001B3F25" w:rsidRPr="009877CB" w:rsidRDefault="001B3F25" w:rsidP="00267206">
            <w:pPr>
              <w:pStyle w:val="InstructionsText"/>
              <w:rPr>
                <w:rStyle w:val="InstructionsTabelleberschrift"/>
                <w:b w:val="0"/>
                <w:u w:val="none"/>
              </w:rPr>
            </w:pPr>
            <w:r w:rsidRPr="009877CB">
              <w:rPr>
                <w:rStyle w:val="InstructionsTabelleberschrift"/>
                <w:b w:val="0"/>
                <w:u w:val="none"/>
              </w:rPr>
              <w:t xml:space="preserve">Assets specified in 1.3.3 that represent claims on the above counterparties, according to Article 416(1)(c)(iii)  </w:t>
            </w:r>
          </w:p>
          <w:p w:rsidR="001B3F25" w:rsidRDefault="001B3F25" w:rsidP="00267206">
            <w:pPr>
              <w:pStyle w:val="InstructionsText"/>
              <w:rPr>
                <w:rStyle w:val="InstructionsTabelleberschrift"/>
              </w:rPr>
            </w:pPr>
          </w:p>
        </w:tc>
      </w:tr>
      <w:tr w:rsidR="001B3F25" w:rsidRPr="00B37090" w:rsidTr="001B3F25">
        <w:tc>
          <w:tcPr>
            <w:tcW w:w="695" w:type="dxa"/>
            <w:shd w:val="clear" w:color="auto" w:fill="FFFFFF" w:themeFill="background1"/>
            <w:vAlign w:val="center"/>
          </w:tcPr>
          <w:p w:rsidR="001B3F25" w:rsidRPr="006D0410" w:rsidRDefault="001B3F25" w:rsidP="006D0410">
            <w:pPr>
              <w:jc w:val="left"/>
              <w:rPr>
                <w:rFonts w:cs="Arial"/>
                <w:szCs w:val="20"/>
              </w:rPr>
            </w:pPr>
            <w:r>
              <w:rPr>
                <w:rFonts w:cs="Arial"/>
                <w:szCs w:val="20"/>
              </w:rPr>
              <w:t>090</w:t>
            </w:r>
          </w:p>
        </w:tc>
        <w:tc>
          <w:tcPr>
            <w:tcW w:w="7379" w:type="dxa"/>
            <w:gridSpan w:val="2"/>
            <w:shd w:val="clear" w:color="auto" w:fill="FFFFFF" w:themeFill="background1"/>
          </w:tcPr>
          <w:p w:rsidR="001B3F25" w:rsidRPr="0035169D" w:rsidRDefault="001B3F25" w:rsidP="00267206">
            <w:pPr>
              <w:pStyle w:val="InstructionsText"/>
              <w:rPr>
                <w:rStyle w:val="InstructionsTabelleberschrift"/>
              </w:rPr>
            </w:pPr>
            <w:r w:rsidRPr="0035169D">
              <w:rPr>
                <w:rStyle w:val="InstructionsTabelleberschrift"/>
              </w:rPr>
              <w:t xml:space="preserve">1.3.3.2 guaranteed by </w:t>
            </w:r>
          </w:p>
          <w:p w:rsidR="001B3F25" w:rsidRDefault="001B3F25" w:rsidP="00267206">
            <w:pPr>
              <w:pStyle w:val="InstructionsText"/>
              <w:rPr>
                <w:rStyle w:val="InstructionsTabelleberschrift"/>
              </w:rPr>
            </w:pPr>
          </w:p>
          <w:p w:rsidR="001B3F25" w:rsidRPr="0035169D" w:rsidRDefault="001B3F25" w:rsidP="00267206">
            <w:pPr>
              <w:pStyle w:val="InstructionsText"/>
              <w:rPr>
                <w:rStyle w:val="InstructionsTabelleberschrift"/>
                <w:b w:val="0"/>
                <w:u w:val="none"/>
              </w:rPr>
            </w:pPr>
            <w:r w:rsidRPr="0035169D">
              <w:rPr>
                <w:rStyle w:val="InstructionsTabelleberschrift"/>
                <w:b w:val="0"/>
                <w:u w:val="none"/>
              </w:rPr>
              <w:t>Assets specified in 1.3.3 guaranteed by the above counterparties, according to Article 416(1)(c)(iii)</w:t>
            </w:r>
          </w:p>
          <w:p w:rsidR="001B3F25" w:rsidRPr="0035169D" w:rsidRDefault="001B3F25" w:rsidP="00267206">
            <w:pPr>
              <w:pStyle w:val="InstructionsText"/>
              <w:rPr>
                <w:rStyle w:val="InstructionsTabelleberschrift"/>
                <w:b w:val="0"/>
                <w:u w:val="none"/>
              </w:rPr>
            </w:pPr>
          </w:p>
          <w:p w:rsidR="001B3F25" w:rsidRDefault="001B3F25" w:rsidP="00267206">
            <w:pPr>
              <w:pStyle w:val="InstructionsText"/>
              <w:rPr>
                <w:rStyle w:val="InstructionsTabelleberschrift"/>
              </w:rPr>
            </w:pPr>
          </w:p>
        </w:tc>
      </w:tr>
      <w:tr w:rsidR="001B3F25" w:rsidRPr="005B059A" w:rsidTr="001B3F25">
        <w:tc>
          <w:tcPr>
            <w:tcW w:w="695" w:type="dxa"/>
            <w:tcBorders>
              <w:bottom w:val="single" w:sz="4" w:space="0" w:color="auto"/>
            </w:tcBorders>
            <w:shd w:val="clear" w:color="auto" w:fill="E6E6E6"/>
            <w:vAlign w:val="center"/>
          </w:tcPr>
          <w:p w:rsidR="001B3F25" w:rsidRPr="001B3F25" w:rsidRDefault="001B3F25" w:rsidP="00221C50">
            <w:pPr>
              <w:jc w:val="left"/>
              <w:rPr>
                <w:rFonts w:cs="Arial"/>
                <w:szCs w:val="20"/>
              </w:rPr>
            </w:pPr>
            <w:r w:rsidRPr="001B3F25">
              <w:rPr>
                <w:rFonts w:cs="Arial"/>
                <w:szCs w:val="20"/>
              </w:rPr>
              <w:t>100-110</w:t>
            </w:r>
          </w:p>
        </w:tc>
        <w:tc>
          <w:tcPr>
            <w:tcW w:w="7379" w:type="dxa"/>
            <w:gridSpan w:val="2"/>
            <w:tcBorders>
              <w:bottom w:val="single" w:sz="4" w:space="0" w:color="auto"/>
            </w:tcBorders>
            <w:shd w:val="clear" w:color="auto" w:fill="E6E6E6"/>
          </w:tcPr>
          <w:p w:rsidR="001B3F25" w:rsidRPr="0035169D" w:rsidRDefault="001B3F25" w:rsidP="00267206">
            <w:pPr>
              <w:pStyle w:val="InstructionsText"/>
              <w:rPr>
                <w:rStyle w:val="InstructionsTabelleberschrift"/>
              </w:rPr>
            </w:pPr>
            <w:r w:rsidRPr="0035169D">
              <w:rPr>
                <w:rStyle w:val="InstructionsTabelleberschrift"/>
              </w:rPr>
              <w:t>1.3.4 transferable assets representing claims on or guaranteed by the European Financial Stability Facility and the European Stability Mechanism</w:t>
            </w:r>
          </w:p>
          <w:p w:rsidR="001B3F25" w:rsidRPr="0035169D" w:rsidRDefault="001B3F25" w:rsidP="00267206">
            <w:pPr>
              <w:pStyle w:val="InstructionsText"/>
              <w:rPr>
                <w:rStyle w:val="InstructionsTabelleberschrift"/>
                <w:b w:val="0"/>
              </w:rPr>
            </w:pPr>
          </w:p>
          <w:p w:rsidR="001B3F25" w:rsidRPr="0035169D" w:rsidRDefault="001B3F25" w:rsidP="00267206">
            <w:pPr>
              <w:pStyle w:val="InstructionsText"/>
              <w:rPr>
                <w:rStyle w:val="InstructionsTabelleberschrift"/>
                <w:b w:val="0"/>
                <w:u w:val="none"/>
              </w:rPr>
            </w:pPr>
            <w:r w:rsidRPr="0035169D">
              <w:rPr>
                <w:rStyle w:val="InstructionsTabelleberschrift"/>
                <w:b w:val="0"/>
                <w:u w:val="none"/>
              </w:rPr>
              <w:t xml:space="preserve">Article 416(1)(c)(iv) </w:t>
            </w:r>
            <w:r w:rsidR="007655D4">
              <w:rPr>
                <w:rStyle w:val="InstructionsTabelleberschrift"/>
                <w:b w:val="0"/>
                <w:u w:val="none"/>
              </w:rPr>
              <w:t>REGULATION (EU) NO 575/2013</w:t>
            </w:r>
            <w:r w:rsidRPr="0035169D">
              <w:rPr>
                <w:rStyle w:val="InstructionsTabelleberschrift"/>
                <w:b w:val="0"/>
                <w:u w:val="none"/>
              </w:rPr>
              <w:t xml:space="preserve"> </w:t>
            </w:r>
          </w:p>
          <w:p w:rsidR="001B3F25" w:rsidRPr="0035169D" w:rsidRDefault="001B3F25" w:rsidP="00267206">
            <w:pPr>
              <w:pStyle w:val="InstructionsText"/>
              <w:rPr>
                <w:rStyle w:val="InstructionsTabelleberschrift"/>
                <w:b w:val="0"/>
                <w:u w:val="none"/>
              </w:rPr>
            </w:pPr>
          </w:p>
          <w:p w:rsidR="001B3F25" w:rsidRDefault="001B3F25" w:rsidP="00267206">
            <w:pPr>
              <w:pStyle w:val="InstructionsText"/>
              <w:rPr>
                <w:rStyle w:val="InstructionsTabelleberschrift"/>
                <w:b w:val="0"/>
              </w:rPr>
            </w:pPr>
          </w:p>
          <w:p w:rsidR="001B3F25" w:rsidRDefault="001B3F25" w:rsidP="00267206">
            <w:pPr>
              <w:pStyle w:val="InstructionsText"/>
              <w:rPr>
                <w:rStyle w:val="InstructionsTabelleberschrift"/>
              </w:rPr>
            </w:pPr>
          </w:p>
        </w:tc>
      </w:tr>
      <w:tr w:rsidR="001B3F25" w:rsidRPr="005B059A" w:rsidTr="001B3F25">
        <w:tc>
          <w:tcPr>
            <w:tcW w:w="695" w:type="dxa"/>
            <w:shd w:val="clear" w:color="auto" w:fill="auto"/>
            <w:vAlign w:val="center"/>
          </w:tcPr>
          <w:p w:rsidR="001B3F25" w:rsidRPr="001B3F25" w:rsidRDefault="001B3F25" w:rsidP="00221C50">
            <w:pPr>
              <w:jc w:val="left"/>
              <w:rPr>
                <w:rFonts w:cs="Arial"/>
                <w:szCs w:val="20"/>
              </w:rPr>
            </w:pPr>
            <w:r w:rsidRPr="001B3F25">
              <w:rPr>
                <w:rFonts w:cs="Arial"/>
                <w:szCs w:val="20"/>
              </w:rPr>
              <w:t>100</w:t>
            </w:r>
          </w:p>
        </w:tc>
        <w:tc>
          <w:tcPr>
            <w:tcW w:w="7379" w:type="dxa"/>
            <w:gridSpan w:val="2"/>
            <w:shd w:val="clear" w:color="auto" w:fill="auto"/>
          </w:tcPr>
          <w:p w:rsidR="001B3F25" w:rsidRPr="0035169D" w:rsidRDefault="001B3F25" w:rsidP="00267206">
            <w:pPr>
              <w:pStyle w:val="InstructionsText"/>
              <w:rPr>
                <w:rStyle w:val="InstructionsTabelleberschrift"/>
              </w:rPr>
            </w:pPr>
            <w:r w:rsidRPr="0035169D">
              <w:rPr>
                <w:rStyle w:val="InstructionsTabelleberschrift"/>
              </w:rPr>
              <w:t xml:space="preserve">1.3.4.1 representing claims </w:t>
            </w:r>
          </w:p>
          <w:p w:rsidR="001B3F25" w:rsidRPr="009D67FE" w:rsidRDefault="001B3F25" w:rsidP="00267206">
            <w:pPr>
              <w:pStyle w:val="InstructionsText"/>
              <w:rPr>
                <w:rStyle w:val="InstructionsTabelleberschrift"/>
                <w:b w:val="0"/>
              </w:rPr>
            </w:pPr>
          </w:p>
          <w:p w:rsidR="001B3F25" w:rsidRPr="0035169D" w:rsidRDefault="001B3F25" w:rsidP="00267206">
            <w:pPr>
              <w:pStyle w:val="InstructionsText"/>
              <w:rPr>
                <w:rStyle w:val="InstructionsTabelleberschrift"/>
                <w:b w:val="0"/>
                <w:u w:val="none"/>
              </w:rPr>
            </w:pPr>
            <w:r w:rsidRPr="0035169D">
              <w:rPr>
                <w:rStyle w:val="InstructionsTabelleberschrift"/>
                <w:b w:val="0"/>
                <w:u w:val="none"/>
              </w:rPr>
              <w:t xml:space="preserve">Assets specified in 1.3.4 that represent claims on the above counterparties, according to Article 416(1)(c)(iv) </w:t>
            </w:r>
          </w:p>
          <w:p w:rsidR="001B3F25" w:rsidRDefault="001B3F25" w:rsidP="00267206">
            <w:pPr>
              <w:pStyle w:val="InstructionsText"/>
              <w:rPr>
                <w:rStyle w:val="InstructionsTabelleberschrift"/>
                <w:b w:val="0"/>
              </w:rPr>
            </w:pPr>
          </w:p>
        </w:tc>
      </w:tr>
      <w:tr w:rsidR="001B3F25" w:rsidRPr="00097A61" w:rsidTr="001B3F25">
        <w:tc>
          <w:tcPr>
            <w:tcW w:w="695" w:type="dxa"/>
            <w:shd w:val="clear" w:color="auto" w:fill="auto"/>
            <w:vAlign w:val="center"/>
          </w:tcPr>
          <w:p w:rsidR="001B3F25" w:rsidRPr="009D67FE" w:rsidRDefault="001B3F25" w:rsidP="00221C50">
            <w:pPr>
              <w:jc w:val="left"/>
              <w:rPr>
                <w:rFonts w:cs="Arial"/>
                <w:szCs w:val="20"/>
              </w:rPr>
            </w:pPr>
            <w:r w:rsidRPr="009D67FE">
              <w:rPr>
                <w:rFonts w:cs="Arial"/>
                <w:szCs w:val="20"/>
              </w:rPr>
              <w:t>110</w:t>
            </w:r>
          </w:p>
        </w:tc>
        <w:tc>
          <w:tcPr>
            <w:tcW w:w="7379" w:type="dxa"/>
            <w:gridSpan w:val="2"/>
            <w:shd w:val="clear" w:color="auto" w:fill="auto"/>
            <w:vAlign w:val="center"/>
          </w:tcPr>
          <w:p w:rsidR="001B3F25" w:rsidRPr="0035169D" w:rsidRDefault="001B3F25" w:rsidP="00267206">
            <w:pPr>
              <w:pStyle w:val="InstructionsText"/>
              <w:rPr>
                <w:rStyle w:val="InstructionsTabelleberschrift"/>
              </w:rPr>
            </w:pPr>
            <w:r w:rsidRPr="0035169D">
              <w:rPr>
                <w:rStyle w:val="InstructionsTabelleberschrift"/>
              </w:rPr>
              <w:t>1.3.4.2 guaranteed by</w:t>
            </w:r>
          </w:p>
          <w:p w:rsidR="001B3F25" w:rsidRDefault="001B3F25" w:rsidP="00267206">
            <w:pPr>
              <w:pStyle w:val="InstructionsText"/>
              <w:rPr>
                <w:rStyle w:val="InstructionsTabelleberschrift"/>
              </w:rPr>
            </w:pPr>
          </w:p>
          <w:p w:rsidR="001B3F25" w:rsidRDefault="001B3F25" w:rsidP="00267206">
            <w:pPr>
              <w:pStyle w:val="InstructionsText"/>
              <w:rPr>
                <w:rStyle w:val="InstructionsTabelleberschrift"/>
                <w:b w:val="0"/>
                <w:u w:val="none"/>
              </w:rPr>
            </w:pPr>
          </w:p>
          <w:p w:rsidR="001B3F25" w:rsidRPr="0035169D" w:rsidRDefault="001B3F25" w:rsidP="00267206">
            <w:pPr>
              <w:pStyle w:val="InstructionsText"/>
              <w:rPr>
                <w:rStyle w:val="InstructionsTabelleberschrift"/>
                <w:b w:val="0"/>
                <w:u w:val="none"/>
              </w:rPr>
            </w:pPr>
            <w:r w:rsidRPr="0035169D">
              <w:rPr>
                <w:rStyle w:val="InstructionsTabelleberschrift"/>
                <w:b w:val="0"/>
                <w:u w:val="none"/>
              </w:rPr>
              <w:t>Assets specified in 1.3.4 guaranteed by the above counterparties, according to Article 416(1)(c)(iv)</w:t>
            </w:r>
          </w:p>
          <w:p w:rsidR="001B3F25" w:rsidRPr="0035169D" w:rsidRDefault="001B3F25" w:rsidP="00267206">
            <w:pPr>
              <w:pStyle w:val="InstructionsText"/>
              <w:rPr>
                <w:rStyle w:val="InstructionsTabelleberschrift"/>
                <w:b w:val="0"/>
                <w:u w:val="none"/>
              </w:rPr>
            </w:pPr>
            <w:r w:rsidRPr="0035169D">
              <w:rPr>
                <w:rStyle w:val="InstructionsTabelleberschrift"/>
                <w:b w:val="0"/>
                <w:u w:val="none"/>
              </w:rPr>
              <w:t xml:space="preserve"> </w:t>
            </w:r>
          </w:p>
          <w:p w:rsidR="001B3F25" w:rsidRDefault="001B3F25" w:rsidP="00267206">
            <w:pPr>
              <w:pStyle w:val="InstructionsText"/>
              <w:rPr>
                <w:rStyle w:val="InstructionsTabelleberschrift"/>
                <w:b w:val="0"/>
                <w:highlight w:val="yellow"/>
              </w:rPr>
            </w:pPr>
          </w:p>
        </w:tc>
      </w:tr>
      <w:tr w:rsidR="001B3F25" w:rsidRPr="00B37090" w:rsidTr="001B3F25">
        <w:tc>
          <w:tcPr>
            <w:tcW w:w="695" w:type="dxa"/>
            <w:shd w:val="clear" w:color="auto" w:fill="E6E6E6"/>
            <w:vAlign w:val="center"/>
          </w:tcPr>
          <w:p w:rsidR="001B3F25" w:rsidRPr="006D0410" w:rsidRDefault="001B3F25" w:rsidP="006D0410">
            <w:pPr>
              <w:jc w:val="left"/>
              <w:rPr>
                <w:rFonts w:cs="Arial"/>
                <w:szCs w:val="20"/>
              </w:rPr>
            </w:pPr>
            <w:r>
              <w:rPr>
                <w:rFonts w:cs="Arial"/>
                <w:szCs w:val="20"/>
              </w:rPr>
              <w:t>120-140</w:t>
            </w:r>
          </w:p>
        </w:tc>
        <w:tc>
          <w:tcPr>
            <w:tcW w:w="7379" w:type="dxa"/>
            <w:gridSpan w:val="2"/>
            <w:shd w:val="clear" w:color="auto" w:fill="E6E6E6"/>
          </w:tcPr>
          <w:p w:rsidR="001B3F25" w:rsidRPr="0035169D" w:rsidRDefault="001B3F25" w:rsidP="00267206">
            <w:pPr>
              <w:pStyle w:val="InstructionsText"/>
              <w:rPr>
                <w:rStyle w:val="InstructionsTabelleberschrift"/>
              </w:rPr>
            </w:pPr>
            <w:r w:rsidRPr="0035169D">
              <w:rPr>
                <w:rStyle w:val="InstructionsTabelleberschrift"/>
              </w:rPr>
              <w:t>1.4 total shares or units in CIUs with underlying assets specified in Article 416 (1)</w:t>
            </w:r>
          </w:p>
          <w:p w:rsidR="001B3F25" w:rsidRPr="0035169D" w:rsidRDefault="001B3F25" w:rsidP="00267206">
            <w:pPr>
              <w:pStyle w:val="InstructionsText"/>
              <w:rPr>
                <w:rStyle w:val="InstructionsTabelleberschrift"/>
                <w:b w:val="0"/>
              </w:rPr>
            </w:pPr>
          </w:p>
          <w:p w:rsidR="001B3F25" w:rsidRPr="0035169D" w:rsidRDefault="001B3F25" w:rsidP="00267206">
            <w:pPr>
              <w:pStyle w:val="InstructionsText"/>
              <w:rPr>
                <w:rStyle w:val="InstructionsTabelleberschrift"/>
                <w:b w:val="0"/>
                <w:u w:val="none"/>
              </w:rPr>
            </w:pPr>
            <w:r w:rsidRPr="0035169D">
              <w:rPr>
                <w:rStyle w:val="InstructionsTabelleberschrift"/>
                <w:b w:val="0"/>
                <w:u w:val="none"/>
              </w:rPr>
              <w:t xml:space="preserve">Article 416(6) of </w:t>
            </w:r>
            <w:r w:rsidR="007655D4">
              <w:rPr>
                <w:rStyle w:val="InstructionsTabelleberschrift"/>
                <w:b w:val="0"/>
                <w:u w:val="none"/>
              </w:rPr>
              <w:t>REGULATION (EU) NO 575/2013</w:t>
            </w:r>
            <w:r w:rsidRPr="0035169D">
              <w:rPr>
                <w:rStyle w:val="InstructionsTabelleberschrift"/>
                <w:b w:val="0"/>
                <w:u w:val="none"/>
              </w:rPr>
              <w:t xml:space="preserve"> </w:t>
            </w:r>
          </w:p>
          <w:p w:rsidR="001B3F25" w:rsidRPr="0035169D" w:rsidRDefault="001B3F25" w:rsidP="00267206">
            <w:pPr>
              <w:pStyle w:val="InstructionsText"/>
              <w:rPr>
                <w:rStyle w:val="InstructionsTabelleberschrift"/>
                <w:b w:val="0"/>
                <w:u w:val="none"/>
              </w:rPr>
            </w:pPr>
          </w:p>
          <w:p w:rsidR="001B3F25" w:rsidRDefault="001B3F25" w:rsidP="00267206">
            <w:pPr>
              <w:pStyle w:val="InstructionsText"/>
              <w:rPr>
                <w:rStyle w:val="InstructionsTabelleberschrift"/>
              </w:rPr>
            </w:pPr>
          </w:p>
        </w:tc>
      </w:tr>
      <w:tr w:rsidR="001B3F25" w:rsidRPr="00B37090" w:rsidTr="001B3F25">
        <w:tc>
          <w:tcPr>
            <w:tcW w:w="695" w:type="dxa"/>
            <w:vAlign w:val="center"/>
          </w:tcPr>
          <w:p w:rsidR="001B3F25" w:rsidRPr="006D0410" w:rsidRDefault="001B3F25" w:rsidP="006D0410">
            <w:pPr>
              <w:jc w:val="left"/>
              <w:rPr>
                <w:rFonts w:cs="Arial"/>
                <w:szCs w:val="20"/>
              </w:rPr>
            </w:pPr>
            <w:r>
              <w:rPr>
                <w:rFonts w:cs="Arial"/>
                <w:szCs w:val="20"/>
              </w:rPr>
              <w:t>120</w:t>
            </w:r>
          </w:p>
        </w:tc>
        <w:tc>
          <w:tcPr>
            <w:tcW w:w="7379" w:type="dxa"/>
            <w:gridSpan w:val="2"/>
          </w:tcPr>
          <w:p w:rsidR="001B3F25" w:rsidRPr="0035169D" w:rsidRDefault="001B3F25" w:rsidP="00267206">
            <w:pPr>
              <w:pStyle w:val="InstructionsText"/>
              <w:rPr>
                <w:rStyle w:val="InstructionsTabelleberschrift"/>
              </w:rPr>
            </w:pPr>
            <w:r w:rsidRPr="0035169D">
              <w:rPr>
                <w:rStyle w:val="InstructionsTabelleberschrift"/>
              </w:rPr>
              <w:t>1.4.1 underlying assets in point (a) of Article 416(1)</w:t>
            </w:r>
          </w:p>
          <w:p w:rsidR="001B3F25" w:rsidRPr="0035169D" w:rsidRDefault="001B3F25" w:rsidP="00267206">
            <w:pPr>
              <w:pStyle w:val="InstructionsText"/>
              <w:rPr>
                <w:rStyle w:val="InstructionsTabelleberschrift"/>
              </w:rPr>
            </w:pPr>
          </w:p>
          <w:p w:rsidR="001B3F25" w:rsidRPr="0035169D" w:rsidRDefault="001B3F25" w:rsidP="00267206">
            <w:pPr>
              <w:pStyle w:val="InstructionsText"/>
              <w:rPr>
                <w:rStyle w:val="InstructionsTabelleberschrift"/>
                <w:u w:val="none"/>
              </w:rPr>
            </w:pPr>
          </w:p>
        </w:tc>
      </w:tr>
      <w:tr w:rsidR="001B3F25" w:rsidRPr="00B37090" w:rsidTr="001B3F25">
        <w:tc>
          <w:tcPr>
            <w:tcW w:w="695" w:type="dxa"/>
            <w:vAlign w:val="center"/>
          </w:tcPr>
          <w:p w:rsidR="001B3F25" w:rsidRPr="006D0410" w:rsidRDefault="001B3F25" w:rsidP="006D0410">
            <w:pPr>
              <w:jc w:val="left"/>
              <w:rPr>
                <w:rFonts w:cs="Arial"/>
                <w:szCs w:val="20"/>
              </w:rPr>
            </w:pPr>
            <w:r>
              <w:rPr>
                <w:rFonts w:cs="Arial"/>
                <w:szCs w:val="20"/>
              </w:rPr>
              <w:t>130</w:t>
            </w:r>
          </w:p>
        </w:tc>
        <w:tc>
          <w:tcPr>
            <w:tcW w:w="7379" w:type="dxa"/>
            <w:gridSpan w:val="2"/>
          </w:tcPr>
          <w:p w:rsidR="001B3F25" w:rsidRPr="0035169D" w:rsidRDefault="001B3F25" w:rsidP="00267206">
            <w:pPr>
              <w:pStyle w:val="InstructionsText"/>
              <w:rPr>
                <w:rStyle w:val="InstructionsTabelleberschrift"/>
              </w:rPr>
            </w:pPr>
            <w:r w:rsidRPr="0035169D">
              <w:rPr>
                <w:rStyle w:val="InstructionsTabelleberschrift"/>
              </w:rPr>
              <w:t>1.4.2 underlying assets in point (b) and (c) of Article 416(1)</w:t>
            </w:r>
          </w:p>
          <w:p w:rsidR="001B3F25" w:rsidRPr="0035169D" w:rsidRDefault="001B3F25" w:rsidP="00267206">
            <w:pPr>
              <w:pStyle w:val="InstructionsText"/>
              <w:rPr>
                <w:rStyle w:val="InstructionsTabelleberschrift"/>
              </w:rPr>
            </w:pPr>
          </w:p>
          <w:p w:rsidR="001B3F25" w:rsidRPr="0035169D" w:rsidRDefault="001B3F25" w:rsidP="00267206">
            <w:pPr>
              <w:pStyle w:val="InstructionsText"/>
              <w:rPr>
                <w:rStyle w:val="InstructionsTabelleberschrift"/>
              </w:rPr>
            </w:pPr>
          </w:p>
        </w:tc>
      </w:tr>
      <w:tr w:rsidR="001B3F25" w:rsidRPr="00B37090" w:rsidTr="001B3F25">
        <w:tc>
          <w:tcPr>
            <w:tcW w:w="695" w:type="dxa"/>
            <w:vAlign w:val="center"/>
          </w:tcPr>
          <w:p w:rsidR="001B3F25" w:rsidRPr="006D0410" w:rsidRDefault="001B3F25" w:rsidP="006D0410">
            <w:pPr>
              <w:jc w:val="left"/>
              <w:rPr>
                <w:rFonts w:cs="Arial"/>
                <w:szCs w:val="20"/>
              </w:rPr>
            </w:pPr>
            <w:r>
              <w:rPr>
                <w:rFonts w:cs="Arial"/>
                <w:szCs w:val="20"/>
              </w:rPr>
              <w:t>140</w:t>
            </w:r>
          </w:p>
        </w:tc>
        <w:tc>
          <w:tcPr>
            <w:tcW w:w="7379" w:type="dxa"/>
            <w:gridSpan w:val="2"/>
          </w:tcPr>
          <w:p w:rsidR="001B3F25" w:rsidRPr="0035169D" w:rsidRDefault="001B3F25" w:rsidP="00267206">
            <w:pPr>
              <w:pStyle w:val="InstructionsText"/>
              <w:rPr>
                <w:rStyle w:val="InstructionsTabelleberschrift"/>
              </w:rPr>
            </w:pPr>
            <w:r w:rsidRPr="0035169D">
              <w:rPr>
                <w:rStyle w:val="InstructionsTabelleberschrift"/>
              </w:rPr>
              <w:t>1.4.3 underlying assets in point (d) of Article 416(1)</w:t>
            </w:r>
          </w:p>
          <w:p w:rsidR="001B3F25" w:rsidRPr="0035169D" w:rsidRDefault="001B3F25" w:rsidP="00267206">
            <w:pPr>
              <w:pStyle w:val="InstructionsText"/>
              <w:rPr>
                <w:rStyle w:val="InstructionsTabelleberschrift"/>
              </w:rPr>
            </w:pPr>
          </w:p>
          <w:p w:rsidR="001B3F25" w:rsidRPr="0035169D" w:rsidRDefault="001B3F25" w:rsidP="00267206">
            <w:pPr>
              <w:pStyle w:val="InstructionsText"/>
              <w:rPr>
                <w:rStyle w:val="InstructionsTabelleberschrift"/>
              </w:rPr>
            </w:pPr>
          </w:p>
        </w:tc>
      </w:tr>
      <w:tr w:rsidR="001B3F25" w:rsidRPr="00B37090" w:rsidTr="001B3F25">
        <w:tc>
          <w:tcPr>
            <w:tcW w:w="695" w:type="dxa"/>
            <w:shd w:val="clear" w:color="auto" w:fill="E6E6E6"/>
            <w:vAlign w:val="center"/>
          </w:tcPr>
          <w:p w:rsidR="001B3F25" w:rsidRPr="006D0410" w:rsidRDefault="001B3F25" w:rsidP="006D0410">
            <w:pPr>
              <w:jc w:val="left"/>
              <w:rPr>
                <w:rFonts w:cs="Arial"/>
                <w:szCs w:val="20"/>
              </w:rPr>
            </w:pPr>
            <w:r>
              <w:rPr>
                <w:rFonts w:cs="Arial"/>
                <w:szCs w:val="20"/>
              </w:rPr>
              <w:t>150</w:t>
            </w:r>
          </w:p>
        </w:tc>
        <w:tc>
          <w:tcPr>
            <w:tcW w:w="7379" w:type="dxa"/>
            <w:gridSpan w:val="2"/>
            <w:shd w:val="clear" w:color="auto" w:fill="E6E6E6"/>
          </w:tcPr>
          <w:p w:rsidR="001B3F25" w:rsidRPr="0035169D" w:rsidRDefault="001B3F25" w:rsidP="00267206">
            <w:pPr>
              <w:pStyle w:val="InstructionsText"/>
              <w:rPr>
                <w:rStyle w:val="InstructionsTabelleberschrift"/>
              </w:rPr>
            </w:pPr>
            <w:r w:rsidRPr="0035169D">
              <w:rPr>
                <w:rStyle w:val="InstructionsTabelleberschrift"/>
              </w:rPr>
              <w:t xml:space="preserve">1.5 standby credit facilities granted by central banks within the scope of monetary policy to the extent that these facilities are not collateralized by liquid assets and excluding emergency liquidity assistance </w:t>
            </w:r>
          </w:p>
          <w:p w:rsidR="001B3F25" w:rsidRPr="0035169D" w:rsidRDefault="001B3F25" w:rsidP="00267206">
            <w:pPr>
              <w:pStyle w:val="InstructionsText"/>
              <w:rPr>
                <w:rStyle w:val="InstructionsTabelleberschrift"/>
                <w:b w:val="0"/>
              </w:rPr>
            </w:pPr>
          </w:p>
          <w:p w:rsidR="001B3F25" w:rsidRPr="0035169D" w:rsidRDefault="001B3F25" w:rsidP="00267206">
            <w:pPr>
              <w:pStyle w:val="InstructionsText"/>
              <w:rPr>
                <w:rStyle w:val="InstructionsTabelleberschrift"/>
                <w:b w:val="0"/>
                <w:u w:val="none"/>
              </w:rPr>
            </w:pPr>
            <w:r w:rsidRPr="0035169D">
              <w:rPr>
                <w:rStyle w:val="InstructionsTabelleberschrift"/>
                <w:b w:val="0"/>
                <w:u w:val="none"/>
              </w:rPr>
              <w:t xml:space="preserve">Article 416(1)(e) </w:t>
            </w:r>
            <w:r w:rsidR="007655D4">
              <w:rPr>
                <w:rStyle w:val="InstructionsTabelleberschrift"/>
                <w:b w:val="0"/>
                <w:u w:val="none"/>
              </w:rPr>
              <w:t>REGULATION (EU) NO 575/2013</w:t>
            </w:r>
          </w:p>
          <w:p w:rsidR="001B3F25" w:rsidRPr="0035169D" w:rsidRDefault="001B3F25" w:rsidP="00267206">
            <w:pPr>
              <w:pStyle w:val="InstructionsText"/>
              <w:rPr>
                <w:rStyle w:val="InstructionsTabelleberschrift"/>
                <w:b w:val="0"/>
              </w:rPr>
            </w:pPr>
          </w:p>
          <w:p w:rsidR="001B3F25" w:rsidRDefault="001B3F25" w:rsidP="00267206">
            <w:pPr>
              <w:pStyle w:val="InstructionsText"/>
              <w:rPr>
                <w:rStyle w:val="InstructionsTabelleberschrift"/>
              </w:rPr>
            </w:pPr>
          </w:p>
        </w:tc>
      </w:tr>
      <w:tr w:rsidR="001B3F25" w:rsidRPr="00B37090" w:rsidTr="001B3F25">
        <w:tc>
          <w:tcPr>
            <w:tcW w:w="695" w:type="dxa"/>
            <w:shd w:val="clear" w:color="auto" w:fill="E6E6E6"/>
            <w:vAlign w:val="center"/>
          </w:tcPr>
          <w:p w:rsidR="001B3F25" w:rsidRPr="006D0410" w:rsidRDefault="001B3F25" w:rsidP="006D0410">
            <w:pPr>
              <w:jc w:val="left"/>
              <w:rPr>
                <w:rFonts w:cs="Arial"/>
                <w:szCs w:val="20"/>
              </w:rPr>
            </w:pPr>
            <w:r>
              <w:rPr>
                <w:rFonts w:cs="Arial"/>
                <w:szCs w:val="20"/>
              </w:rPr>
              <w:t>160-</w:t>
            </w:r>
            <w:r>
              <w:rPr>
                <w:rFonts w:cs="Arial"/>
                <w:szCs w:val="20"/>
              </w:rPr>
              <w:lastRenderedPageBreak/>
              <w:t>170</w:t>
            </w:r>
          </w:p>
        </w:tc>
        <w:tc>
          <w:tcPr>
            <w:tcW w:w="7379" w:type="dxa"/>
            <w:gridSpan w:val="2"/>
            <w:shd w:val="clear" w:color="auto" w:fill="E6E6E6"/>
          </w:tcPr>
          <w:p w:rsidR="001B3F25" w:rsidRPr="00F61685" w:rsidRDefault="001B3F25" w:rsidP="00267206">
            <w:pPr>
              <w:pStyle w:val="InstructionsText"/>
              <w:rPr>
                <w:rStyle w:val="InstructionsTabelleberschrift"/>
              </w:rPr>
            </w:pPr>
            <w:r w:rsidRPr="00F61685">
              <w:rPr>
                <w:rStyle w:val="InstructionsTabelleberschrift"/>
              </w:rPr>
              <w:lastRenderedPageBreak/>
              <w:t xml:space="preserve">1.6 deposits with the central credit institution and other </w:t>
            </w:r>
            <w:r w:rsidRPr="00F61685">
              <w:rPr>
                <w:rStyle w:val="InstructionsTabelleberschrift"/>
              </w:rPr>
              <w:lastRenderedPageBreak/>
              <w:t xml:space="preserve">statutory or contractually available liquid funding from a central credit institution or institutions that are members of a network referred to in Article 113(7) or eligible for the waiver provided in Article 10 </w:t>
            </w:r>
            <w:r w:rsidR="007655D4">
              <w:rPr>
                <w:rStyle w:val="InstructionsTabelleberschrift"/>
              </w:rPr>
              <w:t>REGULATION (EU) NO 575/2013</w:t>
            </w:r>
            <w:r w:rsidRPr="00F61685">
              <w:rPr>
                <w:rStyle w:val="InstructionsTabelleberschrift"/>
              </w:rPr>
              <w:t>, to the extent that this funding is not collateralized by liquid assets</w:t>
            </w:r>
          </w:p>
          <w:p w:rsidR="001B3F25" w:rsidRPr="00F61685" w:rsidRDefault="001B3F25" w:rsidP="00267206">
            <w:pPr>
              <w:pStyle w:val="InstructionsText"/>
              <w:rPr>
                <w:rStyle w:val="InstructionsTabelleberschrift"/>
              </w:rPr>
            </w:pPr>
          </w:p>
          <w:p w:rsidR="001B3F25" w:rsidRPr="00F61685" w:rsidRDefault="001B3F25" w:rsidP="00267206">
            <w:pPr>
              <w:pStyle w:val="InstructionsText"/>
              <w:rPr>
                <w:rStyle w:val="InstructionsTabelleberschrift"/>
                <w:b w:val="0"/>
                <w:u w:val="none"/>
              </w:rPr>
            </w:pPr>
            <w:r w:rsidRPr="00F61685">
              <w:rPr>
                <w:rStyle w:val="InstructionsTabelleberschrift"/>
                <w:b w:val="0"/>
                <w:u w:val="none"/>
              </w:rPr>
              <w:t xml:space="preserve">Article 416(1)(f) </w:t>
            </w:r>
            <w:r w:rsidR="007655D4">
              <w:rPr>
                <w:rStyle w:val="InstructionsTabelleberschrift"/>
                <w:b w:val="0"/>
                <w:u w:val="none"/>
              </w:rPr>
              <w:t>REGULATION (EU) NO 575/2013</w:t>
            </w:r>
          </w:p>
          <w:p w:rsidR="001B3F25" w:rsidRPr="00F61685" w:rsidRDefault="001B3F25" w:rsidP="00267206">
            <w:pPr>
              <w:pStyle w:val="InstructionsText"/>
              <w:rPr>
                <w:rStyle w:val="InstructionsTabelleberschrift"/>
                <w:b w:val="0"/>
              </w:rPr>
            </w:pPr>
          </w:p>
          <w:p w:rsidR="001B3F25" w:rsidRPr="00F61685" w:rsidRDefault="001B3F25" w:rsidP="00267206">
            <w:pPr>
              <w:pStyle w:val="InstructionsText"/>
              <w:rPr>
                <w:rStyle w:val="InstructionsTabelleberschrift"/>
                <w:b w:val="0"/>
                <w:u w:val="none"/>
              </w:rPr>
            </w:pPr>
            <w:r w:rsidRPr="00F61685">
              <w:rPr>
                <w:rStyle w:val="InstructionsTabelleberschrift"/>
                <w:b w:val="0"/>
                <w:u w:val="none"/>
              </w:rPr>
              <w:t>if the credit institution belongs to a network in accordance with legal or statutory provisions, the legal or statutory minimum deposits with the central credit institution and other statutory or contractually available liquid funding from the central credit institution</w:t>
            </w:r>
          </w:p>
          <w:p w:rsidR="001B3F25" w:rsidRDefault="001B3F25" w:rsidP="00267206">
            <w:pPr>
              <w:pStyle w:val="InstructionsText"/>
              <w:rPr>
                <w:rStyle w:val="InstructionsTabelleberschrift"/>
              </w:rPr>
            </w:pPr>
          </w:p>
        </w:tc>
      </w:tr>
      <w:tr w:rsidR="001B3F25" w:rsidRPr="00B37090" w:rsidTr="001B3F25">
        <w:tc>
          <w:tcPr>
            <w:tcW w:w="695" w:type="dxa"/>
            <w:shd w:val="clear" w:color="auto" w:fill="FFFFFF" w:themeFill="background1"/>
            <w:vAlign w:val="center"/>
          </w:tcPr>
          <w:p w:rsidR="001B3F25" w:rsidRPr="006D0410" w:rsidRDefault="001B3F25" w:rsidP="006D0410">
            <w:pPr>
              <w:jc w:val="left"/>
              <w:rPr>
                <w:rFonts w:cs="Arial"/>
                <w:szCs w:val="20"/>
              </w:rPr>
            </w:pPr>
            <w:r>
              <w:rPr>
                <w:rFonts w:cs="Arial"/>
                <w:szCs w:val="20"/>
              </w:rPr>
              <w:lastRenderedPageBreak/>
              <w:t>160</w:t>
            </w:r>
          </w:p>
        </w:tc>
        <w:tc>
          <w:tcPr>
            <w:tcW w:w="7379" w:type="dxa"/>
            <w:gridSpan w:val="2"/>
            <w:shd w:val="clear" w:color="auto" w:fill="FFFFFF" w:themeFill="background1"/>
          </w:tcPr>
          <w:p w:rsidR="001B3F25" w:rsidRPr="0089032B" w:rsidRDefault="001B3F25" w:rsidP="00267206">
            <w:pPr>
              <w:pStyle w:val="InstructionsText"/>
              <w:rPr>
                <w:rStyle w:val="InstructionsTabelleberschrift"/>
              </w:rPr>
            </w:pPr>
            <w:r w:rsidRPr="0089032B">
              <w:rPr>
                <w:rStyle w:val="InstructionsTabelleberschrift"/>
              </w:rPr>
              <w:t>1.6.1 deposits</w:t>
            </w:r>
          </w:p>
        </w:tc>
      </w:tr>
      <w:tr w:rsidR="001B3F25" w:rsidRPr="00B37090" w:rsidTr="001B3F25">
        <w:tc>
          <w:tcPr>
            <w:tcW w:w="695" w:type="dxa"/>
            <w:shd w:val="clear" w:color="auto" w:fill="FFFFFF" w:themeFill="background1"/>
            <w:vAlign w:val="center"/>
          </w:tcPr>
          <w:p w:rsidR="001B3F25" w:rsidRPr="006D0410" w:rsidRDefault="001B3F25" w:rsidP="006D0410">
            <w:pPr>
              <w:jc w:val="left"/>
              <w:rPr>
                <w:rFonts w:cs="Arial"/>
                <w:szCs w:val="20"/>
              </w:rPr>
            </w:pPr>
            <w:r>
              <w:rPr>
                <w:rFonts w:cs="Arial"/>
                <w:szCs w:val="20"/>
              </w:rPr>
              <w:t>170</w:t>
            </w:r>
          </w:p>
        </w:tc>
        <w:tc>
          <w:tcPr>
            <w:tcW w:w="7379" w:type="dxa"/>
            <w:gridSpan w:val="2"/>
            <w:shd w:val="clear" w:color="auto" w:fill="FFFFFF" w:themeFill="background1"/>
          </w:tcPr>
          <w:p w:rsidR="001B3F25" w:rsidRPr="0089032B" w:rsidRDefault="001B3F25" w:rsidP="00267206">
            <w:pPr>
              <w:pStyle w:val="InstructionsText"/>
              <w:rPr>
                <w:rStyle w:val="InstructionsTabelleberschrift"/>
              </w:rPr>
            </w:pPr>
            <w:r w:rsidRPr="0089032B">
              <w:rPr>
                <w:rStyle w:val="InstructionsTabelleberschrift"/>
              </w:rPr>
              <w:t>1.6.2 contractually available funding</w:t>
            </w:r>
          </w:p>
        </w:tc>
      </w:tr>
      <w:tr w:rsidR="001B3F25" w:rsidRPr="00B37090" w:rsidTr="001B3F25">
        <w:tc>
          <w:tcPr>
            <w:tcW w:w="695" w:type="dxa"/>
            <w:vAlign w:val="center"/>
          </w:tcPr>
          <w:p w:rsidR="001B3F25" w:rsidRPr="002F29EB" w:rsidRDefault="001B3F25" w:rsidP="006D0410">
            <w:pPr>
              <w:jc w:val="left"/>
              <w:rPr>
                <w:rFonts w:cs="Arial"/>
                <w:szCs w:val="20"/>
                <w:highlight w:val="lightGray"/>
              </w:rPr>
            </w:pPr>
            <w:r w:rsidRPr="001B3F25">
              <w:rPr>
                <w:rFonts w:cs="Arial"/>
                <w:szCs w:val="20"/>
              </w:rPr>
              <w:t>180</w:t>
            </w:r>
          </w:p>
        </w:tc>
        <w:tc>
          <w:tcPr>
            <w:tcW w:w="7379" w:type="dxa"/>
            <w:gridSpan w:val="2"/>
          </w:tcPr>
          <w:p w:rsidR="001B3F25" w:rsidRPr="0089032B" w:rsidRDefault="001B3F25" w:rsidP="00267206">
            <w:pPr>
              <w:pStyle w:val="InstructionsText"/>
              <w:rPr>
                <w:rStyle w:val="InstructionsTabelleberschrift"/>
              </w:rPr>
            </w:pPr>
            <w:r w:rsidRPr="0089032B">
              <w:rPr>
                <w:rStyle w:val="InstructionsTabelleberschrift"/>
              </w:rPr>
              <w:t>1.7 Assets issued by a credit institution which has been set up by a Member State central or regional government</w:t>
            </w:r>
          </w:p>
          <w:p w:rsidR="001B3F25" w:rsidRPr="0089032B" w:rsidRDefault="001B3F25" w:rsidP="00267206">
            <w:pPr>
              <w:pStyle w:val="InstructionsText"/>
              <w:rPr>
                <w:rStyle w:val="InstructionsTabelleberschrift"/>
                <w:b w:val="0"/>
                <w:szCs w:val="20"/>
              </w:rPr>
            </w:pPr>
          </w:p>
          <w:p w:rsidR="001B3F25" w:rsidRPr="0089032B" w:rsidRDefault="001B3F25" w:rsidP="00267206">
            <w:pPr>
              <w:pStyle w:val="InstructionsText"/>
              <w:rPr>
                <w:rStyle w:val="InstructionsTabelleberschrift"/>
                <w:b w:val="0"/>
                <w:szCs w:val="20"/>
                <w:u w:val="none"/>
              </w:rPr>
            </w:pPr>
            <w:r w:rsidRPr="0089032B">
              <w:rPr>
                <w:rStyle w:val="InstructionsTabelleberschrift"/>
                <w:b w:val="0"/>
                <w:u w:val="none"/>
              </w:rPr>
              <w:t xml:space="preserve">Article 416(2)(a)(iii) </w:t>
            </w:r>
            <w:r w:rsidR="007655D4">
              <w:rPr>
                <w:rStyle w:val="InstructionsTabelleberschrift"/>
                <w:b w:val="0"/>
                <w:u w:val="none"/>
              </w:rPr>
              <w:t>REGULATION (EU) NO 575/2013</w:t>
            </w:r>
          </w:p>
          <w:p w:rsidR="001B3F25" w:rsidRPr="0089032B" w:rsidRDefault="001B3F25" w:rsidP="00267206">
            <w:pPr>
              <w:pStyle w:val="InstructionsText"/>
              <w:rPr>
                <w:rStyle w:val="InstructionsTabelleberschrift"/>
                <w:b w:val="0"/>
                <w:szCs w:val="24"/>
                <w:highlight w:val="lightGray"/>
                <w:lang w:val="en-GB" w:eastAsia="en-US"/>
              </w:rPr>
            </w:pPr>
          </w:p>
          <w:p w:rsidR="001B3F25" w:rsidRPr="0089032B" w:rsidRDefault="001B3F25" w:rsidP="00267206">
            <w:pPr>
              <w:pStyle w:val="InstructionsText"/>
              <w:rPr>
                <w:rStyle w:val="InstructionsTabelleberschrift"/>
                <w:b w:val="0"/>
                <w:szCs w:val="24"/>
                <w:highlight w:val="lightGray"/>
                <w:lang w:val="en-GB" w:eastAsia="en-US"/>
              </w:rPr>
            </w:pPr>
          </w:p>
          <w:p w:rsidR="001B3F25" w:rsidRDefault="001B3F25" w:rsidP="00267206">
            <w:pPr>
              <w:pStyle w:val="InstructionsText"/>
              <w:rPr>
                <w:rStyle w:val="InstructionsTabelleberschrift"/>
                <w:szCs w:val="24"/>
                <w:highlight w:val="lightGray"/>
                <w:lang w:val="en-GB" w:eastAsia="en-US"/>
              </w:rPr>
            </w:pPr>
          </w:p>
        </w:tc>
      </w:tr>
      <w:tr w:rsidR="001B3F25" w:rsidRPr="00B37090" w:rsidTr="001B3F25">
        <w:tc>
          <w:tcPr>
            <w:tcW w:w="695" w:type="dxa"/>
            <w:shd w:val="clear" w:color="auto" w:fill="E6E6E6"/>
            <w:vAlign w:val="center"/>
          </w:tcPr>
          <w:p w:rsidR="001B3F25" w:rsidRPr="006D0410" w:rsidRDefault="001B3F25" w:rsidP="006D0410">
            <w:pPr>
              <w:jc w:val="left"/>
              <w:rPr>
                <w:rFonts w:cs="Arial"/>
                <w:szCs w:val="20"/>
              </w:rPr>
            </w:pPr>
            <w:r>
              <w:rPr>
                <w:rFonts w:cs="Arial"/>
                <w:szCs w:val="20"/>
              </w:rPr>
              <w:t>190-210</w:t>
            </w:r>
          </w:p>
        </w:tc>
        <w:tc>
          <w:tcPr>
            <w:tcW w:w="7379" w:type="dxa"/>
            <w:gridSpan w:val="2"/>
            <w:shd w:val="clear" w:color="auto" w:fill="E6E6E6"/>
          </w:tcPr>
          <w:p w:rsidR="001B3F25" w:rsidRPr="0089032B" w:rsidRDefault="001B3F25" w:rsidP="00267206">
            <w:pPr>
              <w:pStyle w:val="InstructionsText"/>
              <w:rPr>
                <w:rStyle w:val="InstructionsTabelleberschrift"/>
              </w:rPr>
            </w:pPr>
            <w:r w:rsidRPr="0089032B">
              <w:rPr>
                <w:rStyle w:val="InstructionsTabelleberschrift"/>
              </w:rPr>
              <w:t>1.8 non-financial corporate bonds</w:t>
            </w:r>
          </w:p>
          <w:p w:rsidR="001B3F25" w:rsidRDefault="001B3F25" w:rsidP="00267206">
            <w:pPr>
              <w:pStyle w:val="InstructionsText"/>
              <w:rPr>
                <w:rStyle w:val="InstructionsTabelleberschrift"/>
              </w:rPr>
            </w:pPr>
          </w:p>
          <w:p w:rsidR="001B3F25" w:rsidRPr="009D67FE" w:rsidRDefault="001B3F25" w:rsidP="00267206">
            <w:pPr>
              <w:pStyle w:val="InstructionsText"/>
              <w:rPr>
                <w:rStyle w:val="FormatvorlageInstructionsTabelleText"/>
              </w:rPr>
            </w:pPr>
            <w:r w:rsidRPr="009D67FE">
              <w:rPr>
                <w:rStyle w:val="FormatvorlageInstructionsTabelleText"/>
              </w:rPr>
              <w:t xml:space="preserve">Article 416(1)(b) or (d)  </w:t>
            </w:r>
            <w:r w:rsidR="007655D4">
              <w:rPr>
                <w:rStyle w:val="FormatvorlageInstructionsTabelleText"/>
              </w:rPr>
              <w:t>REGULATION (EU) NO 575/2013</w:t>
            </w:r>
          </w:p>
          <w:p w:rsidR="001B3F25" w:rsidRPr="009D67FE" w:rsidRDefault="001B3F25" w:rsidP="00267206">
            <w:pPr>
              <w:pStyle w:val="InstructionsText"/>
              <w:rPr>
                <w:rStyle w:val="InstructionsTabelleberschrift"/>
                <w:b w:val="0"/>
              </w:rPr>
            </w:pPr>
          </w:p>
          <w:p w:rsidR="001B3F25" w:rsidRPr="009D67FE" w:rsidRDefault="001B3F25" w:rsidP="00267206">
            <w:pPr>
              <w:pStyle w:val="InstructionsText"/>
              <w:rPr>
                <w:rStyle w:val="InstructionsTabelleberschrift"/>
                <w:b w:val="0"/>
                <w:u w:val="none"/>
              </w:rPr>
            </w:pPr>
            <w:r w:rsidRPr="009D67FE">
              <w:rPr>
                <w:rStyle w:val="InstructionsTabelleberschrift"/>
                <w:b w:val="0"/>
                <w:u w:val="none"/>
              </w:rPr>
              <w:t xml:space="preserve">Non-financial corporate bonds shall be reported according to their credit quality as per Article 122 </w:t>
            </w:r>
            <w:r w:rsidR="007655D4">
              <w:rPr>
                <w:rStyle w:val="InstructionsTabelleberschrift"/>
                <w:b w:val="0"/>
                <w:u w:val="none"/>
              </w:rPr>
              <w:t>REGULATION (EU) NO 575/2013</w:t>
            </w:r>
            <w:r w:rsidRPr="009D67FE">
              <w:rPr>
                <w:rStyle w:val="InstructionsTabelleberschrift"/>
                <w:b w:val="0"/>
                <w:u w:val="none"/>
              </w:rPr>
              <w:t xml:space="preserve">. </w:t>
            </w:r>
          </w:p>
          <w:p w:rsidR="001B3F25" w:rsidRDefault="001B3F25" w:rsidP="00267206">
            <w:pPr>
              <w:pStyle w:val="InstructionsText"/>
              <w:rPr>
                <w:rStyle w:val="InstructionsTabelleberschrift"/>
                <w:b w:val="0"/>
              </w:rPr>
            </w:pPr>
          </w:p>
        </w:tc>
      </w:tr>
      <w:tr w:rsidR="001B3F25" w:rsidRPr="00B37090" w:rsidTr="001B3F25">
        <w:tc>
          <w:tcPr>
            <w:tcW w:w="695" w:type="dxa"/>
            <w:vAlign w:val="center"/>
          </w:tcPr>
          <w:p w:rsidR="001B3F25" w:rsidRPr="006D0410" w:rsidRDefault="001B3F25" w:rsidP="006D0410">
            <w:pPr>
              <w:jc w:val="left"/>
              <w:rPr>
                <w:rFonts w:cs="Arial"/>
                <w:szCs w:val="20"/>
              </w:rPr>
            </w:pPr>
            <w:r>
              <w:rPr>
                <w:rFonts w:cs="Arial"/>
                <w:szCs w:val="20"/>
              </w:rPr>
              <w:t>190</w:t>
            </w:r>
          </w:p>
        </w:tc>
        <w:tc>
          <w:tcPr>
            <w:tcW w:w="7379" w:type="dxa"/>
            <w:gridSpan w:val="2"/>
          </w:tcPr>
          <w:p w:rsidR="001B3F25" w:rsidRPr="0089032B" w:rsidRDefault="001B3F25" w:rsidP="00267206">
            <w:pPr>
              <w:pStyle w:val="InstructionsText"/>
              <w:rPr>
                <w:rStyle w:val="InstructionsTabelleberschrift"/>
              </w:rPr>
            </w:pPr>
            <w:r w:rsidRPr="0089032B">
              <w:rPr>
                <w:rStyle w:val="InstructionsTabelleberschrift"/>
              </w:rPr>
              <w:t>1.8.1 credit quality step 1</w:t>
            </w:r>
          </w:p>
          <w:p w:rsidR="001B3F25" w:rsidRPr="0089032B" w:rsidRDefault="001B3F25" w:rsidP="00267206">
            <w:pPr>
              <w:pStyle w:val="InstructionsText"/>
              <w:rPr>
                <w:rStyle w:val="InstructionsTabelleberschrift"/>
                <w:u w:val="none"/>
              </w:rPr>
            </w:pPr>
          </w:p>
        </w:tc>
      </w:tr>
      <w:tr w:rsidR="001B3F25" w:rsidRPr="00B37090" w:rsidTr="001B3F25">
        <w:tc>
          <w:tcPr>
            <w:tcW w:w="695" w:type="dxa"/>
            <w:vAlign w:val="center"/>
          </w:tcPr>
          <w:p w:rsidR="001B3F25" w:rsidRPr="006D0410" w:rsidRDefault="001B3F25" w:rsidP="006D0410">
            <w:pPr>
              <w:jc w:val="left"/>
              <w:rPr>
                <w:rFonts w:cs="Arial"/>
                <w:szCs w:val="20"/>
              </w:rPr>
            </w:pPr>
            <w:r>
              <w:rPr>
                <w:rFonts w:cs="Arial"/>
                <w:szCs w:val="20"/>
              </w:rPr>
              <w:t>200</w:t>
            </w:r>
          </w:p>
        </w:tc>
        <w:tc>
          <w:tcPr>
            <w:tcW w:w="7379" w:type="dxa"/>
            <w:gridSpan w:val="2"/>
          </w:tcPr>
          <w:p w:rsidR="001B3F25" w:rsidRPr="0089032B" w:rsidRDefault="001B3F25" w:rsidP="00267206">
            <w:pPr>
              <w:pStyle w:val="InstructionsText"/>
              <w:rPr>
                <w:rStyle w:val="InstructionsTabelleberschrift"/>
              </w:rPr>
            </w:pPr>
            <w:r w:rsidRPr="0089032B">
              <w:rPr>
                <w:rStyle w:val="InstructionsTabelleberschrift"/>
              </w:rPr>
              <w:t>1.8.2 credit quality step 2</w:t>
            </w:r>
          </w:p>
          <w:p w:rsidR="001B3F25" w:rsidRPr="0089032B" w:rsidRDefault="001B3F25" w:rsidP="00267206">
            <w:pPr>
              <w:pStyle w:val="InstructionsText"/>
              <w:rPr>
                <w:rStyle w:val="InstructionsTabelleberschrift"/>
              </w:rPr>
            </w:pPr>
          </w:p>
        </w:tc>
      </w:tr>
      <w:tr w:rsidR="001B3F25" w:rsidRPr="00B37090" w:rsidTr="001B3F25">
        <w:tc>
          <w:tcPr>
            <w:tcW w:w="695" w:type="dxa"/>
            <w:vAlign w:val="center"/>
          </w:tcPr>
          <w:p w:rsidR="001B3F25" w:rsidRPr="006D0410" w:rsidRDefault="001B3F25" w:rsidP="006D0410">
            <w:pPr>
              <w:jc w:val="left"/>
              <w:rPr>
                <w:rFonts w:cs="Arial"/>
                <w:szCs w:val="20"/>
              </w:rPr>
            </w:pPr>
            <w:r>
              <w:rPr>
                <w:rFonts w:cs="Arial"/>
                <w:szCs w:val="20"/>
              </w:rPr>
              <w:t>210</w:t>
            </w:r>
          </w:p>
        </w:tc>
        <w:tc>
          <w:tcPr>
            <w:tcW w:w="7379" w:type="dxa"/>
            <w:gridSpan w:val="2"/>
          </w:tcPr>
          <w:p w:rsidR="001B3F25" w:rsidRPr="0089032B" w:rsidRDefault="001B3F25" w:rsidP="00267206">
            <w:pPr>
              <w:pStyle w:val="InstructionsText"/>
              <w:rPr>
                <w:rStyle w:val="InstructionsTabelleberschrift"/>
              </w:rPr>
            </w:pPr>
            <w:r w:rsidRPr="0089032B">
              <w:rPr>
                <w:rStyle w:val="InstructionsTabelleberschrift"/>
              </w:rPr>
              <w:t>1.8.3 credit quality step 3</w:t>
            </w:r>
          </w:p>
        </w:tc>
      </w:tr>
      <w:tr w:rsidR="001B3F25" w:rsidRPr="00B37090" w:rsidTr="001B3F25">
        <w:tc>
          <w:tcPr>
            <w:tcW w:w="695" w:type="dxa"/>
            <w:shd w:val="clear" w:color="auto" w:fill="E6E6E6"/>
            <w:vAlign w:val="center"/>
          </w:tcPr>
          <w:p w:rsidR="001B3F25" w:rsidRPr="006D0410" w:rsidRDefault="001B3F25" w:rsidP="006D0410">
            <w:pPr>
              <w:jc w:val="left"/>
              <w:rPr>
                <w:rFonts w:cs="Arial"/>
                <w:szCs w:val="20"/>
              </w:rPr>
            </w:pPr>
            <w:r>
              <w:rPr>
                <w:rFonts w:cs="Arial"/>
                <w:szCs w:val="20"/>
              </w:rPr>
              <w:t>220-240</w:t>
            </w:r>
          </w:p>
        </w:tc>
        <w:tc>
          <w:tcPr>
            <w:tcW w:w="7379" w:type="dxa"/>
            <w:gridSpan w:val="2"/>
            <w:shd w:val="clear" w:color="auto" w:fill="E6E6E6"/>
          </w:tcPr>
          <w:p w:rsidR="001B3F25" w:rsidRPr="0089032B" w:rsidRDefault="001B3F25" w:rsidP="00267206">
            <w:pPr>
              <w:pStyle w:val="InstructionsText"/>
              <w:rPr>
                <w:rStyle w:val="FormatvorlageInstructionsTabelleText"/>
              </w:rPr>
            </w:pPr>
            <w:r w:rsidRPr="0089032B">
              <w:rPr>
                <w:rStyle w:val="InstructionsTabelleberschrift"/>
              </w:rPr>
              <w:t>1.9 bonds issued by a credit institution eligible for the treatment set out in Article 129(4) or (5)</w:t>
            </w:r>
          </w:p>
          <w:p w:rsidR="001B3F25" w:rsidRDefault="001B3F25" w:rsidP="00267206">
            <w:pPr>
              <w:pStyle w:val="InstructionsText"/>
              <w:rPr>
                <w:rStyle w:val="FormatvorlageInstructionsTabelleText"/>
              </w:rPr>
            </w:pPr>
          </w:p>
          <w:p w:rsidR="001B3F25" w:rsidRPr="009D67FE" w:rsidRDefault="001B3F25" w:rsidP="00267206">
            <w:pPr>
              <w:pStyle w:val="InstructionsText"/>
              <w:rPr>
                <w:rStyle w:val="FormatvorlageInstructionsTabelleText"/>
              </w:rPr>
            </w:pPr>
            <w:r w:rsidRPr="009D67FE">
              <w:rPr>
                <w:rStyle w:val="FormatvorlageInstructionsTabelleText"/>
              </w:rPr>
              <w:t>Article 416(2)(a)(</w:t>
            </w:r>
            <w:proofErr w:type="spellStart"/>
            <w:r w:rsidRPr="009D67FE">
              <w:rPr>
                <w:rStyle w:val="FormatvorlageInstructionsTabelleText"/>
              </w:rPr>
              <w:t>i</w:t>
            </w:r>
            <w:proofErr w:type="spellEnd"/>
            <w:r w:rsidRPr="009D67FE">
              <w:rPr>
                <w:rStyle w:val="FormatvorlageInstructionsTabelleText"/>
              </w:rPr>
              <w:t>)</w:t>
            </w:r>
            <w:r w:rsidR="007655D4">
              <w:rPr>
                <w:rStyle w:val="FormatvorlageInstructionsTabelleText"/>
              </w:rPr>
              <w:t>REGULATION (EU) NO 575/2013</w:t>
            </w:r>
          </w:p>
          <w:p w:rsidR="001B3F25" w:rsidRPr="009D67FE" w:rsidRDefault="001B3F25" w:rsidP="00267206">
            <w:pPr>
              <w:pStyle w:val="InstructionsText"/>
              <w:rPr>
                <w:rStyle w:val="InstructionsTabelleberschrift"/>
                <w:b w:val="0"/>
              </w:rPr>
            </w:pPr>
          </w:p>
          <w:p w:rsidR="001B3F25" w:rsidRPr="009D67FE" w:rsidRDefault="001B3F25" w:rsidP="00267206">
            <w:pPr>
              <w:pStyle w:val="InstructionsText"/>
              <w:rPr>
                <w:rStyle w:val="InstructionsTabelleberschrift"/>
                <w:b w:val="0"/>
                <w:u w:val="none"/>
              </w:rPr>
            </w:pPr>
            <w:r w:rsidRPr="009D67FE">
              <w:rPr>
                <w:rStyle w:val="InstructionsTabelleberschrift"/>
                <w:b w:val="0"/>
                <w:u w:val="none"/>
              </w:rPr>
              <w:t xml:space="preserve">Bonds eligible for the treatment set out in article 129 (4) or (5) shall be reported according to their credit quality as per Article 129(4) or (5) </w:t>
            </w:r>
            <w:r w:rsidR="007655D4">
              <w:rPr>
                <w:rStyle w:val="InstructionsTabelleberschrift"/>
                <w:b w:val="0"/>
                <w:u w:val="none"/>
              </w:rPr>
              <w:t>REGULATION (EU) NO 575/2013</w:t>
            </w:r>
          </w:p>
          <w:p w:rsidR="001B3F25" w:rsidRPr="00B37090" w:rsidRDefault="001B3F25" w:rsidP="00A51CE6">
            <w:pPr>
              <w:autoSpaceDE w:val="0"/>
              <w:autoSpaceDN w:val="0"/>
              <w:adjustRightInd w:val="0"/>
              <w:spacing w:before="0" w:after="0"/>
              <w:rPr>
                <w:rStyle w:val="InstructionsTabelleberschrift"/>
                <w:b w:val="0"/>
                <w:u w:val="none"/>
              </w:rPr>
            </w:pPr>
          </w:p>
        </w:tc>
      </w:tr>
      <w:tr w:rsidR="001B3F25" w:rsidRPr="00B37090" w:rsidTr="001B3F25">
        <w:tc>
          <w:tcPr>
            <w:tcW w:w="695" w:type="dxa"/>
            <w:vAlign w:val="center"/>
          </w:tcPr>
          <w:p w:rsidR="001B3F25" w:rsidRPr="006D0410" w:rsidRDefault="001B3F25" w:rsidP="006D0410">
            <w:pPr>
              <w:jc w:val="left"/>
              <w:rPr>
                <w:rFonts w:cs="Arial"/>
                <w:szCs w:val="20"/>
              </w:rPr>
            </w:pPr>
            <w:r>
              <w:rPr>
                <w:rFonts w:cs="Arial"/>
                <w:szCs w:val="20"/>
              </w:rPr>
              <w:t>220</w:t>
            </w:r>
          </w:p>
        </w:tc>
        <w:tc>
          <w:tcPr>
            <w:tcW w:w="7379" w:type="dxa"/>
            <w:gridSpan w:val="2"/>
          </w:tcPr>
          <w:p w:rsidR="001B3F25" w:rsidRPr="0089032B" w:rsidRDefault="001B3F25" w:rsidP="00267206">
            <w:pPr>
              <w:pStyle w:val="InstructionsText"/>
              <w:rPr>
                <w:rStyle w:val="InstructionsTabelleberschrift"/>
              </w:rPr>
            </w:pPr>
            <w:r w:rsidRPr="0089032B">
              <w:rPr>
                <w:rStyle w:val="InstructionsTabelleberschrift"/>
              </w:rPr>
              <w:t>1.9.1 credit quality step 1</w:t>
            </w:r>
          </w:p>
          <w:p w:rsidR="001B3F25" w:rsidRPr="0089032B" w:rsidRDefault="001B3F25" w:rsidP="00267206">
            <w:pPr>
              <w:pStyle w:val="InstructionsText"/>
              <w:rPr>
                <w:rStyle w:val="InstructionsTabelleberschrift"/>
                <w:szCs w:val="24"/>
                <w:u w:val="none"/>
                <w:lang w:val="en-GB" w:eastAsia="en-US"/>
              </w:rPr>
            </w:pPr>
          </w:p>
        </w:tc>
      </w:tr>
      <w:tr w:rsidR="001B3F25" w:rsidRPr="00B37090" w:rsidTr="001B3F25">
        <w:tc>
          <w:tcPr>
            <w:tcW w:w="695" w:type="dxa"/>
            <w:vAlign w:val="center"/>
          </w:tcPr>
          <w:p w:rsidR="001B3F25" w:rsidRPr="006D0410" w:rsidRDefault="001B3F25" w:rsidP="006D0410">
            <w:pPr>
              <w:jc w:val="left"/>
              <w:rPr>
                <w:rFonts w:cs="Arial"/>
                <w:szCs w:val="20"/>
              </w:rPr>
            </w:pPr>
            <w:r>
              <w:rPr>
                <w:rFonts w:cs="Arial"/>
                <w:szCs w:val="20"/>
              </w:rPr>
              <w:t>230</w:t>
            </w:r>
          </w:p>
        </w:tc>
        <w:tc>
          <w:tcPr>
            <w:tcW w:w="7379" w:type="dxa"/>
            <w:gridSpan w:val="2"/>
          </w:tcPr>
          <w:p w:rsidR="001B3F25" w:rsidRPr="0089032B" w:rsidRDefault="001B3F25" w:rsidP="00267206">
            <w:pPr>
              <w:pStyle w:val="InstructionsText"/>
              <w:rPr>
                <w:rStyle w:val="InstructionsTabelleberschrift"/>
              </w:rPr>
            </w:pPr>
            <w:r w:rsidRPr="0089032B">
              <w:rPr>
                <w:rStyle w:val="InstructionsTabelleberschrift"/>
              </w:rPr>
              <w:t>1.9.2 credit quality step 2</w:t>
            </w:r>
          </w:p>
          <w:p w:rsidR="001B3F25" w:rsidRPr="0089032B" w:rsidRDefault="001B3F25" w:rsidP="00267206">
            <w:pPr>
              <w:pStyle w:val="InstructionsText"/>
              <w:rPr>
                <w:rStyle w:val="InstructionsTabelleberschrift"/>
              </w:rPr>
            </w:pPr>
          </w:p>
        </w:tc>
      </w:tr>
      <w:tr w:rsidR="001B3F25" w:rsidRPr="00B37090" w:rsidTr="001B3F25">
        <w:tc>
          <w:tcPr>
            <w:tcW w:w="695" w:type="dxa"/>
            <w:vAlign w:val="center"/>
          </w:tcPr>
          <w:p w:rsidR="001B3F25" w:rsidRPr="006D0410" w:rsidRDefault="001B3F25" w:rsidP="006D0410">
            <w:pPr>
              <w:jc w:val="left"/>
              <w:rPr>
                <w:rFonts w:cs="Arial"/>
                <w:szCs w:val="20"/>
              </w:rPr>
            </w:pPr>
            <w:r>
              <w:rPr>
                <w:rFonts w:cs="Arial"/>
                <w:szCs w:val="20"/>
              </w:rPr>
              <w:t>240</w:t>
            </w:r>
          </w:p>
        </w:tc>
        <w:tc>
          <w:tcPr>
            <w:tcW w:w="7379" w:type="dxa"/>
            <w:gridSpan w:val="2"/>
          </w:tcPr>
          <w:p w:rsidR="001B3F25" w:rsidRPr="0089032B" w:rsidRDefault="001B3F25" w:rsidP="00267206">
            <w:pPr>
              <w:pStyle w:val="InstructionsText"/>
              <w:rPr>
                <w:rStyle w:val="InstructionsTabelleberschrift"/>
              </w:rPr>
            </w:pPr>
            <w:r w:rsidRPr="0089032B">
              <w:rPr>
                <w:rStyle w:val="InstructionsTabelleberschrift"/>
              </w:rPr>
              <w:t>1.9.3 credit quality step 3</w:t>
            </w:r>
          </w:p>
          <w:p w:rsidR="001B3F25" w:rsidRPr="0089032B" w:rsidRDefault="001B3F25" w:rsidP="00267206">
            <w:pPr>
              <w:pStyle w:val="InstructionsText"/>
              <w:rPr>
                <w:rStyle w:val="InstructionsTabelleberschrift"/>
              </w:rPr>
            </w:pPr>
          </w:p>
        </w:tc>
      </w:tr>
      <w:tr w:rsidR="001B3F25" w:rsidRPr="00B37090" w:rsidTr="001B3F25">
        <w:tc>
          <w:tcPr>
            <w:tcW w:w="695" w:type="dxa"/>
            <w:shd w:val="clear" w:color="auto" w:fill="F2F2F2" w:themeFill="background1" w:themeFillShade="F2"/>
            <w:vAlign w:val="center"/>
          </w:tcPr>
          <w:p w:rsidR="001B3F25" w:rsidRPr="006D0410" w:rsidRDefault="001B3F25" w:rsidP="006D0410">
            <w:pPr>
              <w:jc w:val="left"/>
              <w:rPr>
                <w:rFonts w:cs="Arial"/>
                <w:szCs w:val="20"/>
              </w:rPr>
            </w:pPr>
            <w:r>
              <w:rPr>
                <w:rFonts w:cs="Arial"/>
                <w:szCs w:val="20"/>
              </w:rPr>
              <w:t>250-270</w:t>
            </w:r>
          </w:p>
        </w:tc>
        <w:tc>
          <w:tcPr>
            <w:tcW w:w="7379" w:type="dxa"/>
            <w:gridSpan w:val="2"/>
            <w:shd w:val="clear" w:color="auto" w:fill="F2F2F2" w:themeFill="background1" w:themeFillShade="F2"/>
          </w:tcPr>
          <w:p w:rsidR="001B3F25" w:rsidRPr="0089032B" w:rsidRDefault="001B3F25" w:rsidP="00267206">
            <w:pPr>
              <w:pStyle w:val="InstructionsText"/>
              <w:rPr>
                <w:rStyle w:val="FormatvorlageInstructionsTabelleText"/>
                <w:b/>
              </w:rPr>
            </w:pPr>
            <w:r w:rsidRPr="0089032B">
              <w:rPr>
                <w:rStyle w:val="InstructionsTabelleberschrift"/>
              </w:rPr>
              <w:t>1.10 asset backed instruments issued by a credit institution if demonstrated to be of the highest credit quality as established by EBA pursuant to the criteria in Article 509 (3), (4) and (5)</w:t>
            </w:r>
          </w:p>
          <w:p w:rsidR="001B3F25" w:rsidRPr="0089032B" w:rsidRDefault="001B3F25" w:rsidP="00267206">
            <w:pPr>
              <w:pStyle w:val="InstructionsText"/>
              <w:rPr>
                <w:rStyle w:val="FormatvorlageInstructionsTabelleText"/>
                <w:b/>
              </w:rPr>
            </w:pPr>
          </w:p>
          <w:p w:rsidR="001B3F25" w:rsidRPr="009D67FE" w:rsidRDefault="001B3F25" w:rsidP="00267206">
            <w:pPr>
              <w:pStyle w:val="InstructionsText"/>
              <w:rPr>
                <w:rStyle w:val="FormatvorlageInstructionsTabelleText"/>
              </w:rPr>
            </w:pPr>
            <w:r w:rsidRPr="009D67FE">
              <w:rPr>
                <w:rStyle w:val="FormatvorlageInstructionsTabelleText"/>
              </w:rPr>
              <w:t>Article 416(2)(a)(</w:t>
            </w:r>
            <w:proofErr w:type="spellStart"/>
            <w:r w:rsidRPr="009D67FE">
              <w:rPr>
                <w:rStyle w:val="FormatvorlageInstructionsTabelleText"/>
              </w:rPr>
              <w:t>i</w:t>
            </w:r>
            <w:proofErr w:type="spellEnd"/>
            <w:r w:rsidRPr="009D67FE">
              <w:rPr>
                <w:rStyle w:val="FormatvorlageInstructionsTabelleText"/>
              </w:rPr>
              <w:t>)</w:t>
            </w:r>
            <w:r w:rsidR="007655D4">
              <w:rPr>
                <w:rStyle w:val="FormatvorlageInstructionsTabelleText"/>
              </w:rPr>
              <w:t>REGULATION (EU) NO 575/2013</w:t>
            </w:r>
          </w:p>
          <w:p w:rsidR="001B3F25" w:rsidRPr="009D67FE" w:rsidRDefault="001B3F25" w:rsidP="00267206">
            <w:pPr>
              <w:pStyle w:val="InstructionsText"/>
              <w:rPr>
                <w:rStyle w:val="InstructionsTabelleberschrift"/>
                <w:b w:val="0"/>
              </w:rPr>
            </w:pPr>
          </w:p>
          <w:p w:rsidR="001B3F25" w:rsidRPr="009D67FE" w:rsidRDefault="001B3F25" w:rsidP="00267206">
            <w:pPr>
              <w:pStyle w:val="InstructionsText"/>
              <w:rPr>
                <w:rStyle w:val="InstructionsTabelleberschrift"/>
                <w:b w:val="0"/>
                <w:u w:val="none"/>
              </w:rPr>
            </w:pPr>
            <w:r w:rsidRPr="009D67FE">
              <w:rPr>
                <w:rStyle w:val="InstructionsTabelleberschrift"/>
                <w:b w:val="0"/>
                <w:u w:val="none"/>
              </w:rPr>
              <w:t xml:space="preserve">Those items shall be reported according to their credit quality as per Chapter 5, Title 2 and Articles 123, 124, 125, 126 of </w:t>
            </w:r>
            <w:r w:rsidR="007655D4">
              <w:rPr>
                <w:rStyle w:val="InstructionsTabelleberschrift"/>
                <w:b w:val="0"/>
                <w:u w:val="none"/>
              </w:rPr>
              <w:t>REGULATION (EU) NO 575/2013</w:t>
            </w:r>
          </w:p>
          <w:p w:rsidR="001B3F25" w:rsidRDefault="001B3F25" w:rsidP="00267206">
            <w:pPr>
              <w:pStyle w:val="InstructionsText"/>
              <w:rPr>
                <w:rStyle w:val="InstructionsTabelleberschrift"/>
              </w:rPr>
            </w:pPr>
          </w:p>
        </w:tc>
      </w:tr>
      <w:tr w:rsidR="001B3F25" w:rsidRPr="00B37090" w:rsidTr="001B3F25">
        <w:tc>
          <w:tcPr>
            <w:tcW w:w="695" w:type="dxa"/>
            <w:vAlign w:val="center"/>
          </w:tcPr>
          <w:p w:rsidR="001B3F25" w:rsidRDefault="001B3F25" w:rsidP="006D0410">
            <w:pPr>
              <w:jc w:val="left"/>
              <w:rPr>
                <w:rFonts w:cs="Arial"/>
                <w:szCs w:val="20"/>
              </w:rPr>
            </w:pPr>
            <w:r>
              <w:rPr>
                <w:rFonts w:cs="Arial"/>
                <w:szCs w:val="20"/>
              </w:rPr>
              <w:lastRenderedPageBreak/>
              <w:t>250</w:t>
            </w:r>
          </w:p>
        </w:tc>
        <w:tc>
          <w:tcPr>
            <w:tcW w:w="7379" w:type="dxa"/>
            <w:gridSpan w:val="2"/>
          </w:tcPr>
          <w:p w:rsidR="001B3F25" w:rsidRPr="0089032B" w:rsidRDefault="001B3F25" w:rsidP="00267206">
            <w:pPr>
              <w:pStyle w:val="InstructionsText"/>
              <w:rPr>
                <w:rStyle w:val="InstructionsTabelleberschrift"/>
              </w:rPr>
            </w:pPr>
            <w:r w:rsidRPr="0089032B">
              <w:rPr>
                <w:rStyle w:val="InstructionsTabelleberschrift"/>
              </w:rPr>
              <w:t>1.10.1 credit quality step 1</w:t>
            </w:r>
          </w:p>
          <w:p w:rsidR="001B3F25" w:rsidRPr="0089032B" w:rsidRDefault="001B3F25" w:rsidP="00267206">
            <w:pPr>
              <w:pStyle w:val="InstructionsText"/>
              <w:rPr>
                <w:rStyle w:val="InstructionsTabelleberschrift"/>
              </w:rPr>
            </w:pPr>
          </w:p>
        </w:tc>
      </w:tr>
      <w:tr w:rsidR="001B3F25" w:rsidRPr="00B37090" w:rsidTr="001B3F25">
        <w:tc>
          <w:tcPr>
            <w:tcW w:w="695" w:type="dxa"/>
            <w:vAlign w:val="center"/>
          </w:tcPr>
          <w:p w:rsidR="001B3F25" w:rsidRDefault="001B3F25" w:rsidP="006D0410">
            <w:pPr>
              <w:jc w:val="left"/>
              <w:rPr>
                <w:rFonts w:cs="Arial"/>
                <w:szCs w:val="20"/>
              </w:rPr>
            </w:pPr>
            <w:r>
              <w:rPr>
                <w:rFonts w:cs="Arial"/>
                <w:szCs w:val="20"/>
              </w:rPr>
              <w:t>260</w:t>
            </w:r>
          </w:p>
        </w:tc>
        <w:tc>
          <w:tcPr>
            <w:tcW w:w="7379" w:type="dxa"/>
            <w:gridSpan w:val="2"/>
          </w:tcPr>
          <w:p w:rsidR="001B3F25" w:rsidRPr="0089032B" w:rsidRDefault="001B3F25" w:rsidP="00267206">
            <w:pPr>
              <w:pStyle w:val="InstructionsText"/>
              <w:rPr>
                <w:rStyle w:val="InstructionsTabelleberschrift"/>
              </w:rPr>
            </w:pPr>
            <w:r w:rsidRPr="0089032B">
              <w:rPr>
                <w:rStyle w:val="InstructionsTabelleberschrift"/>
              </w:rPr>
              <w:t>1.10.2 credit quality step 2</w:t>
            </w:r>
          </w:p>
          <w:p w:rsidR="001B3F25" w:rsidRPr="0089032B" w:rsidRDefault="001B3F25" w:rsidP="00267206">
            <w:pPr>
              <w:pStyle w:val="InstructionsText"/>
              <w:rPr>
                <w:rStyle w:val="InstructionsTabelleberschrift"/>
              </w:rPr>
            </w:pPr>
          </w:p>
        </w:tc>
      </w:tr>
      <w:tr w:rsidR="001B3F25" w:rsidRPr="00B37090" w:rsidTr="001B3F25">
        <w:tc>
          <w:tcPr>
            <w:tcW w:w="695" w:type="dxa"/>
            <w:vAlign w:val="center"/>
          </w:tcPr>
          <w:p w:rsidR="001B3F25" w:rsidRDefault="001B3F25" w:rsidP="006D0410">
            <w:pPr>
              <w:jc w:val="left"/>
              <w:rPr>
                <w:rFonts w:cs="Arial"/>
                <w:szCs w:val="20"/>
              </w:rPr>
            </w:pPr>
            <w:r>
              <w:rPr>
                <w:rFonts w:cs="Arial"/>
                <w:szCs w:val="20"/>
              </w:rPr>
              <w:t>270</w:t>
            </w:r>
          </w:p>
        </w:tc>
        <w:tc>
          <w:tcPr>
            <w:tcW w:w="7379" w:type="dxa"/>
            <w:gridSpan w:val="2"/>
          </w:tcPr>
          <w:p w:rsidR="001B3F25" w:rsidRPr="0089032B" w:rsidRDefault="001B3F25" w:rsidP="00267206">
            <w:pPr>
              <w:pStyle w:val="InstructionsText"/>
              <w:rPr>
                <w:rStyle w:val="InstructionsTabelleberschrift"/>
              </w:rPr>
            </w:pPr>
            <w:r w:rsidRPr="0089032B">
              <w:rPr>
                <w:rStyle w:val="InstructionsTabelleberschrift"/>
              </w:rPr>
              <w:t>1.10.3 credit quality step 3</w:t>
            </w:r>
          </w:p>
          <w:p w:rsidR="001B3F25" w:rsidRPr="0089032B" w:rsidRDefault="001B3F25" w:rsidP="00267206">
            <w:pPr>
              <w:pStyle w:val="InstructionsText"/>
              <w:rPr>
                <w:rStyle w:val="InstructionsTabelleberschrift"/>
              </w:rPr>
            </w:pPr>
          </w:p>
        </w:tc>
      </w:tr>
      <w:tr w:rsidR="001B3F25" w:rsidRPr="00B37090" w:rsidTr="001B3F25">
        <w:trPr>
          <w:trHeight w:val="449"/>
        </w:trPr>
        <w:tc>
          <w:tcPr>
            <w:tcW w:w="695" w:type="dxa"/>
            <w:shd w:val="clear" w:color="auto" w:fill="F2F2F2" w:themeFill="background1" w:themeFillShade="F2"/>
            <w:vAlign w:val="center"/>
          </w:tcPr>
          <w:p w:rsidR="001B3F25" w:rsidRPr="004A0D83" w:rsidRDefault="001B3F25" w:rsidP="006D0410">
            <w:pPr>
              <w:jc w:val="left"/>
              <w:rPr>
                <w:rFonts w:cs="Arial"/>
                <w:szCs w:val="20"/>
              </w:rPr>
            </w:pPr>
            <w:r>
              <w:rPr>
                <w:rFonts w:cs="Arial"/>
                <w:szCs w:val="20"/>
              </w:rPr>
              <w:t>280-300</w:t>
            </w:r>
          </w:p>
        </w:tc>
        <w:tc>
          <w:tcPr>
            <w:tcW w:w="7379" w:type="dxa"/>
            <w:gridSpan w:val="2"/>
            <w:shd w:val="clear" w:color="auto" w:fill="F2F2F2" w:themeFill="background1" w:themeFillShade="F2"/>
          </w:tcPr>
          <w:p w:rsidR="001B3F25" w:rsidRPr="0089032B" w:rsidRDefault="001B3F25" w:rsidP="00267206">
            <w:pPr>
              <w:pStyle w:val="InstructionsText"/>
              <w:rPr>
                <w:rStyle w:val="FormatvorlageInstructionsTabelleText"/>
              </w:rPr>
            </w:pPr>
            <w:r w:rsidRPr="0089032B">
              <w:rPr>
                <w:rStyle w:val="InstructionsTabelleberschrift"/>
              </w:rPr>
              <w:t>1.11 Residential mortgage backed instruments of the instruments reported in lines 1.10.1, 1.10.2, 1.10.3</w:t>
            </w:r>
          </w:p>
          <w:p w:rsidR="009D67FE" w:rsidRDefault="009D67FE" w:rsidP="00267206">
            <w:pPr>
              <w:pStyle w:val="InstructionsText"/>
              <w:rPr>
                <w:rStyle w:val="FormatvorlageInstructionsTabelleText"/>
              </w:rPr>
            </w:pPr>
          </w:p>
          <w:p w:rsidR="001B3F25" w:rsidRPr="009D67FE" w:rsidRDefault="001B3F25" w:rsidP="00267206">
            <w:pPr>
              <w:pStyle w:val="InstructionsText"/>
              <w:rPr>
                <w:rStyle w:val="FormatvorlageInstructionsTabelleText"/>
              </w:rPr>
            </w:pPr>
            <w:r w:rsidRPr="009D67FE">
              <w:rPr>
                <w:rStyle w:val="FormatvorlageInstructionsTabelleText"/>
              </w:rPr>
              <w:t>Article 416(2)(a)(</w:t>
            </w:r>
            <w:proofErr w:type="spellStart"/>
            <w:r w:rsidRPr="009D67FE">
              <w:rPr>
                <w:rStyle w:val="FormatvorlageInstructionsTabelleText"/>
              </w:rPr>
              <w:t>i</w:t>
            </w:r>
            <w:proofErr w:type="spellEnd"/>
            <w:r w:rsidRPr="009D67FE">
              <w:rPr>
                <w:rStyle w:val="FormatvorlageInstructionsTabelleText"/>
              </w:rPr>
              <w:t>)</w:t>
            </w:r>
            <w:r w:rsidR="007655D4">
              <w:rPr>
                <w:rStyle w:val="FormatvorlageInstructionsTabelleText"/>
              </w:rPr>
              <w:t>REGULATION (EU) NO 575/2013</w:t>
            </w:r>
          </w:p>
          <w:p w:rsidR="001B3F25" w:rsidRPr="009D67FE" w:rsidRDefault="001B3F25" w:rsidP="00267206">
            <w:pPr>
              <w:pStyle w:val="InstructionsText"/>
              <w:rPr>
                <w:rStyle w:val="InstructionsTabelleberschrift"/>
                <w:b w:val="0"/>
                <w:szCs w:val="24"/>
                <w:u w:val="none"/>
                <w:lang w:val="en-GB" w:eastAsia="en-US"/>
              </w:rPr>
            </w:pPr>
          </w:p>
          <w:p w:rsidR="001B3F25" w:rsidRPr="009D67FE" w:rsidRDefault="001B3F25" w:rsidP="00267206">
            <w:pPr>
              <w:pStyle w:val="InstructionsText"/>
              <w:rPr>
                <w:rStyle w:val="InstructionsTabelleberschrift"/>
                <w:b w:val="0"/>
                <w:szCs w:val="24"/>
                <w:u w:val="none"/>
                <w:lang w:val="en-GB" w:eastAsia="en-US"/>
              </w:rPr>
            </w:pPr>
            <w:r w:rsidRPr="009D67FE">
              <w:rPr>
                <w:rStyle w:val="InstructionsTabelleberschrift"/>
                <w:b w:val="0"/>
                <w:u w:val="none"/>
              </w:rPr>
              <w:t xml:space="preserve">Those items shall be reported according to their credit quality as per Chapter 5, Title 2 and Articles 123, 124, 125, 126 of </w:t>
            </w:r>
            <w:r w:rsidR="007655D4">
              <w:rPr>
                <w:rStyle w:val="InstructionsTabelleberschrift"/>
                <w:b w:val="0"/>
                <w:u w:val="none"/>
              </w:rPr>
              <w:t>REGULATION (EU) NO 575/2013</w:t>
            </w:r>
          </w:p>
          <w:p w:rsidR="001B3F25" w:rsidRDefault="001B3F25" w:rsidP="00267206">
            <w:pPr>
              <w:pStyle w:val="InstructionsText"/>
              <w:rPr>
                <w:rStyle w:val="InstructionsTabelleberschrift"/>
                <w:szCs w:val="24"/>
                <w:lang w:val="en-GB" w:eastAsia="en-US"/>
              </w:rPr>
            </w:pPr>
          </w:p>
        </w:tc>
      </w:tr>
      <w:tr w:rsidR="001B3F25" w:rsidRPr="00B37090" w:rsidTr="001B3F25">
        <w:trPr>
          <w:trHeight w:val="449"/>
        </w:trPr>
        <w:tc>
          <w:tcPr>
            <w:tcW w:w="695" w:type="dxa"/>
            <w:shd w:val="clear" w:color="auto" w:fill="FFFFFF" w:themeFill="background1"/>
            <w:vAlign w:val="center"/>
          </w:tcPr>
          <w:p w:rsidR="001B3F25" w:rsidRDefault="001B3F25">
            <w:r>
              <w:t>280</w:t>
            </w:r>
          </w:p>
        </w:tc>
        <w:tc>
          <w:tcPr>
            <w:tcW w:w="7379" w:type="dxa"/>
            <w:gridSpan w:val="2"/>
            <w:shd w:val="clear" w:color="auto" w:fill="FFFFFF" w:themeFill="background1"/>
          </w:tcPr>
          <w:p w:rsidR="001B3F25" w:rsidRPr="009D67FE" w:rsidRDefault="001B3F25" w:rsidP="00267206">
            <w:pPr>
              <w:pStyle w:val="InstructionsText"/>
              <w:rPr>
                <w:rStyle w:val="InstructionsTabelleberschrift"/>
              </w:rPr>
            </w:pPr>
            <w:r w:rsidRPr="009D67FE">
              <w:rPr>
                <w:rStyle w:val="InstructionsTabelleberschrift"/>
              </w:rPr>
              <w:t>1.11.1 credit quality step 1</w:t>
            </w:r>
          </w:p>
          <w:p w:rsidR="001B3F25" w:rsidRPr="009D67FE" w:rsidRDefault="001B3F25" w:rsidP="00267206">
            <w:pPr>
              <w:pStyle w:val="InstructionsText"/>
            </w:pPr>
          </w:p>
        </w:tc>
      </w:tr>
      <w:tr w:rsidR="001B3F25" w:rsidRPr="00B37090" w:rsidTr="001B3F25">
        <w:trPr>
          <w:trHeight w:val="449"/>
        </w:trPr>
        <w:tc>
          <w:tcPr>
            <w:tcW w:w="695" w:type="dxa"/>
            <w:shd w:val="clear" w:color="auto" w:fill="FFFFFF" w:themeFill="background1"/>
            <w:vAlign w:val="center"/>
          </w:tcPr>
          <w:p w:rsidR="001B3F25" w:rsidRDefault="001B3F25">
            <w:r>
              <w:t>290</w:t>
            </w:r>
          </w:p>
        </w:tc>
        <w:tc>
          <w:tcPr>
            <w:tcW w:w="7379" w:type="dxa"/>
            <w:gridSpan w:val="2"/>
            <w:shd w:val="clear" w:color="auto" w:fill="FFFFFF" w:themeFill="background1"/>
          </w:tcPr>
          <w:p w:rsidR="001B3F25" w:rsidRPr="009D67FE" w:rsidRDefault="001B3F25" w:rsidP="00267206">
            <w:pPr>
              <w:pStyle w:val="InstructionsText"/>
              <w:rPr>
                <w:rStyle w:val="InstructionsTabelleberschrift"/>
              </w:rPr>
            </w:pPr>
            <w:r w:rsidRPr="009D67FE">
              <w:rPr>
                <w:rStyle w:val="InstructionsTabelleberschrift"/>
              </w:rPr>
              <w:t>1.11.2 credit quality step 2</w:t>
            </w:r>
          </w:p>
          <w:p w:rsidR="001B3F25" w:rsidRPr="009D67FE" w:rsidRDefault="001B3F25" w:rsidP="00267206">
            <w:pPr>
              <w:pStyle w:val="InstructionsText"/>
            </w:pPr>
          </w:p>
        </w:tc>
      </w:tr>
      <w:tr w:rsidR="001B3F25" w:rsidRPr="00B37090" w:rsidTr="001B3F25">
        <w:trPr>
          <w:trHeight w:val="449"/>
        </w:trPr>
        <w:tc>
          <w:tcPr>
            <w:tcW w:w="695" w:type="dxa"/>
            <w:shd w:val="clear" w:color="auto" w:fill="FFFFFF" w:themeFill="background1"/>
            <w:vAlign w:val="center"/>
          </w:tcPr>
          <w:p w:rsidR="001B3F25" w:rsidRDefault="001B3F25">
            <w:r>
              <w:t>300</w:t>
            </w:r>
          </w:p>
        </w:tc>
        <w:tc>
          <w:tcPr>
            <w:tcW w:w="7379" w:type="dxa"/>
            <w:gridSpan w:val="2"/>
            <w:shd w:val="clear" w:color="auto" w:fill="FFFFFF" w:themeFill="background1"/>
          </w:tcPr>
          <w:p w:rsidR="001B3F25" w:rsidRPr="009D67FE" w:rsidRDefault="001B3F25" w:rsidP="00267206">
            <w:pPr>
              <w:pStyle w:val="InstructionsText"/>
              <w:rPr>
                <w:rStyle w:val="InstructionsTabelleberschrift"/>
              </w:rPr>
            </w:pPr>
            <w:r w:rsidRPr="009D67FE">
              <w:rPr>
                <w:rStyle w:val="InstructionsTabelleberschrift"/>
              </w:rPr>
              <w:t>1.11.3 credit quality step 3</w:t>
            </w:r>
          </w:p>
          <w:p w:rsidR="001B3F25" w:rsidRPr="009D67FE" w:rsidRDefault="001B3F25" w:rsidP="00267206">
            <w:pPr>
              <w:pStyle w:val="InstructionsText"/>
            </w:pPr>
          </w:p>
        </w:tc>
      </w:tr>
      <w:tr w:rsidR="001B3F25" w:rsidRPr="00B37090" w:rsidTr="001B3F25">
        <w:tc>
          <w:tcPr>
            <w:tcW w:w="695" w:type="dxa"/>
            <w:shd w:val="clear" w:color="auto" w:fill="E6E6E6"/>
            <w:vAlign w:val="center"/>
          </w:tcPr>
          <w:p w:rsidR="001B3F25" w:rsidRPr="006D0410" w:rsidRDefault="001B3F25" w:rsidP="006D0410">
            <w:pPr>
              <w:jc w:val="left"/>
              <w:rPr>
                <w:rFonts w:cs="Arial"/>
                <w:szCs w:val="20"/>
              </w:rPr>
            </w:pPr>
            <w:r>
              <w:rPr>
                <w:rFonts w:cs="Arial"/>
                <w:szCs w:val="20"/>
              </w:rPr>
              <w:t>310-330</w:t>
            </w:r>
          </w:p>
        </w:tc>
        <w:tc>
          <w:tcPr>
            <w:tcW w:w="7379" w:type="dxa"/>
            <w:gridSpan w:val="2"/>
            <w:shd w:val="clear" w:color="auto" w:fill="E6E6E6"/>
          </w:tcPr>
          <w:p w:rsidR="001B3F25" w:rsidRPr="0089032B" w:rsidRDefault="001B3F25" w:rsidP="00267206">
            <w:pPr>
              <w:pStyle w:val="InstructionsText"/>
              <w:rPr>
                <w:rStyle w:val="InstructionsTabelleberschrift"/>
              </w:rPr>
            </w:pPr>
            <w:r w:rsidRPr="0089032B">
              <w:rPr>
                <w:rStyle w:val="InstructionsTabelleberschrift"/>
              </w:rPr>
              <w:t>1.12 bonds as defined in Article 52(4) of Directive 2009/65/EC other than those referred to in 1.9</w:t>
            </w:r>
          </w:p>
          <w:p w:rsidR="001B3F25" w:rsidRDefault="001B3F25" w:rsidP="00267206">
            <w:pPr>
              <w:pStyle w:val="InstructionsText"/>
              <w:rPr>
                <w:rStyle w:val="FormatvorlageInstructionsTabelleText"/>
              </w:rPr>
            </w:pPr>
          </w:p>
          <w:p w:rsidR="001B3F25" w:rsidRPr="009D67FE" w:rsidRDefault="001B3F25" w:rsidP="00267206">
            <w:pPr>
              <w:pStyle w:val="InstructionsText"/>
              <w:rPr>
                <w:rStyle w:val="FormatvorlageInstructionsTabelleText"/>
              </w:rPr>
            </w:pPr>
            <w:r w:rsidRPr="009D67FE">
              <w:rPr>
                <w:rStyle w:val="FormatvorlageInstructionsTabelleText"/>
              </w:rPr>
              <w:t xml:space="preserve">Article 416(2)(a)(ii) </w:t>
            </w:r>
            <w:r w:rsidR="007655D4">
              <w:rPr>
                <w:rStyle w:val="FormatvorlageInstructionsTabelleText"/>
              </w:rPr>
              <w:t>REGULATION (EU) NO 575/2013</w:t>
            </w:r>
          </w:p>
          <w:p w:rsidR="001B3F25" w:rsidRPr="009D67FE" w:rsidRDefault="001B3F25" w:rsidP="00267206">
            <w:pPr>
              <w:pStyle w:val="InstructionsText"/>
              <w:rPr>
                <w:rStyle w:val="InstructionsTabelleberschrift"/>
                <w:b w:val="0"/>
                <w:szCs w:val="24"/>
                <w:lang w:val="en-GB" w:eastAsia="en-US"/>
              </w:rPr>
            </w:pPr>
          </w:p>
          <w:p w:rsidR="001B3F25" w:rsidRPr="009D67FE" w:rsidRDefault="001B3F25" w:rsidP="00267206">
            <w:pPr>
              <w:pStyle w:val="InstructionsText"/>
              <w:rPr>
                <w:rStyle w:val="InstructionsTabelleberschrift"/>
                <w:b w:val="0"/>
                <w:u w:val="none"/>
              </w:rPr>
            </w:pPr>
            <w:r w:rsidRPr="009D67FE">
              <w:rPr>
                <w:rStyle w:val="InstructionsTabelleberschrift"/>
                <w:b w:val="0"/>
                <w:u w:val="none"/>
              </w:rPr>
              <w:t xml:space="preserve">Those items shall be reported according to their credit quality as per Article 129(4) or 129(5) of </w:t>
            </w:r>
            <w:r w:rsidR="007655D4">
              <w:rPr>
                <w:rStyle w:val="InstructionsTabelleberschrift"/>
                <w:b w:val="0"/>
                <w:u w:val="none"/>
              </w:rPr>
              <w:t>REGULATION (EU) NO 575/2013</w:t>
            </w:r>
          </w:p>
          <w:p w:rsidR="001B3F25" w:rsidRPr="00B37090" w:rsidRDefault="001B3F25" w:rsidP="00565A0E">
            <w:pPr>
              <w:autoSpaceDE w:val="0"/>
              <w:autoSpaceDN w:val="0"/>
              <w:adjustRightInd w:val="0"/>
              <w:spacing w:before="0" w:after="0"/>
              <w:rPr>
                <w:rStyle w:val="InstructionsTabelleberschrift"/>
                <w:b w:val="0"/>
                <w:u w:val="none"/>
              </w:rPr>
            </w:pPr>
          </w:p>
        </w:tc>
      </w:tr>
      <w:tr w:rsidR="001B3F25" w:rsidRPr="00B37090" w:rsidTr="001B3F25">
        <w:tc>
          <w:tcPr>
            <w:tcW w:w="695" w:type="dxa"/>
            <w:vAlign w:val="center"/>
          </w:tcPr>
          <w:p w:rsidR="001B3F25" w:rsidRPr="006D0410" w:rsidRDefault="001B3F25" w:rsidP="006D0410">
            <w:pPr>
              <w:jc w:val="left"/>
              <w:rPr>
                <w:rFonts w:cs="Arial"/>
                <w:szCs w:val="20"/>
              </w:rPr>
            </w:pPr>
            <w:r>
              <w:rPr>
                <w:rFonts w:cs="Arial"/>
                <w:szCs w:val="20"/>
              </w:rPr>
              <w:t>310</w:t>
            </w:r>
          </w:p>
        </w:tc>
        <w:tc>
          <w:tcPr>
            <w:tcW w:w="7379" w:type="dxa"/>
            <w:gridSpan w:val="2"/>
          </w:tcPr>
          <w:p w:rsidR="001B3F25" w:rsidRPr="0089032B" w:rsidRDefault="001B3F25" w:rsidP="00267206">
            <w:pPr>
              <w:pStyle w:val="InstructionsText"/>
              <w:rPr>
                <w:rStyle w:val="InstructionsTabelleberschrift"/>
              </w:rPr>
            </w:pPr>
            <w:r w:rsidRPr="0089032B">
              <w:rPr>
                <w:rStyle w:val="InstructionsTabelleberschrift"/>
              </w:rPr>
              <w:t>1.12.1 credit quality step 1</w:t>
            </w:r>
          </w:p>
          <w:p w:rsidR="001B3F25" w:rsidRPr="0089032B" w:rsidRDefault="001B3F25" w:rsidP="00267206">
            <w:pPr>
              <w:pStyle w:val="InstructionsText"/>
              <w:rPr>
                <w:rStyle w:val="InstructionsTabelleberschrift"/>
                <w:u w:val="none"/>
              </w:rPr>
            </w:pPr>
          </w:p>
          <w:p w:rsidR="001B3F25" w:rsidRPr="0089032B" w:rsidRDefault="001B3F25" w:rsidP="00267206">
            <w:pPr>
              <w:pStyle w:val="InstructionsText"/>
              <w:rPr>
                <w:rStyle w:val="InstructionsTabelleberschrift"/>
                <w:szCs w:val="24"/>
                <w:u w:val="none"/>
                <w:lang w:val="en-GB" w:eastAsia="en-US"/>
              </w:rPr>
            </w:pPr>
          </w:p>
        </w:tc>
      </w:tr>
      <w:tr w:rsidR="001B3F25" w:rsidRPr="00B37090" w:rsidTr="001B3F25">
        <w:tc>
          <w:tcPr>
            <w:tcW w:w="695" w:type="dxa"/>
            <w:vAlign w:val="center"/>
          </w:tcPr>
          <w:p w:rsidR="001B3F25" w:rsidRPr="006D0410" w:rsidRDefault="001B3F25" w:rsidP="006D0410">
            <w:pPr>
              <w:jc w:val="left"/>
              <w:rPr>
                <w:rFonts w:cs="Arial"/>
                <w:szCs w:val="20"/>
              </w:rPr>
            </w:pPr>
            <w:r>
              <w:rPr>
                <w:rFonts w:cs="Arial"/>
                <w:szCs w:val="20"/>
              </w:rPr>
              <w:t>320</w:t>
            </w:r>
          </w:p>
        </w:tc>
        <w:tc>
          <w:tcPr>
            <w:tcW w:w="7379" w:type="dxa"/>
            <w:gridSpan w:val="2"/>
          </w:tcPr>
          <w:p w:rsidR="001B3F25" w:rsidRPr="0089032B" w:rsidRDefault="001B3F25" w:rsidP="00267206">
            <w:pPr>
              <w:pStyle w:val="InstructionsText"/>
              <w:rPr>
                <w:rStyle w:val="InstructionsTabelleberschrift"/>
              </w:rPr>
            </w:pPr>
            <w:r w:rsidRPr="0089032B">
              <w:rPr>
                <w:rStyle w:val="InstructionsTabelleberschrift"/>
              </w:rPr>
              <w:t>1.12.2 credit quality step 2</w:t>
            </w:r>
          </w:p>
          <w:p w:rsidR="001B3F25" w:rsidRPr="0089032B" w:rsidRDefault="001B3F25" w:rsidP="00267206">
            <w:pPr>
              <w:pStyle w:val="InstructionsText"/>
              <w:rPr>
                <w:rStyle w:val="InstructionsTabelleberschrift"/>
                <w:u w:val="none"/>
              </w:rPr>
            </w:pPr>
          </w:p>
          <w:p w:rsidR="001B3F25" w:rsidRPr="0089032B" w:rsidRDefault="001B3F25" w:rsidP="00267206">
            <w:pPr>
              <w:pStyle w:val="InstructionsText"/>
              <w:rPr>
                <w:rStyle w:val="InstructionsTabelleberschrift"/>
              </w:rPr>
            </w:pPr>
          </w:p>
        </w:tc>
      </w:tr>
      <w:tr w:rsidR="001B3F25" w:rsidRPr="00B37090" w:rsidTr="001B3F25">
        <w:tc>
          <w:tcPr>
            <w:tcW w:w="695" w:type="dxa"/>
            <w:vAlign w:val="center"/>
          </w:tcPr>
          <w:p w:rsidR="001B3F25" w:rsidRPr="006D0410" w:rsidRDefault="001B3F25" w:rsidP="006D0410">
            <w:pPr>
              <w:jc w:val="left"/>
              <w:rPr>
                <w:rFonts w:cs="Arial"/>
                <w:szCs w:val="20"/>
              </w:rPr>
            </w:pPr>
            <w:r>
              <w:rPr>
                <w:rFonts w:cs="Arial"/>
                <w:szCs w:val="20"/>
              </w:rPr>
              <w:t>330</w:t>
            </w:r>
          </w:p>
        </w:tc>
        <w:tc>
          <w:tcPr>
            <w:tcW w:w="7379" w:type="dxa"/>
            <w:gridSpan w:val="2"/>
          </w:tcPr>
          <w:p w:rsidR="001B3F25" w:rsidRPr="0089032B" w:rsidRDefault="001B3F25" w:rsidP="00267206">
            <w:pPr>
              <w:pStyle w:val="InstructionsText"/>
              <w:rPr>
                <w:rStyle w:val="InstructionsTabelleberschrift"/>
              </w:rPr>
            </w:pPr>
            <w:r w:rsidRPr="0089032B">
              <w:rPr>
                <w:rStyle w:val="InstructionsTabelleberschrift"/>
              </w:rPr>
              <w:t>1.12.3 credit quality step 3</w:t>
            </w:r>
          </w:p>
          <w:p w:rsidR="001B3F25" w:rsidRPr="0089032B" w:rsidRDefault="001B3F25" w:rsidP="00267206">
            <w:pPr>
              <w:pStyle w:val="InstructionsText"/>
              <w:rPr>
                <w:rStyle w:val="InstructionsTabelleberschrift"/>
                <w:u w:val="none"/>
              </w:rPr>
            </w:pPr>
          </w:p>
          <w:p w:rsidR="001B3F25" w:rsidRPr="0089032B" w:rsidRDefault="001B3F25" w:rsidP="00267206">
            <w:pPr>
              <w:pStyle w:val="InstructionsText"/>
              <w:rPr>
                <w:rStyle w:val="InstructionsTabelleberschrift"/>
              </w:rPr>
            </w:pPr>
          </w:p>
        </w:tc>
      </w:tr>
      <w:tr w:rsidR="001B3F25" w:rsidRPr="00B37090" w:rsidTr="001B3F25">
        <w:tc>
          <w:tcPr>
            <w:tcW w:w="695" w:type="dxa"/>
            <w:shd w:val="clear" w:color="auto" w:fill="FFFFFF" w:themeFill="background1"/>
            <w:vAlign w:val="center"/>
          </w:tcPr>
          <w:p w:rsidR="001B3F25" w:rsidRPr="006D0410" w:rsidRDefault="001B3F25" w:rsidP="006D0410">
            <w:pPr>
              <w:jc w:val="left"/>
              <w:rPr>
                <w:rFonts w:cs="Arial"/>
                <w:szCs w:val="20"/>
              </w:rPr>
            </w:pPr>
            <w:r>
              <w:rPr>
                <w:rFonts w:cs="Arial"/>
                <w:szCs w:val="20"/>
              </w:rPr>
              <w:t>340-360</w:t>
            </w:r>
          </w:p>
        </w:tc>
        <w:tc>
          <w:tcPr>
            <w:tcW w:w="7379" w:type="dxa"/>
            <w:gridSpan w:val="2"/>
            <w:shd w:val="clear" w:color="auto" w:fill="FFFFFF" w:themeFill="background1"/>
          </w:tcPr>
          <w:p w:rsidR="001B3F25" w:rsidRPr="0089032B" w:rsidRDefault="001B3F25" w:rsidP="00267206">
            <w:pPr>
              <w:pStyle w:val="InstructionsText"/>
              <w:rPr>
                <w:rStyle w:val="InstructionsTabelleberschrift"/>
              </w:rPr>
            </w:pPr>
            <w:r w:rsidRPr="0089032B">
              <w:rPr>
                <w:rStyle w:val="InstructionsTabelleberschrift"/>
              </w:rPr>
              <w:t>1.13 Other transferable assets that are of extremely high liquidity and credit quality</w:t>
            </w:r>
          </w:p>
          <w:p w:rsidR="001B3F25" w:rsidRDefault="001B3F25" w:rsidP="00267206">
            <w:pPr>
              <w:pStyle w:val="InstructionsText"/>
              <w:rPr>
                <w:rStyle w:val="FormatvorlageInstructionsTabelleText"/>
              </w:rPr>
            </w:pPr>
          </w:p>
          <w:p w:rsidR="001B3F25" w:rsidRPr="009D67FE" w:rsidRDefault="001B3F25" w:rsidP="00267206">
            <w:pPr>
              <w:pStyle w:val="InstructionsText"/>
              <w:rPr>
                <w:rStyle w:val="FormatvorlageInstructionsTabelleText"/>
              </w:rPr>
            </w:pPr>
            <w:r w:rsidRPr="009D67FE">
              <w:rPr>
                <w:rStyle w:val="FormatvorlageInstructionsTabelleText"/>
              </w:rPr>
              <w:t xml:space="preserve">Article 416.1(b) of </w:t>
            </w:r>
            <w:r w:rsidR="007655D4">
              <w:rPr>
                <w:rStyle w:val="FormatvorlageInstructionsTabelleText"/>
              </w:rPr>
              <w:t>REGULATION (EU) NO 575/2013</w:t>
            </w:r>
          </w:p>
          <w:p w:rsidR="001B3F25" w:rsidRPr="009D67FE" w:rsidRDefault="001B3F25" w:rsidP="00267206">
            <w:pPr>
              <w:pStyle w:val="InstructionsText"/>
              <w:rPr>
                <w:rStyle w:val="FormatvorlageInstructionsTabelleText"/>
                <w:szCs w:val="24"/>
                <w:lang w:val="en-GB" w:eastAsia="en-US"/>
              </w:rPr>
            </w:pPr>
          </w:p>
          <w:p w:rsidR="001B3F25" w:rsidRPr="009D67FE" w:rsidRDefault="001B3F25" w:rsidP="00267206">
            <w:pPr>
              <w:pStyle w:val="InstructionsText"/>
              <w:rPr>
                <w:rStyle w:val="FormatvorlageInstructionsTabelleText"/>
                <w:szCs w:val="24"/>
                <w:lang w:val="en-GB" w:eastAsia="en-US"/>
              </w:rPr>
            </w:pPr>
            <w:r w:rsidRPr="009D67FE">
              <w:rPr>
                <w:rStyle w:val="InstructionsTabelleberschrift"/>
                <w:b w:val="0"/>
                <w:u w:val="none"/>
              </w:rPr>
              <w:t xml:space="preserve">Those items shall be reported according to their credit quality as per Chapter 2,Title 2, Part III of </w:t>
            </w:r>
            <w:r w:rsidR="007655D4">
              <w:rPr>
                <w:rStyle w:val="InstructionsTabelleberschrift"/>
                <w:b w:val="0"/>
                <w:u w:val="none"/>
              </w:rPr>
              <w:t>REGULATION (EU) NO 575/2013</w:t>
            </w:r>
          </w:p>
          <w:p w:rsidR="001B3F25" w:rsidRPr="009D67FE" w:rsidRDefault="001B3F25" w:rsidP="00267206">
            <w:pPr>
              <w:pStyle w:val="InstructionsText"/>
              <w:rPr>
                <w:rStyle w:val="FormatvorlageInstructionsTabelleText"/>
                <w:szCs w:val="24"/>
                <w:lang w:val="en-GB" w:eastAsia="en-US"/>
              </w:rPr>
            </w:pPr>
          </w:p>
          <w:p w:rsidR="001B3F25" w:rsidRPr="009D67FE" w:rsidRDefault="001B3F25" w:rsidP="00267206">
            <w:pPr>
              <w:pStyle w:val="InstructionsText"/>
              <w:rPr>
                <w:rStyle w:val="FormatvorlageInstructionsTabelleText"/>
                <w:szCs w:val="24"/>
                <w:lang w:val="en-GB" w:eastAsia="en-US"/>
              </w:rPr>
            </w:pPr>
            <w:r w:rsidRPr="009D67FE">
              <w:rPr>
                <w:rStyle w:val="FormatvorlageInstructionsTabelleText"/>
              </w:rPr>
              <w:t>Only items that are not specified in the rows above shall be reported here.</w:t>
            </w:r>
          </w:p>
          <w:p w:rsidR="001B3F25" w:rsidRDefault="001B3F25" w:rsidP="00267206">
            <w:pPr>
              <w:pStyle w:val="InstructionsText"/>
              <w:rPr>
                <w:rStyle w:val="InstructionsTabelleberschrift"/>
                <w:szCs w:val="24"/>
                <w:lang w:val="en-GB" w:eastAsia="en-US"/>
              </w:rPr>
            </w:pPr>
          </w:p>
        </w:tc>
      </w:tr>
      <w:tr w:rsidR="001B3F25" w:rsidRPr="00B37090" w:rsidTr="001B3F25">
        <w:tc>
          <w:tcPr>
            <w:tcW w:w="695" w:type="dxa"/>
            <w:shd w:val="clear" w:color="auto" w:fill="FFFFFF" w:themeFill="background1"/>
            <w:vAlign w:val="center"/>
          </w:tcPr>
          <w:p w:rsidR="001B3F25" w:rsidRDefault="001B3F25" w:rsidP="006D0410">
            <w:pPr>
              <w:jc w:val="left"/>
              <w:rPr>
                <w:rFonts w:cs="Arial"/>
                <w:szCs w:val="20"/>
              </w:rPr>
            </w:pPr>
            <w:r>
              <w:rPr>
                <w:rFonts w:cs="Arial"/>
                <w:szCs w:val="20"/>
              </w:rPr>
              <w:t>340</w:t>
            </w:r>
          </w:p>
        </w:tc>
        <w:tc>
          <w:tcPr>
            <w:tcW w:w="7379" w:type="dxa"/>
            <w:gridSpan w:val="2"/>
            <w:shd w:val="clear" w:color="auto" w:fill="FFFFFF" w:themeFill="background1"/>
          </w:tcPr>
          <w:p w:rsidR="001B3F25" w:rsidRPr="0089032B" w:rsidRDefault="001B3F25" w:rsidP="00267206">
            <w:pPr>
              <w:pStyle w:val="InstructionsText"/>
              <w:rPr>
                <w:rStyle w:val="InstructionsTabelleberschrift"/>
              </w:rPr>
            </w:pPr>
            <w:r w:rsidRPr="0089032B">
              <w:rPr>
                <w:rStyle w:val="InstructionsTabelleberschrift"/>
              </w:rPr>
              <w:t>1.13.1 credit quality step 1</w:t>
            </w:r>
          </w:p>
          <w:p w:rsidR="001B3F25" w:rsidRPr="0089032B" w:rsidRDefault="001B3F25" w:rsidP="00267206">
            <w:pPr>
              <w:pStyle w:val="InstructionsText"/>
              <w:rPr>
                <w:rStyle w:val="InstructionsTabelleberschrift"/>
                <w:u w:val="none"/>
              </w:rPr>
            </w:pPr>
          </w:p>
          <w:p w:rsidR="001B3F25" w:rsidRPr="0089032B" w:rsidRDefault="001B3F25" w:rsidP="00267206">
            <w:pPr>
              <w:pStyle w:val="InstructionsText"/>
              <w:rPr>
                <w:rStyle w:val="InstructionsTabelleberschrift"/>
              </w:rPr>
            </w:pPr>
          </w:p>
        </w:tc>
      </w:tr>
      <w:tr w:rsidR="001B3F25" w:rsidRPr="00B37090" w:rsidTr="001B3F25">
        <w:tc>
          <w:tcPr>
            <w:tcW w:w="695" w:type="dxa"/>
            <w:shd w:val="clear" w:color="auto" w:fill="FFFFFF" w:themeFill="background1"/>
            <w:vAlign w:val="center"/>
          </w:tcPr>
          <w:p w:rsidR="001B3F25" w:rsidRDefault="001B3F25" w:rsidP="006D0410">
            <w:pPr>
              <w:jc w:val="left"/>
              <w:rPr>
                <w:rFonts w:cs="Arial"/>
                <w:szCs w:val="20"/>
              </w:rPr>
            </w:pPr>
            <w:r>
              <w:rPr>
                <w:rFonts w:cs="Arial"/>
                <w:szCs w:val="20"/>
              </w:rPr>
              <w:lastRenderedPageBreak/>
              <w:t>350</w:t>
            </w:r>
          </w:p>
        </w:tc>
        <w:tc>
          <w:tcPr>
            <w:tcW w:w="7379" w:type="dxa"/>
            <w:gridSpan w:val="2"/>
            <w:shd w:val="clear" w:color="auto" w:fill="FFFFFF" w:themeFill="background1"/>
          </w:tcPr>
          <w:p w:rsidR="001B3F25" w:rsidRPr="0089032B" w:rsidRDefault="001B3F25" w:rsidP="00267206">
            <w:pPr>
              <w:pStyle w:val="InstructionsText"/>
              <w:rPr>
                <w:rStyle w:val="InstructionsTabelleberschrift"/>
              </w:rPr>
            </w:pPr>
            <w:r w:rsidRPr="0089032B">
              <w:rPr>
                <w:rStyle w:val="InstructionsTabelleberschrift"/>
              </w:rPr>
              <w:t>1.13.2 credit quality step 2</w:t>
            </w:r>
          </w:p>
          <w:p w:rsidR="001B3F25" w:rsidRPr="0089032B" w:rsidRDefault="001B3F25" w:rsidP="00267206">
            <w:pPr>
              <w:pStyle w:val="InstructionsText"/>
              <w:rPr>
                <w:rStyle w:val="InstructionsTabelleberschrift"/>
                <w:u w:val="none"/>
              </w:rPr>
            </w:pPr>
          </w:p>
          <w:p w:rsidR="001B3F25" w:rsidRPr="0089032B" w:rsidRDefault="001B3F25" w:rsidP="00267206">
            <w:pPr>
              <w:pStyle w:val="InstructionsText"/>
              <w:rPr>
                <w:rStyle w:val="InstructionsTabelleberschrift"/>
              </w:rPr>
            </w:pPr>
          </w:p>
        </w:tc>
      </w:tr>
      <w:tr w:rsidR="001B3F25" w:rsidRPr="00B37090" w:rsidTr="001B3F25">
        <w:tc>
          <w:tcPr>
            <w:tcW w:w="695" w:type="dxa"/>
            <w:shd w:val="clear" w:color="auto" w:fill="FFFFFF" w:themeFill="background1"/>
            <w:vAlign w:val="center"/>
          </w:tcPr>
          <w:p w:rsidR="001B3F25" w:rsidRDefault="001B3F25" w:rsidP="006D0410">
            <w:pPr>
              <w:jc w:val="left"/>
              <w:rPr>
                <w:rFonts w:cs="Arial"/>
                <w:szCs w:val="20"/>
              </w:rPr>
            </w:pPr>
            <w:r>
              <w:rPr>
                <w:rFonts w:cs="Arial"/>
                <w:szCs w:val="20"/>
              </w:rPr>
              <w:t>360</w:t>
            </w:r>
          </w:p>
        </w:tc>
        <w:tc>
          <w:tcPr>
            <w:tcW w:w="7379" w:type="dxa"/>
            <w:gridSpan w:val="2"/>
            <w:shd w:val="clear" w:color="auto" w:fill="FFFFFF" w:themeFill="background1"/>
          </w:tcPr>
          <w:p w:rsidR="001B3F25" w:rsidRPr="0089032B" w:rsidRDefault="001B3F25" w:rsidP="00267206">
            <w:pPr>
              <w:pStyle w:val="InstructionsText"/>
              <w:rPr>
                <w:rStyle w:val="InstructionsTabelleberschrift"/>
              </w:rPr>
            </w:pPr>
            <w:r w:rsidRPr="0089032B">
              <w:rPr>
                <w:rStyle w:val="InstructionsTabelleberschrift"/>
              </w:rPr>
              <w:t>1.13.3 credit quality step 3</w:t>
            </w:r>
          </w:p>
          <w:p w:rsidR="001B3F25" w:rsidRPr="0089032B" w:rsidRDefault="001B3F25" w:rsidP="00267206">
            <w:pPr>
              <w:pStyle w:val="InstructionsText"/>
              <w:rPr>
                <w:rStyle w:val="InstructionsTabelleberschrift"/>
                <w:u w:val="none"/>
              </w:rPr>
            </w:pPr>
          </w:p>
          <w:p w:rsidR="001B3F25" w:rsidRPr="0089032B" w:rsidRDefault="001B3F25" w:rsidP="00267206">
            <w:pPr>
              <w:pStyle w:val="InstructionsText"/>
              <w:rPr>
                <w:rStyle w:val="InstructionsTabelleberschrift"/>
              </w:rPr>
            </w:pPr>
          </w:p>
        </w:tc>
      </w:tr>
      <w:tr w:rsidR="001B3F25" w:rsidRPr="00B37090" w:rsidTr="001B3F25">
        <w:tc>
          <w:tcPr>
            <w:tcW w:w="695" w:type="dxa"/>
            <w:shd w:val="clear" w:color="auto" w:fill="FFFFFF" w:themeFill="background1"/>
            <w:vAlign w:val="center"/>
          </w:tcPr>
          <w:p w:rsidR="001B3F25" w:rsidRPr="006D0410" w:rsidRDefault="001B3F25" w:rsidP="006D0410">
            <w:pPr>
              <w:jc w:val="left"/>
              <w:rPr>
                <w:rFonts w:cs="Arial"/>
                <w:szCs w:val="20"/>
              </w:rPr>
            </w:pPr>
          </w:p>
        </w:tc>
        <w:tc>
          <w:tcPr>
            <w:tcW w:w="7379" w:type="dxa"/>
            <w:gridSpan w:val="2"/>
            <w:shd w:val="clear" w:color="auto" w:fill="FFFFFF" w:themeFill="background1"/>
          </w:tcPr>
          <w:p w:rsidR="001B3F25" w:rsidRPr="0089032B" w:rsidRDefault="001B3F25" w:rsidP="00267206">
            <w:pPr>
              <w:pStyle w:val="InstructionsText"/>
              <w:rPr>
                <w:rStyle w:val="InstructionsTabelleberschrift"/>
              </w:rPr>
            </w:pPr>
            <w:r w:rsidRPr="0089032B">
              <w:rPr>
                <w:rStyle w:val="InstructionsTabelleberschrift"/>
              </w:rPr>
              <w:t>1.14 Other transferable assets that are of high liquidity and credit quality</w:t>
            </w:r>
          </w:p>
          <w:p w:rsidR="001B3F25" w:rsidRPr="00793E94" w:rsidRDefault="001B3F25" w:rsidP="00267206">
            <w:pPr>
              <w:pStyle w:val="InstructionsText"/>
              <w:rPr>
                <w:rStyle w:val="FormatvorlageInstructionsTabelleText"/>
              </w:rPr>
            </w:pPr>
          </w:p>
          <w:p w:rsidR="001B3F25" w:rsidRPr="009D67FE" w:rsidRDefault="001B3F25" w:rsidP="00267206">
            <w:pPr>
              <w:pStyle w:val="InstructionsText"/>
              <w:rPr>
                <w:rStyle w:val="FormatvorlageInstructionsTabelleText"/>
              </w:rPr>
            </w:pPr>
            <w:r w:rsidRPr="009D67FE">
              <w:rPr>
                <w:rStyle w:val="FormatvorlageInstructionsTabelleText"/>
              </w:rPr>
              <w:t xml:space="preserve">Article 416.1(d) of </w:t>
            </w:r>
            <w:r w:rsidR="007655D4">
              <w:rPr>
                <w:rStyle w:val="FormatvorlageInstructionsTabelleText"/>
              </w:rPr>
              <w:t>REGULATION (EU) NO 575/2013</w:t>
            </w:r>
          </w:p>
          <w:p w:rsidR="001B3F25" w:rsidRPr="009D67FE" w:rsidRDefault="001B3F25" w:rsidP="00267206">
            <w:pPr>
              <w:pStyle w:val="InstructionsText"/>
              <w:rPr>
                <w:rStyle w:val="InstructionsTabelleberschrift"/>
                <w:b w:val="0"/>
                <w:szCs w:val="24"/>
                <w:u w:val="none"/>
                <w:lang w:val="en-GB" w:eastAsia="en-US"/>
              </w:rPr>
            </w:pPr>
          </w:p>
          <w:p w:rsidR="001B3F25" w:rsidRPr="009D67FE" w:rsidRDefault="001B3F25" w:rsidP="00267206">
            <w:pPr>
              <w:pStyle w:val="InstructionsText"/>
              <w:rPr>
                <w:rStyle w:val="FormatvorlageInstructionsTabelleText"/>
                <w:szCs w:val="24"/>
                <w:lang w:val="en-GB" w:eastAsia="en-US"/>
              </w:rPr>
            </w:pPr>
            <w:r w:rsidRPr="009D67FE">
              <w:rPr>
                <w:rStyle w:val="InstructionsTabelleberschrift"/>
                <w:b w:val="0"/>
                <w:u w:val="none"/>
              </w:rPr>
              <w:t xml:space="preserve">Those items shall be reported according to their credit quality as per Chapter 2,Title 2, Part III of </w:t>
            </w:r>
            <w:r w:rsidR="007655D4">
              <w:rPr>
                <w:rStyle w:val="InstructionsTabelleberschrift"/>
                <w:b w:val="0"/>
                <w:u w:val="none"/>
              </w:rPr>
              <w:t>REGULATION (EU) NO 575/2013</w:t>
            </w:r>
          </w:p>
          <w:p w:rsidR="001B3F25" w:rsidRPr="009D67FE" w:rsidRDefault="001B3F25" w:rsidP="00267206">
            <w:pPr>
              <w:pStyle w:val="InstructionsText"/>
              <w:rPr>
                <w:rStyle w:val="FormatvorlageInstructionsTabelleText"/>
              </w:rPr>
            </w:pPr>
          </w:p>
          <w:p w:rsidR="001B3F25" w:rsidRPr="009D67FE" w:rsidRDefault="001B3F25" w:rsidP="00267206">
            <w:pPr>
              <w:pStyle w:val="InstructionsText"/>
              <w:rPr>
                <w:rStyle w:val="FormatvorlageInstructionsTabelleText"/>
                <w:szCs w:val="24"/>
                <w:lang w:val="en-GB" w:eastAsia="en-US"/>
              </w:rPr>
            </w:pPr>
            <w:r w:rsidRPr="009D67FE">
              <w:rPr>
                <w:rStyle w:val="FormatvorlageInstructionsTabelleText"/>
              </w:rPr>
              <w:t>Only items that are not specified in the rows above shall be reported here.</w:t>
            </w:r>
          </w:p>
          <w:p w:rsidR="001B3F25" w:rsidRDefault="001B3F25" w:rsidP="00267206">
            <w:pPr>
              <w:pStyle w:val="InstructionsText"/>
              <w:rPr>
                <w:rStyle w:val="InstructionsTabelleberschrift"/>
                <w:szCs w:val="24"/>
                <w:lang w:val="en-GB" w:eastAsia="en-US"/>
              </w:rPr>
            </w:pPr>
          </w:p>
          <w:p w:rsidR="001B3F25" w:rsidRDefault="001B3F25" w:rsidP="00267206">
            <w:pPr>
              <w:pStyle w:val="InstructionsText"/>
              <w:rPr>
                <w:rStyle w:val="InstructionsTabelleberschrift"/>
                <w:szCs w:val="24"/>
                <w:lang w:val="en-GB" w:eastAsia="en-US"/>
              </w:rPr>
            </w:pPr>
          </w:p>
        </w:tc>
      </w:tr>
      <w:tr w:rsidR="001B3F25" w:rsidRPr="00B37090" w:rsidTr="001B3F25">
        <w:tc>
          <w:tcPr>
            <w:tcW w:w="695" w:type="dxa"/>
            <w:shd w:val="clear" w:color="auto" w:fill="FFFFFF" w:themeFill="background1"/>
            <w:vAlign w:val="center"/>
          </w:tcPr>
          <w:p w:rsidR="001B3F25" w:rsidRDefault="001B3F25" w:rsidP="006D0410">
            <w:pPr>
              <w:jc w:val="left"/>
              <w:rPr>
                <w:rFonts w:cs="Arial"/>
                <w:szCs w:val="20"/>
              </w:rPr>
            </w:pPr>
            <w:r>
              <w:rPr>
                <w:rFonts w:cs="Arial"/>
                <w:szCs w:val="20"/>
              </w:rPr>
              <w:t>370</w:t>
            </w:r>
          </w:p>
        </w:tc>
        <w:tc>
          <w:tcPr>
            <w:tcW w:w="7379" w:type="dxa"/>
            <w:gridSpan w:val="2"/>
            <w:shd w:val="clear" w:color="auto" w:fill="FFFFFF" w:themeFill="background1"/>
          </w:tcPr>
          <w:p w:rsidR="001B3F25" w:rsidRPr="0089032B" w:rsidRDefault="001B3F25" w:rsidP="00267206">
            <w:pPr>
              <w:pStyle w:val="InstructionsText"/>
              <w:rPr>
                <w:rStyle w:val="InstructionsTabelleberschrift"/>
              </w:rPr>
            </w:pPr>
            <w:r w:rsidRPr="0089032B">
              <w:rPr>
                <w:rStyle w:val="InstructionsTabelleberschrift"/>
              </w:rPr>
              <w:t>1.14.1 credit quality step 1</w:t>
            </w:r>
          </w:p>
          <w:p w:rsidR="001B3F25" w:rsidRPr="0089032B" w:rsidRDefault="001B3F25" w:rsidP="00267206">
            <w:pPr>
              <w:pStyle w:val="InstructionsText"/>
              <w:rPr>
                <w:rStyle w:val="InstructionsTabelleberschrift"/>
                <w:u w:val="none"/>
              </w:rPr>
            </w:pPr>
          </w:p>
          <w:p w:rsidR="001B3F25" w:rsidRPr="0089032B" w:rsidRDefault="001B3F25" w:rsidP="00267206">
            <w:pPr>
              <w:pStyle w:val="InstructionsText"/>
              <w:rPr>
                <w:rStyle w:val="InstructionsTabelleberschrift"/>
              </w:rPr>
            </w:pPr>
          </w:p>
        </w:tc>
      </w:tr>
      <w:tr w:rsidR="001B3F25" w:rsidRPr="00B37090" w:rsidTr="001B3F25">
        <w:tc>
          <w:tcPr>
            <w:tcW w:w="695" w:type="dxa"/>
            <w:shd w:val="clear" w:color="auto" w:fill="FFFFFF" w:themeFill="background1"/>
            <w:vAlign w:val="center"/>
          </w:tcPr>
          <w:p w:rsidR="001B3F25" w:rsidRDefault="001B3F25" w:rsidP="006D0410">
            <w:pPr>
              <w:jc w:val="left"/>
              <w:rPr>
                <w:rFonts w:cs="Arial"/>
                <w:szCs w:val="20"/>
              </w:rPr>
            </w:pPr>
            <w:r>
              <w:rPr>
                <w:rFonts w:cs="Arial"/>
                <w:szCs w:val="20"/>
              </w:rPr>
              <w:t>380</w:t>
            </w:r>
          </w:p>
        </w:tc>
        <w:tc>
          <w:tcPr>
            <w:tcW w:w="7379" w:type="dxa"/>
            <w:gridSpan w:val="2"/>
            <w:shd w:val="clear" w:color="auto" w:fill="FFFFFF" w:themeFill="background1"/>
          </w:tcPr>
          <w:p w:rsidR="001B3F25" w:rsidRPr="0089032B" w:rsidRDefault="001B3F25" w:rsidP="00267206">
            <w:pPr>
              <w:pStyle w:val="InstructionsText"/>
              <w:rPr>
                <w:rStyle w:val="InstructionsTabelleberschrift"/>
              </w:rPr>
            </w:pPr>
            <w:r w:rsidRPr="0089032B">
              <w:rPr>
                <w:rStyle w:val="InstructionsTabelleberschrift"/>
              </w:rPr>
              <w:t>1.14.2 credit quality step 2</w:t>
            </w:r>
          </w:p>
          <w:p w:rsidR="001B3F25" w:rsidRPr="0089032B" w:rsidRDefault="001B3F25" w:rsidP="00267206">
            <w:pPr>
              <w:pStyle w:val="InstructionsText"/>
              <w:rPr>
                <w:rStyle w:val="InstructionsTabelleberschrift"/>
                <w:u w:val="none"/>
              </w:rPr>
            </w:pPr>
          </w:p>
          <w:p w:rsidR="001B3F25" w:rsidRPr="0089032B" w:rsidRDefault="001B3F25" w:rsidP="00267206">
            <w:pPr>
              <w:pStyle w:val="InstructionsText"/>
              <w:rPr>
                <w:rStyle w:val="InstructionsTabelleberschrift"/>
              </w:rPr>
            </w:pPr>
          </w:p>
        </w:tc>
      </w:tr>
      <w:tr w:rsidR="001B3F25" w:rsidRPr="00B37090" w:rsidTr="001B3F25">
        <w:tc>
          <w:tcPr>
            <w:tcW w:w="695" w:type="dxa"/>
            <w:shd w:val="clear" w:color="auto" w:fill="FFFFFF" w:themeFill="background1"/>
            <w:vAlign w:val="center"/>
          </w:tcPr>
          <w:p w:rsidR="001B3F25" w:rsidRDefault="001B3F25" w:rsidP="006D0410">
            <w:pPr>
              <w:jc w:val="left"/>
              <w:rPr>
                <w:rFonts w:cs="Arial"/>
                <w:szCs w:val="20"/>
              </w:rPr>
            </w:pPr>
            <w:r>
              <w:rPr>
                <w:rFonts w:cs="Arial"/>
                <w:szCs w:val="20"/>
              </w:rPr>
              <w:t>390</w:t>
            </w:r>
          </w:p>
        </w:tc>
        <w:tc>
          <w:tcPr>
            <w:tcW w:w="7379" w:type="dxa"/>
            <w:gridSpan w:val="2"/>
            <w:shd w:val="clear" w:color="auto" w:fill="FFFFFF" w:themeFill="background1"/>
          </w:tcPr>
          <w:p w:rsidR="001B3F25" w:rsidRPr="0089032B" w:rsidRDefault="001B3F25" w:rsidP="00267206">
            <w:pPr>
              <w:pStyle w:val="InstructionsText"/>
              <w:rPr>
                <w:rStyle w:val="InstructionsTabelleberschrift"/>
              </w:rPr>
            </w:pPr>
            <w:r w:rsidRPr="0089032B">
              <w:rPr>
                <w:rStyle w:val="InstructionsTabelleberschrift"/>
              </w:rPr>
              <w:t>1.14.3 credit quality step 3</w:t>
            </w:r>
          </w:p>
          <w:p w:rsidR="001B3F25" w:rsidRPr="0089032B" w:rsidRDefault="001B3F25" w:rsidP="00267206">
            <w:pPr>
              <w:pStyle w:val="InstructionsText"/>
              <w:rPr>
                <w:rStyle w:val="InstructionsTabelleberschrift"/>
                <w:u w:val="none"/>
              </w:rPr>
            </w:pPr>
          </w:p>
          <w:p w:rsidR="001B3F25" w:rsidRPr="0089032B" w:rsidRDefault="001B3F25" w:rsidP="00267206">
            <w:pPr>
              <w:pStyle w:val="InstructionsText"/>
              <w:rPr>
                <w:rStyle w:val="InstructionsTabelleberschrift"/>
              </w:rPr>
            </w:pPr>
          </w:p>
        </w:tc>
      </w:tr>
      <w:tr w:rsidR="001B3F25" w:rsidRPr="00B37090" w:rsidTr="001B3F25">
        <w:tc>
          <w:tcPr>
            <w:tcW w:w="703" w:type="dxa"/>
            <w:gridSpan w:val="2"/>
            <w:shd w:val="clear" w:color="auto" w:fill="E6E6E6"/>
            <w:vAlign w:val="bottom"/>
          </w:tcPr>
          <w:p w:rsidR="001B3F25" w:rsidRPr="00267206" w:rsidRDefault="001B3F25" w:rsidP="00267206">
            <w:pPr>
              <w:pStyle w:val="InstructionsText"/>
              <w:rPr>
                <w:rStyle w:val="FormatvorlageInstructionsTabelleText"/>
                <w:b/>
              </w:rPr>
            </w:pPr>
            <w:r w:rsidRPr="00267206">
              <w:rPr>
                <w:rStyle w:val="FormatvorlageInstructionsTabelleText"/>
              </w:rPr>
              <w:t>400-410</w:t>
            </w:r>
          </w:p>
        </w:tc>
        <w:tc>
          <w:tcPr>
            <w:tcW w:w="7371" w:type="dxa"/>
            <w:shd w:val="clear" w:color="auto" w:fill="E6E6E6"/>
            <w:vAlign w:val="bottom"/>
          </w:tcPr>
          <w:p w:rsidR="001B3F25" w:rsidRPr="009D67FE" w:rsidRDefault="001B3F25" w:rsidP="00267206">
            <w:pPr>
              <w:pStyle w:val="InstructionsText"/>
              <w:rPr>
                <w:rStyle w:val="FormatvorlageInstructionsTabelleText"/>
                <w:b/>
              </w:rPr>
            </w:pPr>
            <w:r w:rsidRPr="009D67FE">
              <w:rPr>
                <w:rStyle w:val="FormatvorlageInstructionsTabelleText"/>
                <w:b/>
                <w:u w:val="single"/>
              </w:rPr>
              <w:t xml:space="preserve">2. ASSETS MEETING THE REQUIREMENTS OF ARTICLE 416 (1) (b) and (d) BUT DO NOT MEET THE REQUIREMENTS OF ARTICLE 417 (b) AND (c) </w:t>
            </w:r>
            <w:r w:rsidR="007655D4">
              <w:rPr>
                <w:rStyle w:val="FormatvorlageInstructionsTabelleText"/>
                <w:b/>
                <w:u w:val="single"/>
              </w:rPr>
              <w:t>REGULATION (EU) NO 575/2013</w:t>
            </w:r>
          </w:p>
          <w:p w:rsidR="00267206" w:rsidRDefault="00267206" w:rsidP="00267206">
            <w:pPr>
              <w:pStyle w:val="InstructionsText"/>
              <w:rPr>
                <w:rStyle w:val="FormatvorlageInstructionsTabelleText"/>
              </w:rPr>
            </w:pPr>
          </w:p>
          <w:p w:rsidR="001B3F25" w:rsidRPr="00267206" w:rsidRDefault="00267206" w:rsidP="00267206">
            <w:pPr>
              <w:pStyle w:val="InstructionsText"/>
              <w:rPr>
                <w:rStyle w:val="FormatvorlageInstructionsTabelleText"/>
              </w:rPr>
            </w:pPr>
            <w:r w:rsidRPr="00267206">
              <w:rPr>
                <w:rStyle w:val="FormatvorlageInstructionsTabelleText"/>
              </w:rPr>
              <w:t>Items shall only be reported in one of the below sub-categories, also in case both provisions are not met.</w:t>
            </w:r>
          </w:p>
          <w:p w:rsidR="00267206" w:rsidRDefault="00267206" w:rsidP="00961001">
            <w:pPr>
              <w:jc w:val="right"/>
              <w:rPr>
                <w:rFonts w:ascii="Arial" w:hAnsi="Arial" w:cs="Arial"/>
                <w:szCs w:val="20"/>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6D0410">
            <w:pPr>
              <w:jc w:val="left"/>
              <w:rPr>
                <w:rFonts w:cs="Arial"/>
                <w:szCs w:val="20"/>
              </w:rPr>
            </w:pPr>
            <w:r>
              <w:rPr>
                <w:rFonts w:cs="Arial"/>
                <w:szCs w:val="20"/>
              </w:rPr>
              <w:t>400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Pr="00B37090" w:rsidRDefault="001B3F25" w:rsidP="009B4BD1">
            <w:pPr>
              <w:spacing w:before="0" w:after="0"/>
              <w:jc w:val="left"/>
              <w:rPr>
                <w:rStyle w:val="InstructionsTabelleberschrift"/>
                <w:szCs w:val="17"/>
                <w:lang w:eastAsia="de-DE"/>
              </w:rPr>
            </w:pPr>
            <w:r w:rsidRPr="00B37090">
              <w:rPr>
                <w:rStyle w:val="InstructionsTabelleberschrift"/>
                <w:szCs w:val="17"/>
                <w:lang w:eastAsia="de-DE"/>
              </w:rPr>
              <w:t xml:space="preserve">2.1 </w:t>
            </w:r>
            <w:r>
              <w:rPr>
                <w:rStyle w:val="InstructionsTabelleberschrift"/>
                <w:szCs w:val="17"/>
                <w:lang w:eastAsia="de-DE"/>
              </w:rPr>
              <w:t>A</w:t>
            </w:r>
            <w:r w:rsidRPr="00B37090">
              <w:rPr>
                <w:rStyle w:val="InstructionsTabelleberschrift"/>
                <w:szCs w:val="17"/>
                <w:lang w:eastAsia="de-DE"/>
              </w:rPr>
              <w:t>ssets not controlled by a liquidity management function</w:t>
            </w:r>
          </w:p>
          <w:p w:rsidR="001B3F25" w:rsidRPr="00B37090" w:rsidRDefault="001B3F25" w:rsidP="009B4BD1">
            <w:pPr>
              <w:spacing w:before="0" w:after="0"/>
              <w:jc w:val="left"/>
              <w:rPr>
                <w:rStyle w:val="InstructionsTabelleberschrift"/>
                <w:szCs w:val="17"/>
                <w:lang w:eastAsia="de-DE"/>
              </w:rPr>
            </w:pPr>
          </w:p>
          <w:p w:rsidR="001B3F25" w:rsidRPr="0089032B" w:rsidRDefault="001B3F25" w:rsidP="00267206">
            <w:pPr>
              <w:pStyle w:val="InstructionsText"/>
              <w:rPr>
                <w:rStyle w:val="FormatvorlageInstructionsTabelleText"/>
              </w:rPr>
            </w:pPr>
            <w:r w:rsidRPr="0089032B">
              <w:rPr>
                <w:rStyle w:val="FormatvorlageInstructionsTabelleText"/>
              </w:rPr>
              <w:t xml:space="preserve">Article 417(c) of </w:t>
            </w:r>
            <w:r w:rsidR="007655D4">
              <w:rPr>
                <w:rStyle w:val="FormatvorlageInstructionsTabelleText"/>
              </w:rPr>
              <w:t>REGULATION (EU) NO 575/2013</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6D0410">
            <w:pPr>
              <w:jc w:val="left"/>
              <w:rPr>
                <w:rFonts w:cs="Arial"/>
                <w:szCs w:val="20"/>
              </w:rPr>
            </w:pPr>
            <w:r>
              <w:rPr>
                <w:rFonts w:cs="Arial"/>
                <w:szCs w:val="20"/>
              </w:rPr>
              <w:t>410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Pr="00B37090" w:rsidRDefault="001B3F25" w:rsidP="009B4BD1">
            <w:pPr>
              <w:spacing w:before="0" w:after="0"/>
              <w:jc w:val="left"/>
              <w:rPr>
                <w:rStyle w:val="InstructionsTabelleberschrift"/>
                <w:szCs w:val="17"/>
                <w:lang w:eastAsia="de-DE"/>
              </w:rPr>
            </w:pPr>
            <w:r w:rsidRPr="00B37090">
              <w:rPr>
                <w:rStyle w:val="InstructionsTabelleberschrift"/>
                <w:szCs w:val="17"/>
                <w:lang w:eastAsia="de-DE"/>
              </w:rPr>
              <w:t xml:space="preserve">2.2 </w:t>
            </w:r>
            <w:r w:rsidRPr="00CA3217">
              <w:rPr>
                <w:rStyle w:val="InstructionsTabelleberschrift"/>
                <w:szCs w:val="17"/>
                <w:lang w:eastAsia="de-DE"/>
              </w:rPr>
              <w:t>assets not legally and practically readily available at any time during the next 30 days to be liquidated via outright sale via a simple repurchase agreements on an approved repurchase markets</w:t>
            </w:r>
          </w:p>
          <w:p w:rsidR="001B3F25" w:rsidRDefault="001B3F25" w:rsidP="00267206">
            <w:pPr>
              <w:pStyle w:val="InstructionsText"/>
              <w:rPr>
                <w:rStyle w:val="FormatvorlageInstructionsTabelleText"/>
              </w:rPr>
            </w:pPr>
          </w:p>
          <w:p w:rsidR="001B3F25" w:rsidRPr="009D67FE" w:rsidRDefault="001B3F25" w:rsidP="00267206">
            <w:pPr>
              <w:pStyle w:val="InstructionsText"/>
              <w:rPr>
                <w:rStyle w:val="FormatvorlageInstructionsTabelleText"/>
              </w:rPr>
            </w:pPr>
            <w:r w:rsidRPr="009D67FE">
              <w:rPr>
                <w:rStyle w:val="FormatvorlageInstructionsTabelleText"/>
              </w:rPr>
              <w:t xml:space="preserve">Article 417(b) of </w:t>
            </w:r>
            <w:r w:rsidR="007655D4">
              <w:rPr>
                <w:rStyle w:val="FormatvorlageInstructionsTabelleText"/>
              </w:rPr>
              <w:t>REGULATION (EU) NO 575/2013</w:t>
            </w:r>
          </w:p>
          <w:p w:rsidR="001B3F25" w:rsidRDefault="001B3F25" w:rsidP="00267206">
            <w:pPr>
              <w:pStyle w:val="InstructionsText"/>
              <w:rPr>
                <w:rStyle w:val="FormatvorlageInstructionsTabelleText"/>
              </w:rPr>
            </w:pPr>
          </w:p>
          <w:p w:rsidR="001B3F25" w:rsidRDefault="001B3F25" w:rsidP="00267206">
            <w:pPr>
              <w:pStyle w:val="InstructionsText"/>
              <w:rPr>
                <w:rStyle w:val="InstructionsTabelleberschrift"/>
              </w:rPr>
            </w:pPr>
          </w:p>
        </w:tc>
      </w:tr>
      <w:tr w:rsidR="001B3F25" w:rsidRPr="00B37090" w:rsidTr="001B3F25">
        <w:tc>
          <w:tcPr>
            <w:tcW w:w="70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B3F25" w:rsidRPr="009D67FE" w:rsidRDefault="001B3F25" w:rsidP="00267206">
            <w:pPr>
              <w:pStyle w:val="InstructionsText"/>
              <w:rPr>
                <w:rStyle w:val="FormatvorlageInstructionsTabelleText"/>
              </w:rPr>
            </w:pPr>
            <w:r w:rsidRPr="009D67FE">
              <w:rPr>
                <w:rStyle w:val="FormatvorlageInstructionsTabelleText"/>
              </w:rPr>
              <w:t>420-610</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B3F25" w:rsidRPr="009D67FE" w:rsidRDefault="001B3F25" w:rsidP="009D67FE">
            <w:pPr>
              <w:pStyle w:val="ListParagraph"/>
              <w:numPr>
                <w:ilvl w:val="0"/>
                <w:numId w:val="3"/>
              </w:numPr>
              <w:spacing w:before="0" w:after="0"/>
              <w:jc w:val="left"/>
              <w:rPr>
                <w:rStyle w:val="InstructionsTabelleberschrift"/>
                <w:szCs w:val="17"/>
                <w:lang w:eastAsia="de-DE"/>
              </w:rPr>
            </w:pPr>
            <w:r w:rsidRPr="009D67FE">
              <w:rPr>
                <w:rStyle w:val="InstructionsTabelleberschrift"/>
                <w:szCs w:val="17"/>
                <w:lang w:eastAsia="de-DE"/>
              </w:rPr>
              <w:t>Items subject to supplementary reporting of liquid assets</w:t>
            </w:r>
          </w:p>
          <w:p w:rsidR="001B3F25" w:rsidRDefault="001B3F25" w:rsidP="00382040">
            <w:pPr>
              <w:spacing w:before="0" w:after="0"/>
              <w:rPr>
                <w:rFonts w:cs="Arial"/>
                <w:b/>
                <w:szCs w:val="20"/>
                <w:u w:val="single"/>
              </w:rPr>
            </w:pPr>
          </w:p>
          <w:p w:rsidR="001B3F25" w:rsidRPr="009D67FE" w:rsidRDefault="001B3F25" w:rsidP="00267206">
            <w:pPr>
              <w:pStyle w:val="InstructionsText"/>
              <w:rPr>
                <w:rStyle w:val="FormatvorlageInstructionsTabelleText"/>
              </w:rPr>
            </w:pPr>
            <w:r w:rsidRPr="009D67FE">
              <w:rPr>
                <w:rStyle w:val="FormatvorlageInstructionsTabelleText"/>
              </w:rPr>
              <w:t xml:space="preserve">Institutions shall only report assets subject to supplementary reporting of liquid assets in accordance with Annex III </w:t>
            </w:r>
            <w:r w:rsidR="007655D4">
              <w:rPr>
                <w:rStyle w:val="FormatvorlageInstructionsTabelleText"/>
              </w:rPr>
              <w:t>REGULATION (EU) NO 575/2013</w:t>
            </w:r>
            <w:r w:rsidRPr="009D67FE">
              <w:rPr>
                <w:rStyle w:val="FormatvorlageInstructionsTabelleText"/>
              </w:rPr>
              <w:t>. All items, with the exception of those referred to in sections 3.1, 3.2 and 3.9, must satisfy the conditions as set out in the last paragraph of that Annex.</w:t>
            </w:r>
          </w:p>
          <w:p w:rsidR="001B3F25" w:rsidRPr="005D6CE3" w:rsidRDefault="001B3F25" w:rsidP="005D6CE3">
            <w:pPr>
              <w:spacing w:before="0" w:after="0"/>
              <w:rPr>
                <w:rFonts w:cs="Arial"/>
                <w:szCs w:val="20"/>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B3F25" w:rsidRPr="00121B71" w:rsidRDefault="001B3F25" w:rsidP="00CA3217">
            <w:pPr>
              <w:rPr>
                <w:rFonts w:cs="Arial"/>
                <w:szCs w:val="20"/>
              </w:rPr>
            </w:pPr>
            <w:r w:rsidRPr="00121B71">
              <w:rPr>
                <w:rFonts w:cs="Arial"/>
                <w:szCs w:val="20"/>
              </w:rPr>
              <w:t>420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B3F25" w:rsidRDefault="001B3F25" w:rsidP="00267206">
            <w:pPr>
              <w:pStyle w:val="InstructionsText"/>
              <w:rPr>
                <w:rStyle w:val="InstructionsTabelleberschrift"/>
              </w:rPr>
            </w:pPr>
            <w:r>
              <w:rPr>
                <w:rStyle w:val="InstructionsTabelleberschrift"/>
              </w:rPr>
              <w:t>3</w:t>
            </w:r>
            <w:r w:rsidRPr="00B37090">
              <w:rPr>
                <w:rStyle w:val="InstructionsTabelleberschrift"/>
              </w:rPr>
              <w:t xml:space="preserve">.1 </w:t>
            </w:r>
            <w:r>
              <w:rPr>
                <w:rStyle w:val="InstructionsTabelleberschrift"/>
              </w:rPr>
              <w:t>C</w:t>
            </w:r>
            <w:r w:rsidRPr="00B37090">
              <w:rPr>
                <w:rStyle w:val="InstructionsTabelleberschrift"/>
              </w:rPr>
              <w:t>ash</w:t>
            </w:r>
          </w:p>
          <w:p w:rsidR="001B3F25" w:rsidRDefault="001B3F25" w:rsidP="00267206">
            <w:pPr>
              <w:pStyle w:val="InstructionsText"/>
              <w:rPr>
                <w:rStyle w:val="FormatvorlageInstructionsTabelleText"/>
                <w:szCs w:val="24"/>
                <w:lang w:val="en-GB" w:eastAsia="en-US"/>
              </w:rPr>
            </w:pPr>
          </w:p>
          <w:p w:rsidR="001B3F25" w:rsidRPr="009D67FE" w:rsidRDefault="001B3F25" w:rsidP="00267206">
            <w:pPr>
              <w:pStyle w:val="InstructionsText"/>
              <w:rPr>
                <w:rStyle w:val="FormatvorlageInstructionsTabelleText"/>
                <w:szCs w:val="24"/>
                <w:lang w:val="en-GB" w:eastAsia="en-US"/>
              </w:rPr>
            </w:pPr>
            <w:r w:rsidRPr="00111142">
              <w:rPr>
                <w:rStyle w:val="FormatvorlageInstructionsTabelleText"/>
              </w:rPr>
              <w:lastRenderedPageBreak/>
              <w:t>Anne</w:t>
            </w:r>
            <w:r w:rsidRPr="009D67FE">
              <w:rPr>
                <w:rStyle w:val="FormatvorlageInstructionsTabelleText"/>
              </w:rPr>
              <w:t xml:space="preserve">x III Point 1 </w:t>
            </w:r>
            <w:r w:rsidR="007655D4">
              <w:rPr>
                <w:rStyle w:val="FormatvorlageInstructionsTabelleText"/>
              </w:rPr>
              <w:t>REGULATION (EU) NO 575/2013</w:t>
            </w:r>
            <w:r w:rsidRPr="009D67FE">
              <w:rPr>
                <w:rStyle w:val="FormatvorlageInstructionsTabelleText"/>
              </w:rPr>
              <w:t xml:space="preserve">  </w:t>
            </w:r>
          </w:p>
          <w:p w:rsidR="001B3F25" w:rsidRPr="009D67FE" w:rsidRDefault="001B3F25" w:rsidP="00267206">
            <w:pPr>
              <w:pStyle w:val="InstructionsText"/>
              <w:rPr>
                <w:rStyle w:val="FormatvorlageInstructionsTabelleText"/>
                <w:szCs w:val="24"/>
                <w:lang w:val="en-GB" w:eastAsia="en-US"/>
              </w:rPr>
            </w:pPr>
          </w:p>
          <w:p w:rsidR="001B3F25" w:rsidRPr="009D67FE" w:rsidRDefault="001B3F25" w:rsidP="00267206">
            <w:pPr>
              <w:pStyle w:val="InstructionsText"/>
              <w:rPr>
                <w:rStyle w:val="FormatvorlageInstructionsTabelleText"/>
                <w:szCs w:val="24"/>
                <w:lang w:val="en-GB" w:eastAsia="en-US"/>
              </w:rPr>
            </w:pPr>
            <w:r w:rsidRPr="009D67FE">
              <w:rPr>
                <w:rStyle w:val="FormatvorlageInstructionsTabelleText"/>
              </w:rPr>
              <w:t xml:space="preserve">Total amount of cash including coins and banknotes/currency. Only cash shall be reported that does not satisfy at least one of the conditions set out in points (c), (d) and (e) </w:t>
            </w:r>
            <w:r w:rsidR="00121B71">
              <w:rPr>
                <w:rStyle w:val="FormatvorlageInstructionsTabelleText"/>
              </w:rPr>
              <w:t xml:space="preserve">of Article 416 (3) </w:t>
            </w:r>
            <w:r w:rsidRPr="009D67FE">
              <w:rPr>
                <w:rStyle w:val="FormatvorlageInstructionsTabelleText"/>
              </w:rPr>
              <w:t>and can thus not be reported under reporting item 1.1.</w:t>
            </w:r>
          </w:p>
          <w:p w:rsidR="001B3F25" w:rsidRPr="009D67FE" w:rsidRDefault="001B3F25" w:rsidP="00267206">
            <w:pPr>
              <w:pStyle w:val="InstructionsText"/>
              <w:rPr>
                <w:rStyle w:val="FormatvorlageInstructionsTabelleText"/>
                <w:szCs w:val="24"/>
                <w:lang w:val="en-GB" w:eastAsia="en-US"/>
              </w:rPr>
            </w:pPr>
          </w:p>
          <w:p w:rsidR="001B3F25" w:rsidRPr="009D67FE" w:rsidRDefault="001B3F25" w:rsidP="00267206">
            <w:pPr>
              <w:pStyle w:val="InstructionsText"/>
              <w:rPr>
                <w:rStyle w:val="FormatvorlageInstructionsTabelleText"/>
                <w:szCs w:val="24"/>
                <w:lang w:val="en-GB" w:eastAsia="en-US"/>
              </w:rPr>
            </w:pPr>
            <w:r w:rsidRPr="009D67FE">
              <w:rPr>
                <w:rStyle w:val="FormatvorlageInstructionsTabelleText"/>
              </w:rPr>
              <w:t>Note cash on deposit with other institutions shall not be reported here and shall instead be reported in the collateral category of template 1.3 “Inflows” if it qualifies as monies due over the next 30 days.</w:t>
            </w:r>
          </w:p>
          <w:p w:rsidR="001B3F25" w:rsidRDefault="001B3F25">
            <w:pPr>
              <w:spacing w:before="0" w:after="0"/>
              <w:rPr>
                <w:rFonts w:cs="Arial"/>
                <w:b/>
                <w:szCs w:val="20"/>
                <w:u w:val="single"/>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6D0410">
            <w:pPr>
              <w:jc w:val="left"/>
              <w:rPr>
                <w:rFonts w:cs="Arial"/>
                <w:szCs w:val="20"/>
              </w:rPr>
            </w:pPr>
            <w:r>
              <w:rPr>
                <w:rFonts w:cs="Arial"/>
                <w:szCs w:val="20"/>
              </w:rPr>
              <w:lastRenderedPageBreak/>
              <w:t>430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3</w:t>
            </w:r>
            <w:r w:rsidRPr="00B37090">
              <w:rPr>
                <w:rStyle w:val="InstructionsTabelleberschrift"/>
              </w:rPr>
              <w:t xml:space="preserve">.2 </w:t>
            </w:r>
            <w:r>
              <w:rPr>
                <w:rStyle w:val="InstructionsTabelleberschrift"/>
              </w:rPr>
              <w:t>Central bank exposures, to the extent that these exposures can be drawn down in times of  stress</w:t>
            </w:r>
          </w:p>
          <w:p w:rsidR="001B3F25" w:rsidRPr="00111142" w:rsidRDefault="001B3F25" w:rsidP="00267206">
            <w:pPr>
              <w:pStyle w:val="InstructionsText"/>
              <w:rPr>
                <w:rStyle w:val="InstructionsTabelleberschrift"/>
                <w:b w:val="0"/>
                <w:szCs w:val="24"/>
                <w:lang w:val="en-GB" w:eastAsia="en-US"/>
              </w:rPr>
            </w:pPr>
          </w:p>
          <w:p w:rsidR="001B3F25" w:rsidRPr="00111142" w:rsidRDefault="001B3F25" w:rsidP="00267206">
            <w:pPr>
              <w:pStyle w:val="InstructionsText"/>
              <w:rPr>
                <w:rStyle w:val="FormatvorlageInstructionsTabelleText"/>
                <w:szCs w:val="24"/>
                <w:lang w:val="en-GB" w:eastAsia="en-US"/>
              </w:rPr>
            </w:pPr>
            <w:r w:rsidRPr="00111142">
              <w:rPr>
                <w:rStyle w:val="FormatvorlageInstructionsTabelleText"/>
              </w:rPr>
              <w:t xml:space="preserve">Annex III, Point 2 </w:t>
            </w:r>
            <w:r w:rsidR="007655D4">
              <w:rPr>
                <w:rStyle w:val="InstructionsTabelleberschrift"/>
                <w:b w:val="0"/>
                <w:u w:val="none"/>
              </w:rPr>
              <w:t>REGULATION (EU) NO 575/2013</w:t>
            </w:r>
            <w:r w:rsidRPr="00111142">
              <w:rPr>
                <w:rStyle w:val="FormatvorlageInstructionsTabelleText"/>
              </w:rPr>
              <w:t xml:space="preserve"> </w:t>
            </w:r>
          </w:p>
          <w:p w:rsidR="001B3F25" w:rsidRPr="00111142" w:rsidRDefault="001B3F25" w:rsidP="00267206">
            <w:pPr>
              <w:pStyle w:val="InstructionsText"/>
              <w:rPr>
                <w:rStyle w:val="FormatvorlageInstructionsTabelleText"/>
                <w:szCs w:val="24"/>
                <w:lang w:val="en-GB" w:eastAsia="en-US"/>
              </w:rPr>
            </w:pPr>
          </w:p>
          <w:p w:rsidR="001B3F25" w:rsidRDefault="001B3F25" w:rsidP="00267206">
            <w:pPr>
              <w:pStyle w:val="InstructionsText"/>
            </w:pPr>
            <w:r w:rsidRPr="00B37090">
              <w:rPr>
                <w:rStyle w:val="FormatvorlageInstructionsTabelleText"/>
              </w:rPr>
              <w:t xml:space="preserve">Total amount of </w:t>
            </w:r>
            <w:r>
              <w:rPr>
                <w:rStyle w:val="FormatvorlageInstructionsTabelleText"/>
              </w:rPr>
              <w:t>exposures to</w:t>
            </w:r>
            <w:r w:rsidRPr="00B37090">
              <w:rPr>
                <w:rStyle w:val="FormatvorlageInstructionsTabelleText"/>
              </w:rPr>
              <w:t xml:space="preserve"> central bank</w:t>
            </w:r>
            <w:r>
              <w:rPr>
                <w:rStyle w:val="FormatvorlageInstructionsTabelleText"/>
              </w:rPr>
              <w:t>s, to the extent that these exposures can be drawn down in times of stress. These exposures shall only be reported that does not satisfy at least one of the conditions set out in points (c), (d) and (e) and can thus not be reported under reporting item 1.3.</w:t>
            </w:r>
          </w:p>
          <w:p w:rsidR="001B3F25" w:rsidRPr="00B37090" w:rsidRDefault="001B3F25" w:rsidP="009B4BD1">
            <w:pPr>
              <w:spacing w:before="0" w:after="0"/>
              <w:jc w:val="left"/>
              <w:rPr>
                <w:rStyle w:val="InstructionsTabelleberschrift"/>
                <w:szCs w:val="17"/>
                <w:lang w:eastAsia="de-DE"/>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6D0410">
            <w:pPr>
              <w:jc w:val="left"/>
              <w:rPr>
                <w:rFonts w:cs="Arial"/>
                <w:szCs w:val="20"/>
              </w:rPr>
            </w:pPr>
            <w:r>
              <w:rPr>
                <w:rFonts w:cs="Arial"/>
                <w:szCs w:val="20"/>
              </w:rPr>
              <w:t>440-480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3.3</w:t>
            </w:r>
            <w:r w:rsidRPr="00B37090">
              <w:rPr>
                <w:rStyle w:val="InstructionsTabelleberschrift"/>
              </w:rPr>
              <w:t xml:space="preserve"> </w:t>
            </w:r>
            <w:r>
              <w:rPr>
                <w:rStyle w:val="InstructionsTabelleberschrift"/>
              </w:rPr>
              <w:t xml:space="preserve">transferable </w:t>
            </w:r>
            <w:r w:rsidRPr="00B37090">
              <w:rPr>
                <w:rStyle w:val="InstructionsTabelleberschrift"/>
              </w:rPr>
              <w:t>securities with a 0% risk weight</w:t>
            </w:r>
            <w:r>
              <w:rPr>
                <w:rStyle w:val="InstructionsTabelleberschrift"/>
              </w:rPr>
              <w:t xml:space="preserve"> and not an obligation of an institution or any of its affiliated entities</w:t>
            </w:r>
          </w:p>
          <w:p w:rsidR="001B3F25" w:rsidRDefault="001B3F25" w:rsidP="00267206">
            <w:pPr>
              <w:pStyle w:val="InstructionsText"/>
              <w:rPr>
                <w:rStyle w:val="FormatvorlageInstructionsTabelleText"/>
                <w:szCs w:val="24"/>
                <w:lang w:val="en-GB" w:eastAsia="en-US"/>
              </w:rPr>
            </w:pPr>
          </w:p>
          <w:p w:rsidR="001B3F25" w:rsidRDefault="001B3F25" w:rsidP="00267206">
            <w:pPr>
              <w:pStyle w:val="InstructionsText"/>
              <w:rPr>
                <w:rStyle w:val="FormatvorlageInstructionsTabelleText"/>
                <w:szCs w:val="24"/>
                <w:lang w:val="en-GB" w:eastAsia="en-US"/>
              </w:rPr>
            </w:pPr>
            <w:r>
              <w:rPr>
                <w:rStyle w:val="FormatvorlageInstructionsTabelleText"/>
              </w:rPr>
              <w:t xml:space="preserve">Annex III, Point 3 </w:t>
            </w:r>
            <w:r w:rsidR="007655D4">
              <w:rPr>
                <w:rStyle w:val="FormatvorlageInstructionsTabelleText"/>
              </w:rPr>
              <w:t>REGULATION (EU) NO 575/2013</w:t>
            </w:r>
          </w:p>
          <w:p w:rsidR="001B3F25" w:rsidRDefault="001B3F25" w:rsidP="00267206">
            <w:pPr>
              <w:pStyle w:val="InstructionsText"/>
              <w:rPr>
                <w:rStyle w:val="FormatvorlageInstructionsTabelleText"/>
                <w:szCs w:val="24"/>
                <w:lang w:val="en-GB" w:eastAsia="en-US"/>
              </w:rPr>
            </w:pPr>
          </w:p>
          <w:p w:rsidR="001B3F25" w:rsidRPr="00111142" w:rsidRDefault="001B3F25" w:rsidP="00267206">
            <w:pPr>
              <w:pStyle w:val="InstructionsText"/>
              <w:rPr>
                <w:rStyle w:val="InstructionsTabelleberschrift"/>
                <w:b w:val="0"/>
                <w:szCs w:val="24"/>
                <w:u w:val="none"/>
                <w:lang w:val="en-GB" w:eastAsia="en-US"/>
              </w:rPr>
            </w:pPr>
            <w:r w:rsidRPr="00111142">
              <w:rPr>
                <w:rStyle w:val="InstructionsTabelleberschrift"/>
                <w:b w:val="0"/>
                <w:u w:val="none"/>
              </w:rPr>
              <w:t>Securities with a 0% risk-weight representing claims on or guaranteed by the central government of a Member State or a third country as referred to in Point 5 of Annex III. Of which:</w:t>
            </w:r>
          </w:p>
          <w:p w:rsidR="001B3F25" w:rsidRDefault="001B3F25" w:rsidP="00267206">
            <w:pPr>
              <w:pStyle w:val="InstructionsText"/>
              <w:rPr>
                <w:rStyle w:val="InstructionsTabelleberschrift"/>
                <w:b w:val="0"/>
                <w:szCs w:val="24"/>
                <w:lang w:val="en-GB" w:eastAsia="en-US"/>
              </w:rPr>
            </w:pPr>
          </w:p>
        </w:tc>
      </w:tr>
      <w:tr w:rsidR="001B3F25"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8C7B02">
            <w:pPr>
              <w:jc w:val="left"/>
              <w:rPr>
                <w:rFonts w:cs="Arial"/>
                <w:szCs w:val="20"/>
              </w:rPr>
            </w:pPr>
            <w:r>
              <w:rPr>
                <w:rFonts w:cs="Arial"/>
                <w:szCs w:val="20"/>
              </w:rPr>
              <w:t>440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Pr="00061F75" w:rsidRDefault="001B3F25" w:rsidP="00267206">
            <w:pPr>
              <w:pStyle w:val="InstructionsText"/>
              <w:rPr>
                <w:rStyle w:val="FormatvorlageInstructionsTabelleText"/>
                <w:b/>
                <w:u w:val="single"/>
              </w:rPr>
            </w:pPr>
            <w:r w:rsidRPr="00061F75">
              <w:rPr>
                <w:rStyle w:val="FormatvorlageInstructionsTabelleText"/>
                <w:b/>
                <w:u w:val="single"/>
              </w:rPr>
              <w:t xml:space="preserve">3.3.1 representing claims on sovereigns </w:t>
            </w:r>
          </w:p>
          <w:p w:rsidR="001B3F25" w:rsidRDefault="001B3F25" w:rsidP="00267206">
            <w:pPr>
              <w:pStyle w:val="InstructionsText"/>
            </w:pPr>
          </w:p>
          <w:p w:rsidR="001B3F25" w:rsidRDefault="001B3F25" w:rsidP="00267206">
            <w:pPr>
              <w:pStyle w:val="InstructionsText"/>
              <w:rPr>
                <w:rStyle w:val="FormatvorlageInstructionsTabelleText"/>
                <w:szCs w:val="24"/>
                <w:lang w:val="en-GB" w:eastAsia="en-US"/>
              </w:rPr>
            </w:pPr>
            <w:r>
              <w:rPr>
                <w:rStyle w:val="FormatvorlageInstructionsTabelleText"/>
              </w:rPr>
              <w:t xml:space="preserve">Annex III, Point 3 </w:t>
            </w:r>
            <w:r w:rsidR="007655D4">
              <w:rPr>
                <w:rStyle w:val="FormatvorlageInstructionsTabelleText"/>
              </w:rPr>
              <w:t>REGULATION (EU) NO 575/2013</w:t>
            </w:r>
          </w:p>
          <w:p w:rsidR="001B3F25" w:rsidRDefault="001B3F25" w:rsidP="00267206">
            <w:pPr>
              <w:pStyle w:val="InstructionsText"/>
            </w:pPr>
          </w:p>
        </w:tc>
      </w:tr>
      <w:tr w:rsidR="001B3F25"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8C7B02">
            <w:pPr>
              <w:jc w:val="left"/>
              <w:rPr>
                <w:rFonts w:cs="Arial"/>
                <w:szCs w:val="20"/>
              </w:rPr>
            </w:pPr>
            <w:r>
              <w:rPr>
                <w:rFonts w:cs="Arial"/>
                <w:szCs w:val="20"/>
              </w:rPr>
              <w:t>450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FormatvorlageInstructionsTabelleText"/>
              </w:rPr>
            </w:pPr>
            <w:r>
              <w:rPr>
                <w:rStyle w:val="InstructionsTabelleberschrift"/>
              </w:rPr>
              <w:t>3.3.2</w:t>
            </w:r>
            <w:r w:rsidRPr="00B37090">
              <w:rPr>
                <w:rStyle w:val="InstructionsTabelleberschrift"/>
              </w:rPr>
              <w:t xml:space="preserve"> </w:t>
            </w:r>
            <w:r>
              <w:rPr>
                <w:rStyle w:val="InstructionsTabelleberschrift"/>
              </w:rPr>
              <w:t>claims g</w:t>
            </w:r>
            <w:r w:rsidRPr="00B37090">
              <w:rPr>
                <w:rStyle w:val="InstructionsTabelleberschrift"/>
              </w:rPr>
              <w:t>uaranteed by sovereigns</w:t>
            </w:r>
            <w:r w:rsidRPr="00B37090">
              <w:rPr>
                <w:rStyle w:val="FormatvorlageInstructionsTabelleText"/>
              </w:rPr>
              <w:t xml:space="preserve"> </w:t>
            </w:r>
          </w:p>
          <w:p w:rsidR="001B3F25" w:rsidRDefault="001B3F25" w:rsidP="00267206">
            <w:pPr>
              <w:pStyle w:val="InstructionsText"/>
              <w:rPr>
                <w:rStyle w:val="FormatvorlageInstructionsTabelleText"/>
              </w:rPr>
            </w:pPr>
          </w:p>
          <w:p w:rsidR="001B3F25" w:rsidRDefault="001B3F25" w:rsidP="00267206">
            <w:pPr>
              <w:pStyle w:val="InstructionsText"/>
              <w:rPr>
                <w:rStyle w:val="FormatvorlageInstructionsTabelleText"/>
              </w:rPr>
            </w:pPr>
            <w:r>
              <w:rPr>
                <w:rStyle w:val="FormatvorlageInstructionsTabelleText"/>
              </w:rPr>
              <w:t xml:space="preserve">Annex III, Point 3 </w:t>
            </w:r>
            <w:r w:rsidR="007655D4">
              <w:rPr>
                <w:rStyle w:val="FormatvorlageInstructionsTabelleText"/>
              </w:rPr>
              <w:t>REGULATION (EU) NO 575/2013</w:t>
            </w:r>
          </w:p>
          <w:p w:rsidR="001B3F25" w:rsidRPr="005D6CE3" w:rsidRDefault="001B3F25" w:rsidP="00267206">
            <w:pPr>
              <w:pStyle w:val="InstructionsText"/>
            </w:pPr>
          </w:p>
        </w:tc>
      </w:tr>
      <w:tr w:rsidR="001B3F25"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8C7B02">
            <w:pPr>
              <w:jc w:val="left"/>
              <w:rPr>
                <w:rFonts w:cs="Arial"/>
                <w:szCs w:val="20"/>
              </w:rPr>
            </w:pPr>
            <w:r>
              <w:rPr>
                <w:rFonts w:cs="Arial"/>
                <w:szCs w:val="20"/>
              </w:rPr>
              <w:t>460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FormatvorlageInstructionsTabelleText"/>
              </w:rPr>
            </w:pPr>
            <w:r>
              <w:rPr>
                <w:rStyle w:val="InstructionsTabelleberschrift"/>
              </w:rPr>
              <w:t>3.3.3</w:t>
            </w:r>
            <w:r w:rsidRPr="00B37090">
              <w:rPr>
                <w:rStyle w:val="InstructionsTabelleberschrift"/>
              </w:rPr>
              <w:t xml:space="preserve"> representing claims on or guaranteed by central banks</w:t>
            </w:r>
            <w:r w:rsidRPr="00B37090">
              <w:rPr>
                <w:rStyle w:val="FormatvorlageInstructionsTabelleText"/>
              </w:rPr>
              <w:t xml:space="preserve"> </w:t>
            </w:r>
          </w:p>
          <w:p w:rsidR="001B3F25" w:rsidRDefault="001B3F25" w:rsidP="00267206">
            <w:pPr>
              <w:pStyle w:val="InstructionsText"/>
              <w:rPr>
                <w:rStyle w:val="FormatvorlageInstructionsTabelleText"/>
              </w:rPr>
            </w:pPr>
          </w:p>
          <w:p w:rsidR="001B3F25" w:rsidRDefault="001B3F25" w:rsidP="00267206">
            <w:pPr>
              <w:pStyle w:val="InstructionsText"/>
              <w:rPr>
                <w:rStyle w:val="FormatvorlageInstructionsTabelleText"/>
              </w:rPr>
            </w:pPr>
            <w:r>
              <w:rPr>
                <w:rStyle w:val="FormatvorlageInstructionsTabelleText"/>
              </w:rPr>
              <w:t xml:space="preserve">Annex III, Point 3 </w:t>
            </w:r>
            <w:r w:rsidR="007655D4">
              <w:rPr>
                <w:rStyle w:val="FormatvorlageInstructionsTabelleText"/>
              </w:rPr>
              <w:t>REGULATION (EU) NO 575/2013</w:t>
            </w:r>
          </w:p>
          <w:p w:rsidR="001B3F25" w:rsidRPr="005D6CE3" w:rsidRDefault="001B3F25" w:rsidP="00267206">
            <w:pPr>
              <w:pStyle w:val="InstructionsText"/>
            </w:pPr>
          </w:p>
        </w:tc>
      </w:tr>
      <w:tr w:rsidR="001B3F25"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8C7B02">
            <w:pPr>
              <w:jc w:val="left"/>
              <w:rPr>
                <w:rFonts w:cs="Arial"/>
                <w:szCs w:val="20"/>
              </w:rPr>
            </w:pPr>
            <w:r>
              <w:rPr>
                <w:rFonts w:cs="Arial"/>
                <w:szCs w:val="20"/>
              </w:rPr>
              <w:t>470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FormatvorlageInstructionsTabelleText"/>
              </w:rPr>
            </w:pPr>
            <w:r>
              <w:rPr>
                <w:rStyle w:val="InstructionsTabelleberschrift"/>
              </w:rPr>
              <w:t>3.3.4</w:t>
            </w:r>
            <w:r w:rsidRPr="00B37090">
              <w:rPr>
                <w:rStyle w:val="InstructionsTabelleberschrift"/>
              </w:rPr>
              <w:t xml:space="preserve"> </w:t>
            </w:r>
            <w:r>
              <w:rPr>
                <w:rStyle w:val="InstructionsTabelleberschrift"/>
              </w:rPr>
              <w:t>representing claims on or claims guaranteed by non-central government public sector entities, regions with fiscal autonomy to raise and collect taxes and local authorities</w:t>
            </w:r>
            <w:r w:rsidRPr="00B37090">
              <w:rPr>
                <w:rStyle w:val="FormatvorlageInstructionsTabelleText"/>
              </w:rPr>
              <w:t xml:space="preserve"> </w:t>
            </w:r>
          </w:p>
          <w:p w:rsidR="001B3F25" w:rsidRDefault="001B3F25" w:rsidP="00267206">
            <w:pPr>
              <w:pStyle w:val="InstructionsText"/>
              <w:rPr>
                <w:rStyle w:val="FormatvorlageInstructionsTabelleText"/>
              </w:rPr>
            </w:pPr>
          </w:p>
          <w:p w:rsidR="001B3F25" w:rsidRDefault="001B3F25" w:rsidP="00267206">
            <w:pPr>
              <w:pStyle w:val="InstructionsText"/>
              <w:rPr>
                <w:rStyle w:val="FormatvorlageInstructionsTabelleText"/>
              </w:rPr>
            </w:pPr>
            <w:r>
              <w:rPr>
                <w:rStyle w:val="FormatvorlageInstructionsTabelleText"/>
              </w:rPr>
              <w:t xml:space="preserve">Annex III, Point 3 </w:t>
            </w:r>
            <w:r w:rsidR="007655D4">
              <w:rPr>
                <w:rStyle w:val="FormatvorlageInstructionsTabelleText"/>
              </w:rPr>
              <w:t>REGULATION (EU) NO 575/2013</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6D0410">
            <w:pPr>
              <w:jc w:val="left"/>
              <w:rPr>
                <w:rFonts w:cs="Arial"/>
                <w:szCs w:val="20"/>
              </w:rPr>
            </w:pPr>
            <w:r>
              <w:rPr>
                <w:rFonts w:cs="Arial"/>
                <w:szCs w:val="20"/>
              </w:rPr>
              <w:t>480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FormatvorlageInstructionsTabelleText"/>
              </w:rPr>
            </w:pPr>
            <w:r>
              <w:rPr>
                <w:rStyle w:val="InstructionsTabelleberschrift"/>
              </w:rPr>
              <w:t>3.3.5</w:t>
            </w:r>
            <w:r w:rsidRPr="00B37090">
              <w:rPr>
                <w:rStyle w:val="InstructionsTabelleberschrift"/>
              </w:rPr>
              <w:t xml:space="preserve"> re</w:t>
            </w:r>
            <w:r>
              <w:rPr>
                <w:rStyle w:val="InstructionsTabelleberschrift"/>
              </w:rPr>
              <w:t>presenting claims on or claims guaranteed by Bank for International Settlements, the International Monetary Fund, the European Union, the European Financial Stability Facility, the European Stability Mechanism or multilateral development bank</w:t>
            </w:r>
            <w:r w:rsidRPr="00B37090">
              <w:rPr>
                <w:rStyle w:val="FormatvorlageInstructionsTabelleText"/>
              </w:rPr>
              <w:t xml:space="preserve"> </w:t>
            </w:r>
          </w:p>
          <w:p w:rsidR="001B3F25" w:rsidRDefault="001B3F25" w:rsidP="00267206">
            <w:pPr>
              <w:pStyle w:val="InstructionsText"/>
              <w:rPr>
                <w:rStyle w:val="FormatvorlageInstructionsTabelleText"/>
              </w:rPr>
            </w:pPr>
          </w:p>
          <w:p w:rsidR="001B3F25" w:rsidRDefault="001B3F25" w:rsidP="00267206">
            <w:pPr>
              <w:pStyle w:val="InstructionsText"/>
              <w:rPr>
                <w:rStyle w:val="FormatvorlageInstructionsTabelleText"/>
              </w:rPr>
            </w:pPr>
            <w:r>
              <w:rPr>
                <w:rStyle w:val="FormatvorlageInstructionsTabelleText"/>
              </w:rPr>
              <w:t xml:space="preserve">Annex III, Point 3 </w:t>
            </w:r>
            <w:r w:rsidR="007655D4">
              <w:rPr>
                <w:rStyle w:val="FormatvorlageInstructionsTabelleText"/>
              </w:rPr>
              <w:t>REGULATION (EU) NO 575/2013</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6D0410">
            <w:pPr>
              <w:jc w:val="left"/>
              <w:rPr>
                <w:rFonts w:cs="Arial"/>
                <w:szCs w:val="20"/>
              </w:rPr>
            </w:pPr>
            <w:r>
              <w:rPr>
                <w:rFonts w:cs="Arial"/>
                <w:szCs w:val="20"/>
              </w:rPr>
              <w:lastRenderedPageBreak/>
              <w:t>490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3.4</w:t>
            </w:r>
            <w:r w:rsidRPr="00B37090">
              <w:rPr>
                <w:rStyle w:val="InstructionsTabelleberschrift"/>
              </w:rPr>
              <w:t xml:space="preserve"> </w:t>
            </w:r>
            <w:r>
              <w:rPr>
                <w:rStyle w:val="InstructionsTabelleberschrift"/>
              </w:rPr>
              <w:t xml:space="preserve">transferable </w:t>
            </w:r>
            <w:r w:rsidRPr="00B37090">
              <w:rPr>
                <w:rStyle w:val="InstructionsTabelleberschrift"/>
              </w:rPr>
              <w:t xml:space="preserve">securities </w:t>
            </w:r>
            <w:r>
              <w:rPr>
                <w:rStyle w:val="InstructionsTabelleberschrift"/>
              </w:rPr>
              <w:t xml:space="preserve">other than those referred to in 3.3 representing claims on or claims guaranteed by sovereigns or central banks issued in domestic currencies by the sovereign or central bank in the currency and country in which the </w:t>
            </w:r>
            <w:proofErr w:type="spellStart"/>
            <w:r>
              <w:rPr>
                <w:rStyle w:val="InstructionsTabelleberschrift"/>
              </w:rPr>
              <w:t>liquidty</w:t>
            </w:r>
            <w:proofErr w:type="spellEnd"/>
            <w:r>
              <w:rPr>
                <w:rStyle w:val="InstructionsTabelleberschrift"/>
              </w:rPr>
              <w:t xml:space="preserve"> risk is being taken or issued in foreign currencies, to the extent that holding of such debt matches the liquidity needs of the bank’s operations in that third country</w:t>
            </w:r>
          </w:p>
          <w:p w:rsidR="001B3F25" w:rsidRDefault="001B3F25" w:rsidP="00267206">
            <w:pPr>
              <w:pStyle w:val="InstructionsText"/>
              <w:rPr>
                <w:rStyle w:val="FormatvorlageInstructionsTabelleText"/>
                <w:szCs w:val="24"/>
                <w:lang w:val="en-GB" w:eastAsia="en-US"/>
              </w:rPr>
            </w:pPr>
          </w:p>
          <w:p w:rsidR="001B3F25" w:rsidRDefault="001B3F25" w:rsidP="00267206">
            <w:pPr>
              <w:pStyle w:val="InstructionsText"/>
              <w:rPr>
                <w:rStyle w:val="FormatvorlageInstructionsTabelleText"/>
                <w:szCs w:val="24"/>
                <w:lang w:val="en-GB" w:eastAsia="en-US"/>
              </w:rPr>
            </w:pPr>
            <w:r>
              <w:rPr>
                <w:rStyle w:val="FormatvorlageInstructionsTabelleText"/>
              </w:rPr>
              <w:t xml:space="preserve">Annex III, Point 4 </w:t>
            </w:r>
            <w:r w:rsidR="007655D4">
              <w:rPr>
                <w:rStyle w:val="FormatvorlageInstructionsTabelleText"/>
              </w:rPr>
              <w:t>REGULATION (EU) NO 575/2013</w:t>
            </w:r>
          </w:p>
          <w:p w:rsidR="001B3F25" w:rsidRDefault="001B3F25" w:rsidP="00267206">
            <w:pPr>
              <w:pStyle w:val="InstructionsText"/>
              <w:rPr>
                <w:rStyle w:val="FormatvorlageInstructionsTabelleText"/>
                <w:szCs w:val="24"/>
                <w:lang w:val="en-GB" w:eastAsia="en-US"/>
              </w:rPr>
            </w:pPr>
          </w:p>
          <w:p w:rsidR="001B3F25" w:rsidRDefault="001B3F25" w:rsidP="00267206">
            <w:pPr>
              <w:pStyle w:val="InstructionsText"/>
              <w:rPr>
                <w:rStyle w:val="InstructionsTabelleberschrift"/>
                <w:b w:val="0"/>
                <w:lang w:val="en-GB" w:eastAsia="en-US"/>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6D0410">
            <w:pPr>
              <w:jc w:val="left"/>
              <w:rPr>
                <w:rFonts w:cs="Arial"/>
                <w:szCs w:val="20"/>
              </w:rPr>
            </w:pPr>
            <w:r>
              <w:rPr>
                <w:rFonts w:cs="Arial"/>
                <w:szCs w:val="20"/>
              </w:rPr>
              <w:t>500-550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3.5</w:t>
            </w:r>
            <w:r w:rsidRPr="00B37090">
              <w:rPr>
                <w:rStyle w:val="InstructionsTabelleberschrift"/>
              </w:rPr>
              <w:t xml:space="preserve"> </w:t>
            </w:r>
            <w:r>
              <w:rPr>
                <w:rStyle w:val="InstructionsTabelleberschrift"/>
              </w:rPr>
              <w:t xml:space="preserve">transferable </w:t>
            </w:r>
            <w:r w:rsidRPr="00B37090">
              <w:rPr>
                <w:rStyle w:val="InstructionsTabelleberschrift"/>
              </w:rPr>
              <w:t xml:space="preserve">securities with a </w:t>
            </w:r>
            <w:r>
              <w:rPr>
                <w:rStyle w:val="InstructionsTabelleberschrift"/>
              </w:rPr>
              <w:t>20</w:t>
            </w:r>
            <w:r w:rsidRPr="00B37090">
              <w:rPr>
                <w:rStyle w:val="InstructionsTabelleberschrift"/>
              </w:rPr>
              <w:t>% risk weight</w:t>
            </w:r>
            <w:r>
              <w:rPr>
                <w:rStyle w:val="InstructionsTabelleberschrift"/>
              </w:rPr>
              <w:t xml:space="preserve"> and not an obligation of an institution or any of its affiliated entities</w:t>
            </w:r>
          </w:p>
          <w:p w:rsidR="001B3F25" w:rsidRDefault="001B3F25" w:rsidP="00267206">
            <w:pPr>
              <w:pStyle w:val="InstructionsText"/>
              <w:rPr>
                <w:rStyle w:val="FormatvorlageInstructionsTabelleText"/>
                <w:szCs w:val="24"/>
                <w:lang w:val="en-GB" w:eastAsia="en-US"/>
              </w:rPr>
            </w:pPr>
          </w:p>
          <w:p w:rsidR="001B3F25" w:rsidRDefault="001B3F25" w:rsidP="00267206">
            <w:pPr>
              <w:pStyle w:val="InstructionsText"/>
              <w:rPr>
                <w:rStyle w:val="FormatvorlageInstructionsTabelleText"/>
                <w:szCs w:val="24"/>
                <w:lang w:val="en-GB" w:eastAsia="en-US"/>
              </w:rPr>
            </w:pPr>
            <w:r>
              <w:rPr>
                <w:rStyle w:val="FormatvorlageInstructionsTabelleText"/>
              </w:rPr>
              <w:t xml:space="preserve">Annex III, Point 5 </w:t>
            </w:r>
            <w:r w:rsidR="007655D4">
              <w:rPr>
                <w:rStyle w:val="FormatvorlageInstructionsTabelleText"/>
              </w:rPr>
              <w:t>REGULATION (EU) NO 575/2013</w:t>
            </w:r>
          </w:p>
          <w:p w:rsidR="001B3F25" w:rsidRDefault="001B3F25" w:rsidP="00267206">
            <w:pPr>
              <w:pStyle w:val="InstructionsText"/>
              <w:rPr>
                <w:rStyle w:val="FormatvorlageInstructionsTabelleText"/>
                <w:szCs w:val="24"/>
                <w:lang w:val="en-GB" w:eastAsia="en-US"/>
              </w:rPr>
            </w:pPr>
          </w:p>
          <w:p w:rsidR="001B3F25" w:rsidRPr="00061F75" w:rsidRDefault="001B3F25" w:rsidP="00267206">
            <w:pPr>
              <w:pStyle w:val="InstructionsText"/>
              <w:rPr>
                <w:rStyle w:val="InstructionsTabelleberschrift"/>
                <w:b w:val="0"/>
                <w:szCs w:val="24"/>
                <w:u w:val="none"/>
                <w:lang w:val="en-GB" w:eastAsia="en-US"/>
              </w:rPr>
            </w:pPr>
            <w:r w:rsidRPr="00061F75">
              <w:rPr>
                <w:rStyle w:val="InstructionsTabelleberschrift"/>
                <w:b w:val="0"/>
                <w:u w:val="none"/>
              </w:rPr>
              <w:t>Securities with a 20% risk-weight representing claims on or guaranteed by the central government of a Member State or a third country as referred to in Point 5 of Annex III. Of which:</w:t>
            </w:r>
          </w:p>
          <w:p w:rsidR="001B3F25" w:rsidRDefault="001B3F25" w:rsidP="00267206">
            <w:pPr>
              <w:pStyle w:val="InstructionsText"/>
              <w:rPr>
                <w:rStyle w:val="InstructionsTabelleberschrift"/>
                <w:b w:val="0"/>
                <w:lang w:val="en-GB" w:eastAsia="en-US"/>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6D0410">
            <w:pPr>
              <w:jc w:val="left"/>
              <w:rPr>
                <w:rFonts w:cs="Arial"/>
                <w:szCs w:val="20"/>
              </w:rPr>
            </w:pPr>
            <w:r>
              <w:rPr>
                <w:rFonts w:cs="Arial"/>
                <w:szCs w:val="20"/>
              </w:rPr>
              <w:t>500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Pr="00061F75" w:rsidRDefault="001B3F25" w:rsidP="00267206">
            <w:pPr>
              <w:pStyle w:val="InstructionsText"/>
              <w:rPr>
                <w:rStyle w:val="FormatvorlageInstructionsTabelleText"/>
                <w:b/>
                <w:u w:val="single"/>
              </w:rPr>
            </w:pPr>
            <w:r w:rsidRPr="00061F75">
              <w:rPr>
                <w:rStyle w:val="FormatvorlageInstructionsTabelleText"/>
                <w:b/>
                <w:u w:val="single"/>
              </w:rPr>
              <w:t xml:space="preserve">3.5.1 representing claims on sovereigns </w:t>
            </w:r>
          </w:p>
          <w:p w:rsidR="001B3F25" w:rsidRDefault="001B3F25" w:rsidP="00267206">
            <w:pPr>
              <w:pStyle w:val="InstructionsText"/>
            </w:pPr>
          </w:p>
          <w:p w:rsidR="001B3F25" w:rsidRDefault="001B3F25" w:rsidP="00267206">
            <w:pPr>
              <w:pStyle w:val="InstructionsText"/>
              <w:rPr>
                <w:rStyle w:val="FormatvorlageInstructionsTabelleText"/>
                <w:szCs w:val="24"/>
                <w:lang w:val="en-GB" w:eastAsia="en-US"/>
              </w:rPr>
            </w:pPr>
            <w:r>
              <w:rPr>
                <w:rStyle w:val="FormatvorlageInstructionsTabelleText"/>
              </w:rPr>
              <w:t xml:space="preserve">Annex III, Point 5 </w:t>
            </w:r>
            <w:r w:rsidR="007655D4">
              <w:rPr>
                <w:rStyle w:val="FormatvorlageInstructionsTabelleText"/>
              </w:rPr>
              <w:t>REGULATION (EU) NO 575/2013</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6D0410">
            <w:pPr>
              <w:jc w:val="left"/>
              <w:rPr>
                <w:rFonts w:cs="Arial"/>
                <w:szCs w:val="20"/>
              </w:rPr>
            </w:pPr>
            <w:r>
              <w:rPr>
                <w:rFonts w:cs="Arial"/>
                <w:szCs w:val="20"/>
              </w:rPr>
              <w:t>510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FormatvorlageInstructionsTabelleText"/>
              </w:rPr>
            </w:pPr>
            <w:r>
              <w:rPr>
                <w:rStyle w:val="InstructionsTabelleberschrift"/>
              </w:rPr>
              <w:t>3.5.2</w:t>
            </w:r>
            <w:r w:rsidRPr="00B37090">
              <w:rPr>
                <w:rStyle w:val="InstructionsTabelleberschrift"/>
              </w:rPr>
              <w:t xml:space="preserve"> </w:t>
            </w:r>
            <w:r>
              <w:rPr>
                <w:rStyle w:val="InstructionsTabelleberschrift"/>
              </w:rPr>
              <w:t>claims g</w:t>
            </w:r>
            <w:r w:rsidRPr="00B37090">
              <w:rPr>
                <w:rStyle w:val="InstructionsTabelleberschrift"/>
              </w:rPr>
              <w:t>uaranteed by sovereigns</w:t>
            </w:r>
            <w:r w:rsidRPr="00B37090">
              <w:rPr>
                <w:rStyle w:val="FormatvorlageInstructionsTabelleText"/>
              </w:rPr>
              <w:t xml:space="preserve"> </w:t>
            </w:r>
          </w:p>
          <w:p w:rsidR="001B3F25" w:rsidRDefault="001B3F25" w:rsidP="00267206">
            <w:pPr>
              <w:pStyle w:val="InstructionsText"/>
              <w:rPr>
                <w:rStyle w:val="FormatvorlageInstructionsTabelleText"/>
              </w:rPr>
            </w:pPr>
          </w:p>
          <w:p w:rsidR="001B3F25" w:rsidRDefault="001B3F25" w:rsidP="00267206">
            <w:pPr>
              <w:pStyle w:val="InstructionsText"/>
              <w:rPr>
                <w:rStyle w:val="FormatvorlageInstructionsTabelleText"/>
              </w:rPr>
            </w:pPr>
            <w:r>
              <w:rPr>
                <w:rStyle w:val="FormatvorlageInstructionsTabelleText"/>
              </w:rPr>
              <w:t xml:space="preserve">Annex III, Point 5 </w:t>
            </w:r>
            <w:r w:rsidR="007655D4">
              <w:rPr>
                <w:rStyle w:val="FormatvorlageInstructionsTabelleText"/>
              </w:rPr>
              <w:t>REGULATION (EU) NO 575/2013</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6D0410">
            <w:pPr>
              <w:jc w:val="left"/>
              <w:rPr>
                <w:rFonts w:cs="Arial"/>
                <w:szCs w:val="20"/>
              </w:rPr>
            </w:pPr>
            <w:r>
              <w:rPr>
                <w:rFonts w:cs="Arial"/>
                <w:szCs w:val="20"/>
              </w:rPr>
              <w:t>520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FormatvorlageInstructionsTabelleText"/>
              </w:rPr>
            </w:pPr>
            <w:r>
              <w:rPr>
                <w:rStyle w:val="InstructionsTabelleberschrift"/>
              </w:rPr>
              <w:t>3.5.3</w:t>
            </w:r>
            <w:r w:rsidRPr="00B37090">
              <w:rPr>
                <w:rStyle w:val="InstructionsTabelleberschrift"/>
              </w:rPr>
              <w:t xml:space="preserve"> representing claims on or guaranteed by central banks</w:t>
            </w:r>
            <w:r w:rsidRPr="00B37090">
              <w:rPr>
                <w:rStyle w:val="FormatvorlageInstructionsTabelleText"/>
              </w:rPr>
              <w:t xml:space="preserve"> </w:t>
            </w:r>
          </w:p>
          <w:p w:rsidR="001B3F25" w:rsidRDefault="001B3F25" w:rsidP="00267206">
            <w:pPr>
              <w:pStyle w:val="InstructionsText"/>
              <w:rPr>
                <w:rStyle w:val="FormatvorlageInstructionsTabelleText"/>
              </w:rPr>
            </w:pPr>
          </w:p>
          <w:p w:rsidR="001B3F25" w:rsidRDefault="001B3F25" w:rsidP="00267206">
            <w:pPr>
              <w:pStyle w:val="InstructionsText"/>
              <w:rPr>
                <w:rStyle w:val="FormatvorlageInstructionsTabelleText"/>
              </w:rPr>
            </w:pPr>
            <w:r>
              <w:rPr>
                <w:rStyle w:val="FormatvorlageInstructionsTabelleText"/>
              </w:rPr>
              <w:t xml:space="preserve">Annex III, Point 5 </w:t>
            </w:r>
            <w:r w:rsidR="007655D4">
              <w:rPr>
                <w:rStyle w:val="FormatvorlageInstructionsTabelleText"/>
              </w:rPr>
              <w:t>REGULATION (EU) NO 575/2013</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6D0410">
            <w:pPr>
              <w:jc w:val="left"/>
              <w:rPr>
                <w:rFonts w:cs="Arial"/>
                <w:szCs w:val="20"/>
              </w:rPr>
            </w:pPr>
            <w:r>
              <w:rPr>
                <w:rFonts w:cs="Arial"/>
                <w:szCs w:val="20"/>
              </w:rPr>
              <w:t>530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FormatvorlageInstructionsTabelleText"/>
              </w:rPr>
            </w:pPr>
            <w:r>
              <w:rPr>
                <w:rStyle w:val="InstructionsTabelleberschrift"/>
              </w:rPr>
              <w:t>3.5.4</w:t>
            </w:r>
            <w:r w:rsidRPr="00B37090">
              <w:rPr>
                <w:rStyle w:val="InstructionsTabelleberschrift"/>
              </w:rPr>
              <w:t xml:space="preserve"> </w:t>
            </w:r>
            <w:r>
              <w:rPr>
                <w:rStyle w:val="InstructionsTabelleberschrift"/>
              </w:rPr>
              <w:t>representing claims on or claims guaranteed by non-central government public sector entities, regions with fiscal autonomy to raise and collect taxes and local authorities</w:t>
            </w:r>
            <w:r w:rsidRPr="00B37090">
              <w:rPr>
                <w:rStyle w:val="FormatvorlageInstructionsTabelleText"/>
              </w:rPr>
              <w:t xml:space="preserve"> </w:t>
            </w:r>
          </w:p>
          <w:p w:rsidR="001B3F25" w:rsidRDefault="001B3F25" w:rsidP="00267206">
            <w:pPr>
              <w:pStyle w:val="InstructionsText"/>
              <w:rPr>
                <w:rStyle w:val="FormatvorlageInstructionsTabelleText"/>
              </w:rPr>
            </w:pPr>
          </w:p>
          <w:p w:rsidR="001B3F25" w:rsidRDefault="001B3F25" w:rsidP="00267206">
            <w:pPr>
              <w:pStyle w:val="InstructionsText"/>
              <w:rPr>
                <w:rStyle w:val="FormatvorlageInstructionsTabelleText"/>
              </w:rPr>
            </w:pPr>
            <w:r>
              <w:rPr>
                <w:rStyle w:val="FormatvorlageInstructionsTabelleText"/>
              </w:rPr>
              <w:t xml:space="preserve">Annex III, Point 5 </w:t>
            </w:r>
            <w:r w:rsidR="007655D4">
              <w:rPr>
                <w:rStyle w:val="FormatvorlageInstructionsTabelleText"/>
              </w:rPr>
              <w:t>REGULATION (EU) NO 575/2013</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6D0410">
            <w:pPr>
              <w:jc w:val="left"/>
              <w:rPr>
                <w:rFonts w:cs="Arial"/>
                <w:szCs w:val="20"/>
              </w:rPr>
            </w:pPr>
            <w:r>
              <w:rPr>
                <w:rFonts w:cs="Arial"/>
                <w:szCs w:val="20"/>
              </w:rPr>
              <w:t>540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FormatvorlageInstructionsTabelleText"/>
              </w:rPr>
            </w:pPr>
            <w:r>
              <w:rPr>
                <w:rStyle w:val="InstructionsTabelleberschrift"/>
              </w:rPr>
              <w:t>3.5.5</w:t>
            </w:r>
            <w:r w:rsidRPr="00B37090">
              <w:rPr>
                <w:rStyle w:val="InstructionsTabelleberschrift"/>
              </w:rPr>
              <w:t xml:space="preserve"> re</w:t>
            </w:r>
            <w:r>
              <w:rPr>
                <w:rStyle w:val="InstructionsTabelleberschrift"/>
              </w:rPr>
              <w:t>presenting claims on or claims guaranteed by Bank for International Settlements, the International Monetary Fund, the European Union, the European Financial Stability Facility, the European Stability Mechanism or multilateral development bank</w:t>
            </w:r>
            <w:r w:rsidRPr="00B37090">
              <w:rPr>
                <w:rStyle w:val="FormatvorlageInstructionsTabelleText"/>
              </w:rPr>
              <w:t xml:space="preserve"> </w:t>
            </w:r>
          </w:p>
          <w:p w:rsidR="001B3F25" w:rsidRDefault="001B3F25" w:rsidP="00267206">
            <w:pPr>
              <w:pStyle w:val="InstructionsText"/>
              <w:rPr>
                <w:rStyle w:val="FormatvorlageInstructionsTabelleText"/>
              </w:rPr>
            </w:pPr>
          </w:p>
          <w:p w:rsidR="001B3F25" w:rsidRDefault="001B3F25" w:rsidP="00267206">
            <w:pPr>
              <w:pStyle w:val="InstructionsText"/>
              <w:rPr>
                <w:rStyle w:val="FormatvorlageInstructionsTabelleText"/>
              </w:rPr>
            </w:pPr>
            <w:r>
              <w:rPr>
                <w:rStyle w:val="FormatvorlageInstructionsTabelleText"/>
              </w:rPr>
              <w:t xml:space="preserve">Annex III, Point 5 </w:t>
            </w:r>
            <w:r w:rsidR="007655D4">
              <w:rPr>
                <w:rStyle w:val="FormatvorlageInstructionsTabelleText"/>
              </w:rPr>
              <w:t>REGULATION (EU) NO 575/2013</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6D0410">
            <w:pPr>
              <w:jc w:val="left"/>
              <w:rPr>
                <w:rFonts w:cs="Arial"/>
                <w:szCs w:val="20"/>
              </w:rPr>
            </w:pPr>
            <w:r>
              <w:rPr>
                <w:rFonts w:cs="Arial"/>
                <w:szCs w:val="20"/>
              </w:rPr>
              <w:t>550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3.6</w:t>
            </w:r>
            <w:r w:rsidRPr="00B37090">
              <w:rPr>
                <w:rStyle w:val="InstructionsTabelleberschrift"/>
              </w:rPr>
              <w:t xml:space="preserve"> </w:t>
            </w:r>
            <w:r w:rsidRPr="00081C7A">
              <w:rPr>
                <w:rStyle w:val="InstructionsTabelleberschrift"/>
              </w:rPr>
              <w:t xml:space="preserve"> transferable securities other than those referred to in point 3.3 to 3.5.6 that qualify for a 20 % or better risk weight under Chapter 2, Title II of Part Three or are internally rated as having an equivalent credit quality, and </w:t>
            </w:r>
            <w:proofErr w:type="spellStart"/>
            <w:r w:rsidRPr="00081C7A">
              <w:rPr>
                <w:rStyle w:val="InstructionsTabelleberschrift"/>
              </w:rPr>
              <w:t>fulfil</w:t>
            </w:r>
            <w:proofErr w:type="spellEnd"/>
            <w:r w:rsidRPr="00081C7A">
              <w:rPr>
                <w:rStyle w:val="InstructionsTabelleberschrift"/>
              </w:rPr>
              <w:t xml:space="preserve"> any of the conditions </w:t>
            </w:r>
            <w:proofErr w:type="spellStart"/>
            <w:r w:rsidRPr="00081C7A">
              <w:rPr>
                <w:rStyle w:val="InstructionsTabelleberschrift"/>
              </w:rPr>
              <w:t>specifed</w:t>
            </w:r>
            <w:proofErr w:type="spellEnd"/>
            <w:r w:rsidRPr="00081C7A">
              <w:rPr>
                <w:rStyle w:val="InstructionsTabelleberschrift"/>
              </w:rPr>
              <w:t xml:space="preserve"> in </w:t>
            </w:r>
            <w:r>
              <w:rPr>
                <w:rStyle w:val="InstructionsTabelleberschrift"/>
              </w:rPr>
              <w:t>Point 6</w:t>
            </w:r>
            <w:r w:rsidRPr="00081C7A">
              <w:rPr>
                <w:rStyle w:val="InstructionsTabelleberschrift"/>
              </w:rPr>
              <w:t xml:space="preserve"> of Annex III of </w:t>
            </w:r>
            <w:r w:rsidR="007655D4">
              <w:rPr>
                <w:rStyle w:val="InstructionsTabelleberschrift"/>
              </w:rPr>
              <w:t>REGULATION (EU) NO 575/2013</w:t>
            </w:r>
          </w:p>
          <w:p w:rsidR="001B3F25" w:rsidRDefault="001B3F25" w:rsidP="00267206">
            <w:pPr>
              <w:pStyle w:val="InstructionsText"/>
              <w:rPr>
                <w:rStyle w:val="FormatvorlageInstructionsTabelleText"/>
                <w:szCs w:val="24"/>
                <w:lang w:val="en-GB" w:eastAsia="en-US"/>
              </w:rPr>
            </w:pPr>
          </w:p>
          <w:p w:rsidR="001B3F25" w:rsidRDefault="001B3F25" w:rsidP="00267206">
            <w:pPr>
              <w:pStyle w:val="InstructionsText"/>
              <w:rPr>
                <w:rStyle w:val="FormatvorlageInstructionsTabelleText"/>
                <w:szCs w:val="24"/>
                <w:lang w:val="en-GB" w:eastAsia="en-US"/>
              </w:rPr>
            </w:pPr>
            <w:r>
              <w:rPr>
                <w:rStyle w:val="FormatvorlageInstructionsTabelleText"/>
              </w:rPr>
              <w:t xml:space="preserve">Annex III, Point 6 </w:t>
            </w:r>
            <w:r w:rsidR="007655D4">
              <w:rPr>
                <w:rStyle w:val="FormatvorlageInstructionsTabelleText"/>
              </w:rPr>
              <w:t>REGULATION (EU) NO 575/2013</w:t>
            </w:r>
          </w:p>
          <w:p w:rsidR="001B3F25" w:rsidRDefault="001B3F25" w:rsidP="00267206">
            <w:pPr>
              <w:pStyle w:val="InstructionsText"/>
              <w:rPr>
                <w:rStyle w:val="FormatvorlageInstructionsTabelleText"/>
                <w:szCs w:val="24"/>
                <w:lang w:val="en-GB" w:eastAsia="en-US"/>
              </w:rPr>
            </w:pPr>
          </w:p>
          <w:p w:rsidR="001B3F25" w:rsidRDefault="001B3F25" w:rsidP="00267206">
            <w:pPr>
              <w:pStyle w:val="InstructionsText"/>
              <w:rPr>
                <w:rStyle w:val="InstructionsTabelleberschrift"/>
                <w:b w:val="0"/>
                <w:lang w:val="en-GB" w:eastAsia="en-US"/>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6D0410">
            <w:pPr>
              <w:jc w:val="left"/>
              <w:rPr>
                <w:rFonts w:cs="Arial"/>
                <w:szCs w:val="20"/>
              </w:rPr>
            </w:pPr>
            <w:r>
              <w:rPr>
                <w:rFonts w:cs="Arial"/>
                <w:szCs w:val="20"/>
              </w:rPr>
              <w:lastRenderedPageBreak/>
              <w:t>560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3.7</w:t>
            </w:r>
            <w:r w:rsidRPr="00B37090">
              <w:rPr>
                <w:rStyle w:val="InstructionsTabelleberschrift"/>
              </w:rPr>
              <w:t xml:space="preserve"> </w:t>
            </w:r>
            <w:r w:rsidRPr="00081C7A">
              <w:rPr>
                <w:rStyle w:val="InstructionsTabelleberschrift"/>
              </w:rPr>
              <w:t xml:space="preserve"> transferable securities other than those referred to in 3.3 to 3.6 that qualify for a 50 % or better risk weight under Chapter 2, Title II of Part Three or are internally rated as having an equivalent credit quality, and do not represent a claim on an SSPE, an institution or any of its affiliated entities</w:t>
            </w:r>
          </w:p>
          <w:p w:rsidR="001B3F25" w:rsidRDefault="001B3F25" w:rsidP="00267206">
            <w:pPr>
              <w:pStyle w:val="InstructionsText"/>
              <w:rPr>
                <w:rStyle w:val="FormatvorlageInstructionsTabelleText"/>
                <w:szCs w:val="24"/>
                <w:lang w:val="en-GB" w:eastAsia="en-US"/>
              </w:rPr>
            </w:pPr>
          </w:p>
          <w:p w:rsidR="001B3F25" w:rsidRDefault="001B3F25" w:rsidP="00267206">
            <w:pPr>
              <w:pStyle w:val="InstructionsText"/>
              <w:rPr>
                <w:rStyle w:val="FormatvorlageInstructionsTabelleText"/>
                <w:szCs w:val="24"/>
                <w:lang w:val="en-GB" w:eastAsia="en-US"/>
              </w:rPr>
            </w:pPr>
            <w:r>
              <w:rPr>
                <w:rStyle w:val="FormatvorlageInstructionsTabelleText"/>
              </w:rPr>
              <w:t xml:space="preserve">Annex III, Point 7 </w:t>
            </w:r>
            <w:r w:rsidR="007655D4">
              <w:rPr>
                <w:rStyle w:val="FormatvorlageInstructionsTabelleText"/>
              </w:rPr>
              <w:t>REGULATION (EU) NO 575/2013</w:t>
            </w:r>
          </w:p>
          <w:p w:rsidR="001B3F25" w:rsidRDefault="001B3F25" w:rsidP="00267206">
            <w:pPr>
              <w:pStyle w:val="InstructionsText"/>
              <w:rPr>
                <w:rStyle w:val="FormatvorlageInstructionsTabelleText"/>
                <w:szCs w:val="24"/>
                <w:lang w:val="en-GB" w:eastAsia="en-US"/>
              </w:rPr>
            </w:pPr>
          </w:p>
          <w:p w:rsidR="001B3F25" w:rsidRDefault="001B3F25" w:rsidP="00267206">
            <w:pPr>
              <w:pStyle w:val="InstructionsText"/>
              <w:rPr>
                <w:rStyle w:val="InstructionsTabelleberschrift"/>
                <w:b w:val="0"/>
                <w:lang w:val="en-GB" w:eastAsia="en-US"/>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6D0410">
            <w:pPr>
              <w:jc w:val="left"/>
              <w:rPr>
                <w:rFonts w:cs="Arial"/>
                <w:szCs w:val="20"/>
              </w:rPr>
            </w:pPr>
            <w:r>
              <w:rPr>
                <w:rFonts w:cs="Arial"/>
                <w:szCs w:val="20"/>
              </w:rPr>
              <w:t>570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3.8</w:t>
            </w:r>
            <w:r w:rsidRPr="00B37090">
              <w:rPr>
                <w:rStyle w:val="InstructionsTabelleberschrift"/>
              </w:rPr>
              <w:t xml:space="preserve"> </w:t>
            </w:r>
            <w:r w:rsidRPr="00081C7A">
              <w:rPr>
                <w:rStyle w:val="InstructionsTabelleberschrift"/>
              </w:rPr>
              <w:t xml:space="preserve"> transferable securities other than those referred to in 3.3 to 3.7 that are </w:t>
            </w:r>
            <w:proofErr w:type="spellStart"/>
            <w:r w:rsidRPr="00081C7A">
              <w:rPr>
                <w:rStyle w:val="InstructionsTabelleberschrift"/>
              </w:rPr>
              <w:t>collateralised</w:t>
            </w:r>
            <w:proofErr w:type="spellEnd"/>
            <w:r w:rsidRPr="00081C7A">
              <w:rPr>
                <w:rStyle w:val="InstructionsTabelleberschrift"/>
              </w:rPr>
              <w:t xml:space="preserve"> by assets that qualify for a 35 % or better risk weight under Chapter 2, Title II of Part Three or are internally rated as having an equivalent credit quality, and are fully and completely secured by mortgages on residential property in accordance with Article 125</w:t>
            </w:r>
          </w:p>
          <w:p w:rsidR="001B3F25" w:rsidRDefault="001B3F25" w:rsidP="00267206">
            <w:pPr>
              <w:pStyle w:val="InstructionsText"/>
              <w:rPr>
                <w:rStyle w:val="FormatvorlageInstructionsTabelleText"/>
                <w:szCs w:val="24"/>
                <w:lang w:val="en-GB" w:eastAsia="en-US"/>
              </w:rPr>
            </w:pPr>
          </w:p>
          <w:p w:rsidR="001B3F25" w:rsidRDefault="001B3F25" w:rsidP="00267206">
            <w:pPr>
              <w:pStyle w:val="InstructionsText"/>
              <w:rPr>
                <w:rStyle w:val="FormatvorlageInstructionsTabelleText"/>
                <w:szCs w:val="24"/>
                <w:lang w:val="en-GB" w:eastAsia="en-US"/>
              </w:rPr>
            </w:pPr>
            <w:r>
              <w:rPr>
                <w:rStyle w:val="FormatvorlageInstructionsTabelleText"/>
              </w:rPr>
              <w:t xml:space="preserve">Annex III, Point 8 </w:t>
            </w:r>
            <w:r w:rsidR="007655D4">
              <w:rPr>
                <w:rStyle w:val="FormatvorlageInstructionsTabelleText"/>
              </w:rPr>
              <w:t>REGULATION (EU) NO 575/2013</w:t>
            </w:r>
          </w:p>
          <w:p w:rsidR="001B3F25" w:rsidRDefault="001B3F25" w:rsidP="00267206">
            <w:pPr>
              <w:pStyle w:val="InstructionsText"/>
              <w:rPr>
                <w:rStyle w:val="FormatvorlageInstructionsTabelleText"/>
                <w:szCs w:val="24"/>
                <w:lang w:val="en-GB" w:eastAsia="en-US"/>
              </w:rPr>
            </w:pPr>
          </w:p>
          <w:p w:rsidR="001B3F25" w:rsidRDefault="001B3F25" w:rsidP="00267206">
            <w:pPr>
              <w:pStyle w:val="InstructionsText"/>
              <w:rPr>
                <w:rStyle w:val="InstructionsTabelleberschrift"/>
                <w:b w:val="0"/>
                <w:lang w:val="en-GB" w:eastAsia="en-US"/>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6D0410">
            <w:pPr>
              <w:jc w:val="left"/>
              <w:rPr>
                <w:rFonts w:cs="Arial"/>
                <w:szCs w:val="20"/>
              </w:rPr>
            </w:pPr>
            <w:r>
              <w:rPr>
                <w:rFonts w:cs="Arial"/>
                <w:szCs w:val="20"/>
              </w:rPr>
              <w:t>580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3.9</w:t>
            </w:r>
            <w:r w:rsidRPr="00B37090">
              <w:rPr>
                <w:rStyle w:val="InstructionsTabelleberschrift"/>
              </w:rPr>
              <w:t xml:space="preserve"> </w:t>
            </w:r>
            <w:r w:rsidRPr="00081C7A">
              <w:rPr>
                <w:rStyle w:val="InstructionsTabelleberschrift"/>
              </w:rPr>
              <w:t xml:space="preserve"> standby credit facilities granted by central banks within the scope of monetary policy to the extent that these facilities are not collaterali</w:t>
            </w:r>
            <w:r>
              <w:rPr>
                <w:rStyle w:val="InstructionsTabelleberschrift"/>
              </w:rPr>
              <w:t>z</w:t>
            </w:r>
            <w:r w:rsidRPr="00081C7A">
              <w:rPr>
                <w:rStyle w:val="InstructionsTabelleberschrift"/>
              </w:rPr>
              <w:t xml:space="preserve">ed by liquid assets and excluding emergency liquidity assistance  </w:t>
            </w:r>
          </w:p>
          <w:p w:rsidR="001B3F25" w:rsidRDefault="001B3F25" w:rsidP="00267206">
            <w:pPr>
              <w:pStyle w:val="InstructionsText"/>
              <w:rPr>
                <w:rStyle w:val="FormatvorlageInstructionsTabelleText"/>
                <w:szCs w:val="24"/>
                <w:lang w:val="en-GB" w:eastAsia="en-US"/>
              </w:rPr>
            </w:pPr>
          </w:p>
          <w:p w:rsidR="001B3F25" w:rsidRDefault="001B3F25" w:rsidP="00267206">
            <w:pPr>
              <w:pStyle w:val="InstructionsText"/>
              <w:rPr>
                <w:rStyle w:val="FormatvorlageInstructionsTabelleText"/>
              </w:rPr>
            </w:pPr>
            <w:r>
              <w:rPr>
                <w:rStyle w:val="FormatvorlageInstructionsTabelleText"/>
              </w:rPr>
              <w:t xml:space="preserve">Annex III, Point 9 </w:t>
            </w:r>
            <w:r w:rsidR="007655D4">
              <w:rPr>
                <w:rStyle w:val="FormatvorlageInstructionsTabelleText"/>
              </w:rPr>
              <w:t>REGULATION (EU) NO 575/2013</w:t>
            </w:r>
          </w:p>
          <w:p w:rsidR="001B3F25" w:rsidRDefault="001B3F25" w:rsidP="00267206">
            <w:pPr>
              <w:pStyle w:val="InstructionsText"/>
              <w:rPr>
                <w:rStyle w:val="FormatvorlageInstructionsTabelleText"/>
              </w:rPr>
            </w:pPr>
          </w:p>
          <w:p w:rsidR="001B3F25" w:rsidRDefault="001B3F25" w:rsidP="00267206">
            <w:pPr>
              <w:pStyle w:val="InstructionsText"/>
              <w:rPr>
                <w:rFonts w:eastAsiaTheme="majorEastAsia"/>
                <w:color w:val="365F91" w:themeColor="accent1" w:themeShade="BF"/>
                <w:sz w:val="28"/>
              </w:rPr>
            </w:pPr>
            <w:r>
              <w:rPr>
                <w:rStyle w:val="FormatvorlageInstructionsTabelleText"/>
              </w:rPr>
              <w:t>Only to the extent not reported under reporting item 1.5.</w:t>
            </w:r>
          </w:p>
          <w:p w:rsidR="001B3F25" w:rsidRDefault="001B3F25" w:rsidP="00267206">
            <w:pPr>
              <w:pStyle w:val="InstructionsText"/>
              <w:rPr>
                <w:rStyle w:val="FormatvorlageInstructionsTabelleText"/>
                <w:b/>
                <w:szCs w:val="24"/>
                <w:lang w:val="en-GB" w:eastAsia="en-US"/>
              </w:rPr>
            </w:pPr>
          </w:p>
          <w:p w:rsidR="001B3F25" w:rsidRDefault="001B3F25" w:rsidP="00267206">
            <w:pPr>
              <w:pStyle w:val="InstructionsText"/>
              <w:rPr>
                <w:rStyle w:val="FormatvorlageInstructionsTabelleText"/>
                <w:b/>
                <w:szCs w:val="24"/>
                <w:lang w:val="en-GB" w:eastAsia="en-US"/>
              </w:rPr>
            </w:pPr>
          </w:p>
          <w:p w:rsidR="001B3F25" w:rsidRDefault="001B3F25" w:rsidP="00267206">
            <w:pPr>
              <w:pStyle w:val="InstructionsText"/>
              <w:rPr>
                <w:rStyle w:val="InstructionsTabelleberschrift"/>
                <w:b w:val="0"/>
                <w:lang w:val="en-GB" w:eastAsia="en-US"/>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6D0410">
            <w:pPr>
              <w:jc w:val="left"/>
              <w:rPr>
                <w:rFonts w:cs="Arial"/>
                <w:szCs w:val="20"/>
              </w:rPr>
            </w:pPr>
            <w:r>
              <w:rPr>
                <w:rFonts w:cs="Arial"/>
                <w:szCs w:val="20"/>
              </w:rPr>
              <w:t>590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szCs w:val="24"/>
                <w:lang w:val="en-GB" w:eastAsia="en-US"/>
              </w:rPr>
            </w:pPr>
            <w:r>
              <w:rPr>
                <w:rStyle w:val="InstructionsTabelleberschrift"/>
              </w:rPr>
              <w:t>3.10</w:t>
            </w:r>
            <w:r w:rsidRPr="00B37090">
              <w:rPr>
                <w:rStyle w:val="InstructionsTabelleberschrift"/>
              </w:rPr>
              <w:t xml:space="preserve"> </w:t>
            </w:r>
            <w:r w:rsidRPr="00081C7A">
              <w:rPr>
                <w:rStyle w:val="InstructionsTabelleberschrift"/>
              </w:rPr>
              <w:t xml:space="preserve"> Legal or statutory minimum deposits with the central credit institution and other statutory or contractually available liquid funding from the central credit institution or institutions that are members of the network referred to in Article 113(7), or eligible for the waiver provided in Article 10, to the extent that this funding is not </w:t>
            </w:r>
            <w:proofErr w:type="spellStart"/>
            <w:r w:rsidRPr="00081C7A">
              <w:rPr>
                <w:rStyle w:val="InstructionsTabelleberschrift"/>
              </w:rPr>
              <w:t>col</w:t>
            </w:r>
            <w:r>
              <w:rPr>
                <w:rStyle w:val="InstructionsTabelleberschrift"/>
              </w:rPr>
              <w:t>l</w:t>
            </w:r>
            <w:r w:rsidRPr="00081C7A">
              <w:rPr>
                <w:rStyle w:val="InstructionsTabelleberschrift"/>
              </w:rPr>
              <w:t>ateralised</w:t>
            </w:r>
            <w:proofErr w:type="spellEnd"/>
            <w:r w:rsidRPr="00081C7A">
              <w:rPr>
                <w:rStyle w:val="InstructionsTabelleberschrift"/>
              </w:rPr>
              <w:t xml:space="preserve"> by liquid assets , if the credit institution belongs to a network in accordance with legal or statutory provisions.</w:t>
            </w:r>
          </w:p>
          <w:p w:rsidR="001B3F25" w:rsidRDefault="001B3F25" w:rsidP="00267206">
            <w:pPr>
              <w:pStyle w:val="InstructionsText"/>
              <w:rPr>
                <w:rStyle w:val="FormatvorlageInstructionsTabelleText"/>
                <w:szCs w:val="24"/>
                <w:lang w:val="en-GB" w:eastAsia="en-US"/>
              </w:rPr>
            </w:pPr>
          </w:p>
          <w:p w:rsidR="001B3F25" w:rsidRDefault="001B3F25" w:rsidP="00267206">
            <w:pPr>
              <w:pStyle w:val="InstructionsText"/>
              <w:rPr>
                <w:rStyle w:val="FormatvorlageInstructionsTabelleText"/>
              </w:rPr>
            </w:pPr>
            <w:r>
              <w:rPr>
                <w:rStyle w:val="FormatvorlageInstructionsTabelleText"/>
              </w:rPr>
              <w:t xml:space="preserve">Annex III, Point 10 </w:t>
            </w:r>
            <w:r w:rsidR="007655D4">
              <w:rPr>
                <w:rStyle w:val="FormatvorlageInstructionsTabelleText"/>
              </w:rPr>
              <w:t>REGULATION (EU) NO 575/2013</w:t>
            </w:r>
          </w:p>
          <w:p w:rsidR="001B3F25" w:rsidRDefault="001B3F25" w:rsidP="00267206">
            <w:pPr>
              <w:pStyle w:val="InstructionsText"/>
              <w:rPr>
                <w:rStyle w:val="FormatvorlageInstructionsTabelleText"/>
              </w:rPr>
            </w:pPr>
          </w:p>
          <w:p w:rsidR="001B3F25" w:rsidRDefault="00AB1C98" w:rsidP="00267206">
            <w:pPr>
              <w:pStyle w:val="InstructionsText"/>
            </w:pPr>
            <w:r>
              <w:rPr>
                <w:rStyle w:val="FormatvorlageInstructionsTabelleText"/>
              </w:rPr>
              <w:t>This item to be included o</w:t>
            </w:r>
            <w:r w:rsidR="001B3F25">
              <w:rPr>
                <w:rStyle w:val="FormatvorlageInstructionsTabelleText"/>
              </w:rPr>
              <w:t>nly to the extent not reported under reporting item 1.6.</w:t>
            </w:r>
          </w:p>
          <w:p w:rsidR="001B3F25" w:rsidRDefault="001B3F25" w:rsidP="00267206">
            <w:pPr>
              <w:pStyle w:val="InstructionsText"/>
              <w:rPr>
                <w:rStyle w:val="FormatvorlageInstructionsTabelleText"/>
                <w:b/>
                <w:szCs w:val="24"/>
                <w:lang w:val="en-GB" w:eastAsia="en-US"/>
              </w:rPr>
            </w:pPr>
          </w:p>
          <w:p w:rsidR="001B3F25" w:rsidRDefault="001B3F25" w:rsidP="00267206">
            <w:pPr>
              <w:pStyle w:val="InstructionsText"/>
              <w:rPr>
                <w:rStyle w:val="InstructionsTabelleberschrift"/>
                <w:b w:val="0"/>
                <w:szCs w:val="24"/>
                <w:lang w:val="en-GB" w:eastAsia="en-US"/>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6D0410">
            <w:pPr>
              <w:jc w:val="left"/>
              <w:rPr>
                <w:rFonts w:cs="Arial"/>
                <w:szCs w:val="20"/>
              </w:rPr>
            </w:pPr>
            <w:r>
              <w:rPr>
                <w:rFonts w:cs="Arial"/>
                <w:szCs w:val="20"/>
              </w:rPr>
              <w:t>600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3.11</w:t>
            </w:r>
            <w:r w:rsidRPr="00B37090">
              <w:rPr>
                <w:rStyle w:val="InstructionsTabelleberschrift"/>
              </w:rPr>
              <w:t xml:space="preserve"> </w:t>
            </w:r>
            <w:r w:rsidRPr="00081C7A">
              <w:rPr>
                <w:rStyle w:val="InstructionsTabelleberschrift"/>
              </w:rPr>
              <w:t>exchange traded, centrally cleared common equity shares, that are a constituent of a major stock index, denominated in the domestic currency of the Member State and not issued by an institution or any of its affiliates</w:t>
            </w:r>
          </w:p>
          <w:p w:rsidR="001B3F25" w:rsidRDefault="001B3F25" w:rsidP="00267206">
            <w:pPr>
              <w:pStyle w:val="InstructionsText"/>
              <w:rPr>
                <w:rStyle w:val="FormatvorlageInstructionsTabelleText"/>
                <w:szCs w:val="24"/>
                <w:lang w:val="en-GB" w:eastAsia="en-US"/>
              </w:rPr>
            </w:pPr>
          </w:p>
          <w:p w:rsidR="001B3F25" w:rsidRDefault="001B3F25" w:rsidP="00267206">
            <w:pPr>
              <w:pStyle w:val="InstructionsText"/>
              <w:rPr>
                <w:rStyle w:val="FormatvorlageInstructionsTabelleText"/>
                <w:szCs w:val="24"/>
                <w:lang w:val="en-GB" w:eastAsia="en-US"/>
              </w:rPr>
            </w:pPr>
            <w:r>
              <w:rPr>
                <w:rStyle w:val="FormatvorlageInstructionsTabelleText"/>
              </w:rPr>
              <w:t xml:space="preserve">Annex III, Point 11 </w:t>
            </w:r>
            <w:r w:rsidR="007655D4">
              <w:rPr>
                <w:rStyle w:val="FormatvorlageInstructionsTabelleText"/>
              </w:rPr>
              <w:t>REGULATION (EU) NO 575/2013</w:t>
            </w:r>
          </w:p>
          <w:p w:rsidR="001B3F25" w:rsidRDefault="001B3F25" w:rsidP="00267206">
            <w:pPr>
              <w:pStyle w:val="InstructionsText"/>
              <w:rPr>
                <w:rStyle w:val="FormatvorlageInstructionsTabelleText"/>
                <w:szCs w:val="24"/>
                <w:lang w:val="en-GB" w:eastAsia="en-US"/>
              </w:rPr>
            </w:pPr>
          </w:p>
          <w:p w:rsidR="001B3F25" w:rsidRDefault="001B3F25" w:rsidP="00267206">
            <w:pPr>
              <w:pStyle w:val="InstructionsText"/>
              <w:rPr>
                <w:rStyle w:val="InstructionsTabelleberschrift"/>
                <w:b w:val="0"/>
                <w:lang w:val="en-GB" w:eastAsia="en-US"/>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6D0410">
            <w:pPr>
              <w:jc w:val="left"/>
              <w:rPr>
                <w:rFonts w:cs="Arial"/>
                <w:szCs w:val="20"/>
              </w:rPr>
            </w:pPr>
            <w:r>
              <w:rPr>
                <w:rFonts w:cs="Arial"/>
                <w:szCs w:val="20"/>
              </w:rPr>
              <w:t>610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3.12</w:t>
            </w:r>
            <w:r w:rsidRPr="00B37090">
              <w:rPr>
                <w:rStyle w:val="InstructionsTabelleberschrift"/>
              </w:rPr>
              <w:t xml:space="preserve"> </w:t>
            </w:r>
            <w:r w:rsidRPr="00081C7A">
              <w:rPr>
                <w:rStyle w:val="InstructionsTabelleberschrift"/>
              </w:rPr>
              <w:t xml:space="preserve">gold listed on a </w:t>
            </w:r>
            <w:proofErr w:type="spellStart"/>
            <w:r w:rsidRPr="00081C7A">
              <w:rPr>
                <w:rStyle w:val="InstructionsTabelleberschrift"/>
              </w:rPr>
              <w:t>recognised</w:t>
            </w:r>
            <w:proofErr w:type="spellEnd"/>
            <w:r w:rsidRPr="00081C7A">
              <w:rPr>
                <w:rStyle w:val="InstructionsTabelleberschrift"/>
              </w:rPr>
              <w:t xml:space="preserve"> exchange, held on an allocated basis</w:t>
            </w:r>
          </w:p>
          <w:p w:rsidR="001B3F25" w:rsidRDefault="001B3F25" w:rsidP="00267206">
            <w:pPr>
              <w:pStyle w:val="InstructionsText"/>
              <w:rPr>
                <w:rStyle w:val="FormatvorlageInstructionsTabelleText"/>
                <w:szCs w:val="24"/>
                <w:lang w:val="en-GB" w:eastAsia="en-US"/>
              </w:rPr>
            </w:pPr>
          </w:p>
          <w:p w:rsidR="001B3F25" w:rsidRDefault="001B3F25" w:rsidP="00267206">
            <w:pPr>
              <w:pStyle w:val="InstructionsText"/>
              <w:rPr>
                <w:rStyle w:val="FormatvorlageInstructionsTabelleText"/>
                <w:szCs w:val="24"/>
                <w:lang w:val="en-GB" w:eastAsia="en-US"/>
              </w:rPr>
            </w:pPr>
            <w:r>
              <w:rPr>
                <w:rStyle w:val="FormatvorlageInstructionsTabelleText"/>
              </w:rPr>
              <w:t xml:space="preserve">Annex III, Point 12 </w:t>
            </w:r>
            <w:r w:rsidR="007655D4">
              <w:rPr>
                <w:rStyle w:val="FormatvorlageInstructionsTabelleText"/>
              </w:rPr>
              <w:t>REGULATION (EU) NO 575/2013</w:t>
            </w:r>
          </w:p>
          <w:p w:rsidR="001B3F25" w:rsidRDefault="001B3F25" w:rsidP="00267206">
            <w:pPr>
              <w:pStyle w:val="InstructionsText"/>
              <w:rPr>
                <w:rStyle w:val="FormatvorlageInstructionsTabelleText"/>
                <w:szCs w:val="24"/>
                <w:lang w:val="en-GB" w:eastAsia="en-US"/>
              </w:rPr>
            </w:pPr>
          </w:p>
          <w:p w:rsidR="001B3F25" w:rsidRDefault="001B3F25" w:rsidP="00267206">
            <w:pPr>
              <w:pStyle w:val="InstructionsText"/>
              <w:rPr>
                <w:rStyle w:val="InstructionsTabelleberschrift"/>
                <w:b w:val="0"/>
                <w:lang w:val="en-GB" w:eastAsia="en-US"/>
              </w:rPr>
            </w:pPr>
          </w:p>
        </w:tc>
      </w:tr>
      <w:tr w:rsidR="001B3F25" w:rsidRPr="00CA3217" w:rsidTr="001B3F25">
        <w:tc>
          <w:tcPr>
            <w:tcW w:w="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F25" w:rsidRPr="00061F75" w:rsidRDefault="001B3F25" w:rsidP="00FE021C">
            <w:pPr>
              <w:rPr>
                <w:rFonts w:cs="Arial"/>
                <w:szCs w:val="20"/>
              </w:rPr>
            </w:pPr>
            <w:r w:rsidRPr="00061F75">
              <w:rPr>
                <w:rFonts w:cs="Arial"/>
                <w:szCs w:val="20"/>
              </w:rPr>
              <w:lastRenderedPageBreak/>
              <w:t>620-850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B3F25" w:rsidRPr="00061F75" w:rsidRDefault="001B3F25" w:rsidP="00267206">
            <w:pPr>
              <w:pStyle w:val="InstructionsText"/>
              <w:rPr>
                <w:rStyle w:val="InstructionsTabelleberschrift"/>
                <w:b w:val="0"/>
                <w:szCs w:val="20"/>
              </w:rPr>
            </w:pPr>
            <w:r w:rsidRPr="00061F75">
              <w:t xml:space="preserve">4 ASSETS WHICH DO NOT MEET THE REQUIREMENTS OF ARTICLE 416 </w:t>
            </w:r>
            <w:r w:rsidR="007655D4">
              <w:t>REGULATION (EU) NO 575/2013</w:t>
            </w:r>
            <w:r w:rsidRPr="00061F75">
              <w:t xml:space="preserve"> but still meet the requirements of Article 417 (b) and (c ) </w:t>
            </w:r>
            <w:r w:rsidR="007655D4">
              <w:t>REGULATION (EU) NO 575/2013</w:t>
            </w:r>
            <w:r w:rsidRPr="00061F75">
              <w:rPr>
                <w:rStyle w:val="InstructionsTabelleberschrift"/>
                <w:b w:val="0"/>
              </w:rPr>
              <w:t xml:space="preserve">  </w:t>
            </w:r>
          </w:p>
        </w:tc>
      </w:tr>
      <w:tr w:rsidR="001B3F25" w:rsidRPr="00CA3217" w:rsidTr="001B3F25">
        <w:tc>
          <w:tcPr>
            <w:tcW w:w="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F25" w:rsidRPr="00061F75" w:rsidRDefault="001B3F25" w:rsidP="00FE021C">
            <w:pPr>
              <w:rPr>
                <w:rFonts w:cs="Arial"/>
                <w:szCs w:val="20"/>
              </w:rPr>
            </w:pPr>
            <w:r w:rsidRPr="00061F75">
              <w:rPr>
                <w:rFonts w:cs="Arial"/>
                <w:szCs w:val="20"/>
              </w:rPr>
              <w:t>620-640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B3F25" w:rsidRDefault="00061F75" w:rsidP="00267206">
            <w:pPr>
              <w:pStyle w:val="InstructionsText"/>
              <w:rPr>
                <w:rStyle w:val="InstructionsTabelleberschrift"/>
              </w:rPr>
            </w:pPr>
            <w:r>
              <w:rPr>
                <w:rStyle w:val="InstructionsTabelleberschrift"/>
              </w:rPr>
              <w:t xml:space="preserve">4.1 </w:t>
            </w:r>
            <w:r w:rsidR="001B3F25">
              <w:rPr>
                <w:rStyle w:val="InstructionsTabelleberschrift"/>
              </w:rPr>
              <w:t>F</w:t>
            </w:r>
            <w:r w:rsidR="001B3F25" w:rsidRPr="00FE021C">
              <w:rPr>
                <w:rStyle w:val="InstructionsTabelleberschrift"/>
              </w:rPr>
              <w:t>inancial corporate bonds</w:t>
            </w:r>
          </w:p>
          <w:p w:rsidR="001B3F25" w:rsidRDefault="001B3F25" w:rsidP="00267206">
            <w:pPr>
              <w:pStyle w:val="InstructionsText"/>
              <w:rPr>
                <w:rStyle w:val="InstructionsTabelleberschrift"/>
              </w:rPr>
            </w:pPr>
          </w:p>
          <w:p w:rsidR="001B3F25" w:rsidRDefault="001B3F25" w:rsidP="00267206">
            <w:pPr>
              <w:pStyle w:val="InstructionsText"/>
              <w:rPr>
                <w:rStyle w:val="FormatvorlageInstructionsTabelleText"/>
                <w:szCs w:val="24"/>
                <w:lang w:val="en-GB" w:eastAsia="en-US"/>
              </w:rPr>
            </w:pPr>
          </w:p>
          <w:p w:rsidR="001B3F25" w:rsidRDefault="001B3F25" w:rsidP="00267206">
            <w:pPr>
              <w:pStyle w:val="InstructionsText"/>
              <w:rPr>
                <w:rStyle w:val="FormatvorlageInstructionsTabelleText"/>
                <w:szCs w:val="24"/>
                <w:lang w:val="en-GB" w:eastAsia="en-US"/>
              </w:rPr>
            </w:pPr>
            <w:r w:rsidRPr="00FE021C">
              <w:rPr>
                <w:rStyle w:val="FormatvorlageInstructionsTabelleText"/>
              </w:rPr>
              <w:t xml:space="preserve">Article 416 (2) of </w:t>
            </w:r>
            <w:r w:rsidR="007655D4">
              <w:rPr>
                <w:rStyle w:val="FormatvorlageInstructionsTabelleText"/>
              </w:rPr>
              <w:t>REGULATION (EU) NO 575/2013</w:t>
            </w:r>
          </w:p>
          <w:p w:rsidR="001B3F25" w:rsidRDefault="001B3F25" w:rsidP="00267206">
            <w:pPr>
              <w:pStyle w:val="InstructionsText"/>
              <w:rPr>
                <w:rStyle w:val="FormatvorlageInstructionsTabelleText"/>
                <w:szCs w:val="24"/>
                <w:lang w:val="en-GB" w:eastAsia="en-US"/>
              </w:rPr>
            </w:pPr>
          </w:p>
          <w:p w:rsidR="001B3F25" w:rsidRPr="00061F75" w:rsidRDefault="001B3F25" w:rsidP="00267206">
            <w:pPr>
              <w:pStyle w:val="InstructionsText"/>
              <w:rPr>
                <w:rStyle w:val="InstructionsTabelleberschrift"/>
                <w:b w:val="0"/>
                <w:u w:val="none"/>
              </w:rPr>
            </w:pPr>
            <w:r w:rsidRPr="00061F75">
              <w:rPr>
                <w:rStyle w:val="InstructionsTabelleberschrift"/>
                <w:b w:val="0"/>
                <w:u w:val="none"/>
              </w:rPr>
              <w:t xml:space="preserve">Bonds issued by an investment firm, insurance undertaking, financial holding company, a mixed financial holding company or any other entity that performs one or more of the activities listed in Annex I to Directive 2013/36/EU. </w:t>
            </w:r>
          </w:p>
          <w:p w:rsidR="001B3F25" w:rsidRPr="00061F75" w:rsidRDefault="001B3F25" w:rsidP="00267206">
            <w:pPr>
              <w:pStyle w:val="InstructionsText"/>
              <w:rPr>
                <w:rStyle w:val="InstructionsTabelleberschrift"/>
                <w:b w:val="0"/>
                <w:u w:val="none"/>
              </w:rPr>
            </w:pPr>
          </w:p>
          <w:p w:rsidR="001B3F25" w:rsidRPr="00061F75" w:rsidRDefault="001B3F25" w:rsidP="00267206">
            <w:pPr>
              <w:pStyle w:val="InstructionsText"/>
              <w:rPr>
                <w:rStyle w:val="InstructionsTabelleberschrift"/>
                <w:b w:val="0"/>
                <w:szCs w:val="24"/>
                <w:u w:val="none"/>
                <w:lang w:val="en-GB" w:eastAsia="en-US"/>
              </w:rPr>
            </w:pPr>
            <w:r w:rsidRPr="00061F75">
              <w:rPr>
                <w:rStyle w:val="InstructionsTabelleberschrift"/>
                <w:b w:val="0"/>
                <w:u w:val="none"/>
              </w:rPr>
              <w:t xml:space="preserve">Those items shall be reported according to their credit quality as per Article 120(1) of </w:t>
            </w:r>
            <w:r w:rsidR="007655D4">
              <w:rPr>
                <w:rStyle w:val="InstructionsTabelleberschrift"/>
                <w:b w:val="0"/>
                <w:u w:val="none"/>
              </w:rPr>
              <w:t>REGULATION (EU) NO 575/2013</w:t>
            </w:r>
          </w:p>
          <w:p w:rsidR="001B3F25" w:rsidRDefault="001B3F25" w:rsidP="00267206">
            <w:pPr>
              <w:pStyle w:val="InstructionsText"/>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6D0410">
            <w:pPr>
              <w:jc w:val="left"/>
              <w:rPr>
                <w:rFonts w:cs="Arial"/>
                <w:szCs w:val="20"/>
              </w:rPr>
            </w:pPr>
            <w:r>
              <w:rPr>
                <w:rFonts w:cs="Arial"/>
                <w:szCs w:val="20"/>
              </w:rPr>
              <w:t>620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4</w:t>
            </w:r>
            <w:r w:rsidRPr="00B37090">
              <w:rPr>
                <w:rStyle w:val="InstructionsTabelleberschrift"/>
              </w:rPr>
              <w:t>.</w:t>
            </w:r>
            <w:r>
              <w:rPr>
                <w:rStyle w:val="InstructionsTabelleberschrift"/>
              </w:rPr>
              <w:t>1</w:t>
            </w:r>
            <w:r w:rsidRPr="00B37090">
              <w:rPr>
                <w:rStyle w:val="InstructionsTabelleberschrift"/>
              </w:rPr>
              <w:t>.1 credit quality step 1</w:t>
            </w:r>
          </w:p>
          <w:p w:rsidR="001B3F25" w:rsidRDefault="001B3F25" w:rsidP="00267206">
            <w:pPr>
              <w:pStyle w:val="InstructionsText"/>
              <w:rPr>
                <w:rStyle w:val="InstructionsTabelleberschrift"/>
                <w:szCs w:val="24"/>
                <w:lang w:val="en-GB" w:eastAsia="en-US"/>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6D0410">
            <w:pPr>
              <w:jc w:val="left"/>
              <w:rPr>
                <w:rFonts w:cs="Arial"/>
                <w:szCs w:val="20"/>
              </w:rPr>
            </w:pPr>
            <w:r>
              <w:rPr>
                <w:rFonts w:cs="Arial"/>
                <w:szCs w:val="20"/>
              </w:rPr>
              <w:t>630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4.1</w:t>
            </w:r>
            <w:r w:rsidRPr="00B37090">
              <w:rPr>
                <w:rStyle w:val="InstructionsTabelleberschrift"/>
              </w:rPr>
              <w:t>.2 credit quality step 2</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6D0410">
            <w:pPr>
              <w:jc w:val="left"/>
              <w:rPr>
                <w:rFonts w:cs="Arial"/>
                <w:szCs w:val="20"/>
              </w:rPr>
            </w:pPr>
            <w:r>
              <w:rPr>
                <w:rFonts w:cs="Arial"/>
                <w:szCs w:val="20"/>
              </w:rPr>
              <w:t>640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4.1.</w:t>
            </w:r>
            <w:r w:rsidRPr="00B37090">
              <w:rPr>
                <w:rStyle w:val="InstructionsTabelleberschrift"/>
              </w:rPr>
              <w:t>3 credit quality step 3</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F25" w:rsidRDefault="001B3F25" w:rsidP="006D0410">
            <w:pPr>
              <w:jc w:val="left"/>
              <w:rPr>
                <w:rFonts w:cs="Arial"/>
                <w:szCs w:val="20"/>
              </w:rPr>
            </w:pPr>
            <w:r>
              <w:rPr>
                <w:rFonts w:cs="Arial"/>
                <w:szCs w:val="20"/>
              </w:rPr>
              <w:t>650-670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B3F25" w:rsidRDefault="001B3F25" w:rsidP="00267206">
            <w:pPr>
              <w:pStyle w:val="InstructionsText"/>
              <w:rPr>
                <w:rStyle w:val="InstructionsTabelleberschrift"/>
              </w:rPr>
            </w:pPr>
            <w:r>
              <w:rPr>
                <w:rStyle w:val="InstructionsTabelleberschrift"/>
              </w:rPr>
              <w:t>4</w:t>
            </w:r>
            <w:r w:rsidRPr="00B37090">
              <w:rPr>
                <w:rStyle w:val="InstructionsTabelleberschrift"/>
              </w:rPr>
              <w:t>.</w:t>
            </w:r>
            <w:r>
              <w:rPr>
                <w:rStyle w:val="InstructionsTabelleberschrift"/>
              </w:rPr>
              <w:t>2</w:t>
            </w:r>
            <w:r w:rsidRPr="00B37090">
              <w:rPr>
                <w:rStyle w:val="InstructionsTabelleberschrift"/>
              </w:rPr>
              <w:t xml:space="preserve"> </w:t>
            </w:r>
            <w:r w:rsidRPr="00FE021C">
              <w:rPr>
                <w:rStyle w:val="InstructionsTabelleberschrift"/>
              </w:rPr>
              <w:t xml:space="preserve"> </w:t>
            </w:r>
            <w:r>
              <w:rPr>
                <w:rStyle w:val="InstructionsTabelleberschrift"/>
              </w:rPr>
              <w:t>own issuances</w:t>
            </w:r>
          </w:p>
          <w:p w:rsidR="001B3F25" w:rsidRDefault="001B3F25" w:rsidP="00267206">
            <w:pPr>
              <w:pStyle w:val="InstructionsText"/>
              <w:rPr>
                <w:rStyle w:val="FormatvorlageInstructionsTabelleText"/>
                <w:szCs w:val="24"/>
                <w:lang w:val="en-GB" w:eastAsia="en-US"/>
              </w:rPr>
            </w:pPr>
          </w:p>
          <w:p w:rsidR="001B3F25" w:rsidRDefault="001B3F25" w:rsidP="00267206">
            <w:pPr>
              <w:pStyle w:val="InstructionsText"/>
              <w:rPr>
                <w:rStyle w:val="FormatvorlageInstructionsTabelleText"/>
                <w:szCs w:val="24"/>
                <w:lang w:val="en-GB" w:eastAsia="en-US"/>
              </w:rPr>
            </w:pPr>
            <w:r w:rsidRPr="00FE021C">
              <w:rPr>
                <w:rStyle w:val="FormatvorlageInstructionsTabelleText"/>
              </w:rPr>
              <w:t>Article 416 (</w:t>
            </w:r>
            <w:r>
              <w:rPr>
                <w:rStyle w:val="FormatvorlageInstructionsTabelleText"/>
              </w:rPr>
              <w:t>3</w:t>
            </w:r>
            <w:r w:rsidRPr="00FE021C">
              <w:rPr>
                <w:rStyle w:val="FormatvorlageInstructionsTabelleText"/>
              </w:rPr>
              <w:t>)</w:t>
            </w:r>
            <w:r>
              <w:rPr>
                <w:rStyle w:val="FormatvorlageInstructionsTabelleText"/>
              </w:rPr>
              <w:t>(b)</w:t>
            </w:r>
            <w:r w:rsidRPr="00FE021C">
              <w:rPr>
                <w:rStyle w:val="FormatvorlageInstructionsTabelleText"/>
              </w:rPr>
              <w:t xml:space="preserve"> of </w:t>
            </w:r>
            <w:r w:rsidR="007655D4">
              <w:rPr>
                <w:rStyle w:val="FormatvorlageInstructionsTabelleText"/>
              </w:rPr>
              <w:t>REGULATION (EU) NO 575/2013</w:t>
            </w:r>
          </w:p>
          <w:p w:rsidR="001B3F25" w:rsidRDefault="001B3F25" w:rsidP="00267206">
            <w:pPr>
              <w:pStyle w:val="InstructionsText"/>
              <w:rPr>
                <w:rStyle w:val="FormatvorlageInstructionsTabelleText"/>
                <w:szCs w:val="24"/>
                <w:lang w:val="en-GB" w:eastAsia="en-US"/>
              </w:rPr>
            </w:pPr>
          </w:p>
          <w:p w:rsidR="001B3F25" w:rsidRPr="00061F75" w:rsidRDefault="001B3F25" w:rsidP="00267206">
            <w:pPr>
              <w:pStyle w:val="InstructionsText"/>
              <w:rPr>
                <w:rStyle w:val="InstructionsTabelleberschrift"/>
                <w:b w:val="0"/>
                <w:u w:val="none"/>
              </w:rPr>
            </w:pPr>
            <w:r w:rsidRPr="00061F75">
              <w:rPr>
                <w:rStyle w:val="InstructionsTabelleberschrift"/>
                <w:b w:val="0"/>
                <w:u w:val="none"/>
              </w:rPr>
              <w:t xml:space="preserve">Those items shall be reported according to their credit quality as per Article 120(1) of </w:t>
            </w:r>
            <w:r w:rsidR="007655D4">
              <w:rPr>
                <w:rStyle w:val="InstructionsTabelleberschrift"/>
                <w:b w:val="0"/>
                <w:u w:val="none"/>
              </w:rPr>
              <w:t>REGULATION (EU) NO 575/2013</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Default="001B3F25" w:rsidP="006D0410">
            <w:pPr>
              <w:jc w:val="left"/>
              <w:rPr>
                <w:rFonts w:cs="Arial"/>
                <w:szCs w:val="20"/>
              </w:rPr>
            </w:pPr>
            <w:r>
              <w:rPr>
                <w:rFonts w:cs="Arial"/>
                <w:szCs w:val="20"/>
              </w:rPr>
              <w:t>650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4</w:t>
            </w:r>
            <w:r w:rsidRPr="00B37090">
              <w:rPr>
                <w:rStyle w:val="InstructionsTabelleberschrift"/>
              </w:rPr>
              <w:t>.</w:t>
            </w:r>
            <w:r>
              <w:rPr>
                <w:rStyle w:val="InstructionsTabelleberschrift"/>
              </w:rPr>
              <w:t>2</w:t>
            </w:r>
            <w:r w:rsidRPr="00B37090">
              <w:rPr>
                <w:rStyle w:val="InstructionsTabelleberschrift"/>
              </w:rPr>
              <w:t>.1 credit quality step 1</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Default="001B3F25" w:rsidP="006D0410">
            <w:pPr>
              <w:jc w:val="left"/>
              <w:rPr>
                <w:rFonts w:cs="Arial"/>
                <w:szCs w:val="20"/>
              </w:rPr>
            </w:pPr>
            <w:r>
              <w:rPr>
                <w:rFonts w:cs="Arial"/>
                <w:szCs w:val="20"/>
              </w:rPr>
              <w:t>660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4.2</w:t>
            </w:r>
            <w:r w:rsidRPr="00B37090">
              <w:rPr>
                <w:rStyle w:val="InstructionsTabelleberschrift"/>
              </w:rPr>
              <w:t>.2 credit quality step 2</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Default="001B3F25" w:rsidP="006D0410">
            <w:pPr>
              <w:jc w:val="left"/>
              <w:rPr>
                <w:rFonts w:cs="Arial"/>
                <w:szCs w:val="20"/>
              </w:rPr>
            </w:pPr>
            <w:r>
              <w:rPr>
                <w:rFonts w:cs="Arial"/>
                <w:szCs w:val="20"/>
              </w:rPr>
              <w:t>670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4.2.</w:t>
            </w:r>
            <w:r w:rsidRPr="00B37090">
              <w:rPr>
                <w:rStyle w:val="InstructionsTabelleberschrift"/>
              </w:rPr>
              <w:t>3 credit quality step 3</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F25" w:rsidRDefault="001B3F25" w:rsidP="006D0410">
            <w:pPr>
              <w:jc w:val="left"/>
              <w:rPr>
                <w:rFonts w:cs="Arial"/>
                <w:szCs w:val="20"/>
              </w:rPr>
            </w:pPr>
            <w:r>
              <w:rPr>
                <w:rFonts w:cs="Arial"/>
                <w:szCs w:val="20"/>
              </w:rPr>
              <w:t>680-700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B3F25" w:rsidRDefault="001B3F25" w:rsidP="00267206">
            <w:pPr>
              <w:pStyle w:val="InstructionsText"/>
              <w:rPr>
                <w:rStyle w:val="InstructionsTabelleberschrift"/>
              </w:rPr>
            </w:pPr>
            <w:r>
              <w:rPr>
                <w:rStyle w:val="InstructionsTabelleberschrift"/>
              </w:rPr>
              <w:t>4</w:t>
            </w:r>
            <w:r w:rsidRPr="00B37090">
              <w:rPr>
                <w:rStyle w:val="InstructionsTabelleberschrift"/>
              </w:rPr>
              <w:t>.</w:t>
            </w:r>
            <w:r>
              <w:rPr>
                <w:rStyle w:val="InstructionsTabelleberschrift"/>
              </w:rPr>
              <w:t>3</w:t>
            </w:r>
            <w:r w:rsidRPr="00B37090">
              <w:rPr>
                <w:rStyle w:val="InstructionsTabelleberschrift"/>
              </w:rPr>
              <w:t xml:space="preserve"> </w:t>
            </w:r>
            <w:r>
              <w:rPr>
                <w:rStyle w:val="InstructionsTabelleberschrift"/>
              </w:rPr>
              <w:t>unsecured credit institution issuances</w:t>
            </w:r>
          </w:p>
          <w:p w:rsidR="001B3F25" w:rsidRDefault="007655D4" w:rsidP="00267206">
            <w:pPr>
              <w:pStyle w:val="InstructionsText"/>
              <w:rPr>
                <w:rStyle w:val="FormatvorlageInstructionsTabelleText"/>
                <w:szCs w:val="24"/>
                <w:lang w:val="en-GB" w:eastAsia="en-US"/>
              </w:rPr>
            </w:pPr>
            <w:r>
              <w:rPr>
                <w:rStyle w:val="FormatvorlageInstructionsTabelleText"/>
              </w:rPr>
              <w:t>REGULATION (EU) NO 575/2013</w:t>
            </w:r>
          </w:p>
          <w:p w:rsidR="001B3F25" w:rsidRPr="00061F75" w:rsidRDefault="001B3F25" w:rsidP="00267206">
            <w:pPr>
              <w:pStyle w:val="InstructionsText"/>
              <w:rPr>
                <w:rStyle w:val="InstructionsTabelleberschrift"/>
                <w:b w:val="0"/>
                <w:u w:val="none"/>
              </w:rPr>
            </w:pPr>
            <w:r w:rsidRPr="00061F75">
              <w:rPr>
                <w:rStyle w:val="InstructionsTabelleberschrift"/>
                <w:b w:val="0"/>
                <w:u w:val="none"/>
              </w:rPr>
              <w:t xml:space="preserve">Those items shall be reported according to their credit quality as per Article 120(1) of </w:t>
            </w:r>
            <w:r w:rsidR="007655D4">
              <w:rPr>
                <w:rStyle w:val="InstructionsTabelleberschrift"/>
                <w:b w:val="0"/>
                <w:u w:val="none"/>
              </w:rPr>
              <w:t>REGULATION (EU) NO 575/2013</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Default="001B3F25" w:rsidP="006D0410">
            <w:pPr>
              <w:jc w:val="left"/>
              <w:rPr>
                <w:rFonts w:cs="Arial"/>
                <w:szCs w:val="20"/>
              </w:rPr>
            </w:pPr>
            <w:r>
              <w:rPr>
                <w:rFonts w:cs="Arial"/>
                <w:szCs w:val="20"/>
              </w:rPr>
              <w:t>680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4</w:t>
            </w:r>
            <w:r w:rsidRPr="00B37090">
              <w:rPr>
                <w:rStyle w:val="InstructionsTabelleberschrift"/>
              </w:rPr>
              <w:t>.</w:t>
            </w:r>
            <w:r>
              <w:rPr>
                <w:rStyle w:val="InstructionsTabelleberschrift"/>
              </w:rPr>
              <w:t>3</w:t>
            </w:r>
            <w:r w:rsidRPr="00B37090">
              <w:rPr>
                <w:rStyle w:val="InstructionsTabelleberschrift"/>
              </w:rPr>
              <w:t>.1 credit quality step 1</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Default="001B3F25" w:rsidP="006D0410">
            <w:pPr>
              <w:jc w:val="left"/>
              <w:rPr>
                <w:rFonts w:cs="Arial"/>
                <w:szCs w:val="20"/>
              </w:rPr>
            </w:pPr>
            <w:r>
              <w:rPr>
                <w:rFonts w:cs="Arial"/>
                <w:szCs w:val="20"/>
              </w:rPr>
              <w:t>690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4.3</w:t>
            </w:r>
            <w:r w:rsidRPr="00B37090">
              <w:rPr>
                <w:rStyle w:val="InstructionsTabelleberschrift"/>
              </w:rPr>
              <w:t>.2 credit quality step 2</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Default="001B3F25" w:rsidP="006D0410">
            <w:pPr>
              <w:jc w:val="left"/>
              <w:rPr>
                <w:rFonts w:cs="Arial"/>
                <w:szCs w:val="20"/>
              </w:rPr>
            </w:pPr>
            <w:r>
              <w:rPr>
                <w:rFonts w:cs="Arial"/>
                <w:szCs w:val="20"/>
              </w:rPr>
              <w:t>700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4.3.</w:t>
            </w:r>
            <w:r w:rsidRPr="00B37090">
              <w:rPr>
                <w:rStyle w:val="InstructionsTabelleberschrift"/>
              </w:rPr>
              <w:t>3 credit quality step 3</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F25" w:rsidRDefault="001B3F25" w:rsidP="006D0410">
            <w:pPr>
              <w:jc w:val="left"/>
              <w:rPr>
                <w:rFonts w:cs="Arial"/>
                <w:szCs w:val="20"/>
              </w:rPr>
            </w:pPr>
            <w:r>
              <w:rPr>
                <w:rFonts w:cs="Arial"/>
                <w:szCs w:val="20"/>
              </w:rPr>
              <w:t>710-730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B3F25" w:rsidRDefault="001B3F25" w:rsidP="00267206">
            <w:pPr>
              <w:pStyle w:val="InstructionsText"/>
              <w:rPr>
                <w:rStyle w:val="InstructionsTabelleberschrift"/>
              </w:rPr>
            </w:pPr>
            <w:r>
              <w:rPr>
                <w:rStyle w:val="InstructionsTabelleberschrift"/>
              </w:rPr>
              <w:t>4</w:t>
            </w:r>
            <w:r w:rsidRPr="00B37090">
              <w:rPr>
                <w:rStyle w:val="InstructionsTabelleberschrift"/>
              </w:rPr>
              <w:t>.</w:t>
            </w:r>
            <w:r>
              <w:rPr>
                <w:rStyle w:val="InstructionsTabelleberschrift"/>
              </w:rPr>
              <w:t>4 asset</w:t>
            </w:r>
            <w:r w:rsidRPr="008A3D87">
              <w:rPr>
                <w:rStyle w:val="InstructionsTabelleberschrift"/>
              </w:rPr>
              <w:t xml:space="preserve"> backed securities not already reported in 1.10 to 1.11.3</w:t>
            </w:r>
          </w:p>
          <w:p w:rsidR="001B3F25" w:rsidRDefault="001B3F25" w:rsidP="00267206">
            <w:pPr>
              <w:pStyle w:val="InstructionsText"/>
              <w:rPr>
                <w:rStyle w:val="FormatvorlageInstructionsTabelleText"/>
                <w:szCs w:val="24"/>
                <w:lang w:val="en-GB" w:eastAsia="en-US"/>
              </w:rPr>
            </w:pPr>
          </w:p>
          <w:p w:rsidR="001B3F25" w:rsidRDefault="001B3F25" w:rsidP="00267206">
            <w:pPr>
              <w:pStyle w:val="InstructionsText"/>
              <w:rPr>
                <w:rStyle w:val="FormatvorlageInstructionsTabelleText"/>
                <w:szCs w:val="24"/>
                <w:lang w:val="en-GB" w:eastAsia="en-US"/>
              </w:rPr>
            </w:pPr>
            <w:r>
              <w:rPr>
                <w:rStyle w:val="FormatvorlageInstructionsTabelleText"/>
              </w:rPr>
              <w:t>Article 416(4)(b)</w:t>
            </w:r>
            <w:r w:rsidRPr="00FE021C">
              <w:rPr>
                <w:rStyle w:val="FormatvorlageInstructionsTabelleText"/>
              </w:rPr>
              <w:t xml:space="preserve"> of </w:t>
            </w:r>
            <w:r w:rsidR="007655D4">
              <w:rPr>
                <w:rStyle w:val="FormatvorlageInstructionsTabelleText"/>
              </w:rPr>
              <w:t>REGULATION (EU) NO 575/2013</w:t>
            </w:r>
          </w:p>
          <w:p w:rsidR="001B3F25" w:rsidRDefault="001B3F25" w:rsidP="00267206">
            <w:pPr>
              <w:pStyle w:val="InstructionsText"/>
              <w:rPr>
                <w:rStyle w:val="FormatvorlageInstructionsTabelleText"/>
                <w:szCs w:val="24"/>
                <w:lang w:val="en-GB" w:eastAsia="en-US"/>
              </w:rPr>
            </w:pPr>
          </w:p>
          <w:p w:rsidR="001B3F25" w:rsidRPr="00061F75" w:rsidRDefault="001B3F25" w:rsidP="00267206">
            <w:pPr>
              <w:pStyle w:val="InstructionsText"/>
              <w:rPr>
                <w:rStyle w:val="InstructionsTabelleberschrift"/>
                <w:b w:val="0"/>
                <w:u w:val="none"/>
              </w:rPr>
            </w:pPr>
            <w:r w:rsidRPr="00061F75">
              <w:rPr>
                <w:rStyle w:val="InstructionsTabelleberschrift"/>
                <w:b w:val="0"/>
                <w:u w:val="none"/>
              </w:rPr>
              <w:t xml:space="preserve">Those items shall be reported according to their credit quality as per Chapter 5, Title 2 of Part III  and Article 125 of </w:t>
            </w:r>
            <w:r w:rsidR="007655D4">
              <w:rPr>
                <w:rStyle w:val="InstructionsTabelleberschrift"/>
                <w:b w:val="0"/>
                <w:u w:val="none"/>
              </w:rPr>
              <w:t>REGULATION (EU) NO 575/2013</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Default="001B3F25" w:rsidP="006D0410">
            <w:pPr>
              <w:jc w:val="left"/>
              <w:rPr>
                <w:rFonts w:cs="Arial"/>
                <w:szCs w:val="20"/>
              </w:rPr>
            </w:pPr>
            <w:r>
              <w:rPr>
                <w:rFonts w:cs="Arial"/>
                <w:szCs w:val="20"/>
              </w:rPr>
              <w:lastRenderedPageBreak/>
              <w:t>710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4</w:t>
            </w:r>
            <w:r w:rsidRPr="00B37090">
              <w:rPr>
                <w:rStyle w:val="InstructionsTabelleberschrift"/>
              </w:rPr>
              <w:t>.</w:t>
            </w:r>
            <w:r>
              <w:rPr>
                <w:rStyle w:val="InstructionsTabelleberschrift"/>
              </w:rPr>
              <w:t>4</w:t>
            </w:r>
            <w:r w:rsidRPr="00B37090">
              <w:rPr>
                <w:rStyle w:val="InstructionsTabelleberschrift"/>
              </w:rPr>
              <w:t>.1 credit quality step 1</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Default="001B3F25" w:rsidP="006D0410">
            <w:pPr>
              <w:jc w:val="left"/>
              <w:rPr>
                <w:rFonts w:cs="Arial"/>
                <w:szCs w:val="20"/>
              </w:rPr>
            </w:pPr>
            <w:r>
              <w:rPr>
                <w:rFonts w:cs="Arial"/>
                <w:szCs w:val="20"/>
              </w:rPr>
              <w:t>720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4.4</w:t>
            </w:r>
            <w:r w:rsidRPr="00B37090">
              <w:rPr>
                <w:rStyle w:val="InstructionsTabelleberschrift"/>
              </w:rPr>
              <w:t>.2 credit quality step 2</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Default="001B3F25" w:rsidP="006D0410">
            <w:pPr>
              <w:jc w:val="left"/>
              <w:rPr>
                <w:rFonts w:cs="Arial"/>
                <w:szCs w:val="20"/>
              </w:rPr>
            </w:pPr>
            <w:r>
              <w:rPr>
                <w:rFonts w:cs="Arial"/>
                <w:szCs w:val="20"/>
              </w:rPr>
              <w:t>730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4.4.</w:t>
            </w:r>
            <w:r w:rsidRPr="00B37090">
              <w:rPr>
                <w:rStyle w:val="InstructionsTabelleberschrift"/>
              </w:rPr>
              <w:t>3 credit quality step 3</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3F25" w:rsidRDefault="001B3F25" w:rsidP="006D0410">
            <w:pPr>
              <w:jc w:val="left"/>
              <w:rPr>
                <w:rFonts w:cs="Arial"/>
                <w:szCs w:val="20"/>
              </w:rPr>
            </w:pPr>
            <w:r>
              <w:rPr>
                <w:rFonts w:cs="Arial"/>
                <w:szCs w:val="20"/>
              </w:rPr>
              <w:t>740-760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B3F25" w:rsidRDefault="001B3F25" w:rsidP="00267206">
            <w:pPr>
              <w:pStyle w:val="InstructionsText"/>
              <w:rPr>
                <w:rStyle w:val="InstructionsTabelleberschrift"/>
              </w:rPr>
            </w:pPr>
            <w:r>
              <w:rPr>
                <w:rStyle w:val="InstructionsTabelleberschrift"/>
              </w:rPr>
              <w:t>4</w:t>
            </w:r>
            <w:r w:rsidRPr="00B37090">
              <w:rPr>
                <w:rStyle w:val="InstructionsTabelleberschrift"/>
              </w:rPr>
              <w:t>.</w:t>
            </w:r>
            <w:r>
              <w:rPr>
                <w:rStyle w:val="InstructionsTabelleberschrift"/>
              </w:rPr>
              <w:t xml:space="preserve">5 </w:t>
            </w:r>
            <w:r w:rsidRPr="008A3D87">
              <w:rPr>
                <w:rStyle w:val="InstructionsTabelleberschrift"/>
              </w:rPr>
              <w:t>residential mortgage backed securities not already reported in 1.10 to 1.11.3</w:t>
            </w:r>
          </w:p>
          <w:p w:rsidR="001B3F25" w:rsidRDefault="001B3F25" w:rsidP="00267206">
            <w:pPr>
              <w:pStyle w:val="InstructionsText"/>
              <w:rPr>
                <w:rStyle w:val="FormatvorlageInstructionsTabelleText"/>
                <w:szCs w:val="24"/>
                <w:lang w:val="en-GB" w:eastAsia="en-US"/>
              </w:rPr>
            </w:pPr>
          </w:p>
          <w:p w:rsidR="001B3F25" w:rsidRDefault="001B3F25" w:rsidP="00267206">
            <w:pPr>
              <w:pStyle w:val="InstructionsText"/>
              <w:rPr>
                <w:rStyle w:val="FormatvorlageInstructionsTabelleText"/>
                <w:szCs w:val="24"/>
                <w:lang w:val="en-GB" w:eastAsia="en-US"/>
              </w:rPr>
            </w:pPr>
            <w:r>
              <w:rPr>
                <w:rStyle w:val="FormatvorlageInstructionsTabelleText"/>
              </w:rPr>
              <w:t>Article 509(3)</w:t>
            </w:r>
            <w:r w:rsidR="00121B71">
              <w:rPr>
                <w:rStyle w:val="FormatvorlageInstructionsTabelleText"/>
              </w:rPr>
              <w:t>(a)</w:t>
            </w:r>
            <w:r w:rsidRPr="00FE021C">
              <w:rPr>
                <w:rStyle w:val="FormatvorlageInstructionsTabelleText"/>
              </w:rPr>
              <w:t xml:space="preserve"> of </w:t>
            </w:r>
            <w:r w:rsidR="007655D4">
              <w:rPr>
                <w:rStyle w:val="FormatvorlageInstructionsTabelleText"/>
              </w:rPr>
              <w:t>REGULATION (EU) NO 575/2013</w:t>
            </w:r>
          </w:p>
          <w:p w:rsidR="001B3F25" w:rsidRDefault="001B3F25" w:rsidP="00267206">
            <w:pPr>
              <w:pStyle w:val="InstructionsText"/>
              <w:rPr>
                <w:rStyle w:val="FormatvorlageInstructionsTabelleText"/>
                <w:szCs w:val="24"/>
                <w:lang w:val="en-GB" w:eastAsia="en-US"/>
              </w:rPr>
            </w:pPr>
          </w:p>
          <w:p w:rsidR="001B3F25" w:rsidRPr="00061F75" w:rsidRDefault="001B3F25" w:rsidP="00267206">
            <w:pPr>
              <w:pStyle w:val="InstructionsText"/>
              <w:rPr>
                <w:rStyle w:val="InstructionsTabelleberschrift"/>
                <w:b w:val="0"/>
                <w:u w:val="none"/>
              </w:rPr>
            </w:pPr>
            <w:r w:rsidRPr="00061F75">
              <w:rPr>
                <w:rStyle w:val="InstructionsTabelleberschrift"/>
                <w:b w:val="0"/>
                <w:u w:val="none"/>
              </w:rPr>
              <w:t xml:space="preserve">Those items shall be reported according to their credit quality as per Chapter 5, Title 2 of Part III and Article 125 of </w:t>
            </w:r>
            <w:r w:rsidR="007655D4">
              <w:rPr>
                <w:rStyle w:val="InstructionsTabelleberschrift"/>
                <w:b w:val="0"/>
                <w:u w:val="none"/>
              </w:rPr>
              <w:t>REGULATION (EU) NO 575/2013</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Default="001B3F25" w:rsidP="006D0410">
            <w:pPr>
              <w:jc w:val="left"/>
              <w:rPr>
                <w:rFonts w:cs="Arial"/>
                <w:szCs w:val="20"/>
              </w:rPr>
            </w:pPr>
            <w:r>
              <w:rPr>
                <w:rFonts w:cs="Arial"/>
                <w:szCs w:val="20"/>
              </w:rPr>
              <w:t>740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4</w:t>
            </w:r>
            <w:r w:rsidRPr="00B37090">
              <w:rPr>
                <w:rStyle w:val="InstructionsTabelleberschrift"/>
              </w:rPr>
              <w:t>.</w:t>
            </w:r>
            <w:r>
              <w:rPr>
                <w:rStyle w:val="InstructionsTabelleberschrift"/>
              </w:rPr>
              <w:t>5</w:t>
            </w:r>
            <w:r w:rsidRPr="00B37090">
              <w:rPr>
                <w:rStyle w:val="InstructionsTabelleberschrift"/>
              </w:rPr>
              <w:t>.1 credit quality step 1</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Default="001B3F25" w:rsidP="006D0410">
            <w:pPr>
              <w:jc w:val="left"/>
              <w:rPr>
                <w:rFonts w:cs="Arial"/>
                <w:szCs w:val="20"/>
              </w:rPr>
            </w:pPr>
            <w:r>
              <w:rPr>
                <w:rFonts w:cs="Arial"/>
                <w:szCs w:val="20"/>
              </w:rPr>
              <w:t>750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4.5</w:t>
            </w:r>
            <w:r w:rsidRPr="00B37090">
              <w:rPr>
                <w:rStyle w:val="InstructionsTabelleberschrift"/>
              </w:rPr>
              <w:t>.2 credit quality step 2</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Default="001B3F25" w:rsidP="006D0410">
            <w:pPr>
              <w:jc w:val="left"/>
              <w:rPr>
                <w:rFonts w:cs="Arial"/>
                <w:szCs w:val="20"/>
              </w:rPr>
            </w:pPr>
            <w:r>
              <w:rPr>
                <w:rFonts w:cs="Arial"/>
                <w:szCs w:val="20"/>
              </w:rPr>
              <w:t>760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4.5.</w:t>
            </w:r>
            <w:r w:rsidRPr="00B37090">
              <w:rPr>
                <w:rStyle w:val="InstructionsTabelleberschrift"/>
              </w:rPr>
              <w:t>3 credit quality step 3</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Default="001B3F25" w:rsidP="006D0410">
            <w:pPr>
              <w:jc w:val="left"/>
              <w:rPr>
                <w:rFonts w:cs="Arial"/>
                <w:szCs w:val="20"/>
              </w:rPr>
            </w:pPr>
            <w:r>
              <w:rPr>
                <w:rFonts w:cs="Arial"/>
                <w:szCs w:val="20"/>
              </w:rPr>
              <w:t>770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 xml:space="preserve">4.6 </w:t>
            </w:r>
            <w:r w:rsidRPr="00C2788E">
              <w:rPr>
                <w:rStyle w:val="InstructionsTabelleberschrift"/>
              </w:rPr>
              <w:t xml:space="preserve">equities listed on a </w:t>
            </w:r>
            <w:proofErr w:type="spellStart"/>
            <w:r w:rsidRPr="00C2788E">
              <w:rPr>
                <w:rStyle w:val="InstructionsTabelleberschrift"/>
              </w:rPr>
              <w:t>recognised</w:t>
            </w:r>
            <w:proofErr w:type="spellEnd"/>
            <w:r w:rsidRPr="00C2788E">
              <w:rPr>
                <w:rStyle w:val="InstructionsTabelleberschrift"/>
              </w:rPr>
              <w:t xml:space="preserve"> exchange and  major index linked equity instruments, not self issued or issued by financial institutions</w:t>
            </w:r>
            <w:r>
              <w:rPr>
                <w:rStyle w:val="InstructionsTabelleberschrift"/>
              </w:rPr>
              <w:t xml:space="preserve"> </w:t>
            </w:r>
          </w:p>
          <w:p w:rsidR="001B3F25" w:rsidRDefault="001B3F25" w:rsidP="00267206">
            <w:pPr>
              <w:pStyle w:val="InstructionsText"/>
              <w:rPr>
                <w:rStyle w:val="InstructionsTabelleberschrift"/>
              </w:rPr>
            </w:pPr>
          </w:p>
          <w:p w:rsidR="001B3F25" w:rsidRPr="00061F75" w:rsidRDefault="001B3F25" w:rsidP="00267206">
            <w:pPr>
              <w:pStyle w:val="InstructionsText"/>
              <w:rPr>
                <w:rStyle w:val="InstructionsTabelleberschrift"/>
                <w:b w:val="0"/>
                <w:u w:val="none"/>
              </w:rPr>
            </w:pPr>
            <w:r w:rsidRPr="00061F75">
              <w:rPr>
                <w:rStyle w:val="InstructionsTabelleberschrift"/>
                <w:b w:val="0"/>
                <w:u w:val="none"/>
              </w:rPr>
              <w:t>Article</w:t>
            </w:r>
            <w:r w:rsidR="00121B71">
              <w:rPr>
                <w:rStyle w:val="InstructionsTabelleberschrift"/>
                <w:b w:val="0"/>
                <w:u w:val="none"/>
              </w:rPr>
              <w:t>s 414(4)(a) and</w:t>
            </w:r>
            <w:r w:rsidRPr="00061F75">
              <w:rPr>
                <w:rStyle w:val="InstructionsTabelleberschrift"/>
                <w:b w:val="0"/>
                <w:u w:val="none"/>
              </w:rPr>
              <w:t xml:space="preserve"> 509(3)(c) of </w:t>
            </w:r>
            <w:r w:rsidR="007655D4">
              <w:rPr>
                <w:rStyle w:val="InstructionsTabelleberschrift"/>
                <w:b w:val="0"/>
                <w:u w:val="none"/>
              </w:rPr>
              <w:t>REGULATION (EU) NO 575/2013</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Default="001B3F25" w:rsidP="006D0410">
            <w:pPr>
              <w:jc w:val="left"/>
              <w:rPr>
                <w:rFonts w:cs="Arial"/>
                <w:szCs w:val="20"/>
              </w:rPr>
            </w:pPr>
            <w:r>
              <w:rPr>
                <w:rFonts w:cs="Arial"/>
                <w:szCs w:val="20"/>
              </w:rPr>
              <w:t>780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 xml:space="preserve">4.7 </w:t>
            </w:r>
            <w:r w:rsidRPr="00C2788E">
              <w:rPr>
                <w:rStyle w:val="InstructionsTabelleberschrift"/>
              </w:rPr>
              <w:t xml:space="preserve">gold </w:t>
            </w:r>
            <w:r>
              <w:rPr>
                <w:rStyle w:val="InstructionsTabelleberschrift"/>
              </w:rPr>
              <w:t>not reported above</w:t>
            </w:r>
            <w:r w:rsidR="00AB1C98">
              <w:rPr>
                <w:rStyle w:val="InstructionsTabelleberschrift"/>
              </w:rPr>
              <w:t xml:space="preserve"> under</w:t>
            </w:r>
            <w:r w:rsidR="007655D4">
              <w:rPr>
                <w:rStyle w:val="InstructionsTabelleberschrift"/>
              </w:rPr>
              <w:t xml:space="preserve"> 3.1.2</w:t>
            </w:r>
            <w:r w:rsidR="00AB1C98">
              <w:rPr>
                <w:rStyle w:val="InstructionsTabelleberschrift"/>
              </w:rPr>
              <w:t xml:space="preserve"> </w:t>
            </w:r>
          </w:p>
          <w:p w:rsidR="001B3F25" w:rsidRDefault="001B3F25" w:rsidP="00267206">
            <w:pPr>
              <w:pStyle w:val="InstructionsText"/>
              <w:rPr>
                <w:rStyle w:val="InstructionsTabelleberschrift"/>
              </w:rPr>
            </w:pPr>
          </w:p>
          <w:p w:rsidR="001B3F25" w:rsidRPr="00061F75" w:rsidRDefault="001B3F25" w:rsidP="00267206">
            <w:pPr>
              <w:pStyle w:val="InstructionsText"/>
              <w:rPr>
                <w:rStyle w:val="InstructionsTabelleberschrift"/>
                <w:b w:val="0"/>
                <w:u w:val="none"/>
              </w:rPr>
            </w:pPr>
            <w:r w:rsidRPr="00061F75">
              <w:rPr>
                <w:rStyle w:val="InstructionsTabelleberschrift"/>
                <w:b w:val="0"/>
                <w:u w:val="none"/>
              </w:rPr>
              <w:t>Article</w:t>
            </w:r>
            <w:r w:rsidR="00121B71">
              <w:rPr>
                <w:rStyle w:val="InstructionsTabelleberschrift"/>
                <w:b w:val="0"/>
                <w:u w:val="none"/>
              </w:rPr>
              <w:t>s 414(4)(a) and</w:t>
            </w:r>
            <w:r w:rsidRPr="00061F75">
              <w:rPr>
                <w:rStyle w:val="InstructionsTabelleberschrift"/>
                <w:b w:val="0"/>
                <w:u w:val="none"/>
              </w:rPr>
              <w:t xml:space="preserve"> 509(3)(c) of </w:t>
            </w:r>
            <w:r w:rsidR="007655D4">
              <w:rPr>
                <w:rStyle w:val="InstructionsTabelleberschrift"/>
                <w:b w:val="0"/>
                <w:u w:val="none"/>
              </w:rPr>
              <w:t>REGULATION (EU) NO 575/2013</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Default="001B3F25" w:rsidP="006D0410">
            <w:pPr>
              <w:jc w:val="left"/>
              <w:rPr>
                <w:rFonts w:cs="Arial"/>
                <w:szCs w:val="20"/>
              </w:rPr>
            </w:pPr>
            <w:r>
              <w:rPr>
                <w:rFonts w:cs="Arial"/>
                <w:szCs w:val="20"/>
              </w:rPr>
              <w:t>790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 xml:space="preserve">4.8 </w:t>
            </w:r>
            <w:r w:rsidRPr="00C2788E">
              <w:rPr>
                <w:rStyle w:val="InstructionsTabelleberschrift"/>
              </w:rPr>
              <w:t>guaranteed bonds not already reported above</w:t>
            </w:r>
          </w:p>
          <w:p w:rsidR="001B3F25" w:rsidRDefault="001B3F25" w:rsidP="00267206">
            <w:pPr>
              <w:pStyle w:val="InstructionsText"/>
              <w:rPr>
                <w:rStyle w:val="InstructionsTabelleberschrift"/>
              </w:rPr>
            </w:pPr>
          </w:p>
          <w:p w:rsidR="001B3F25" w:rsidRPr="00061F75" w:rsidRDefault="001B3F25" w:rsidP="00267206">
            <w:pPr>
              <w:pStyle w:val="InstructionsText"/>
              <w:rPr>
                <w:rStyle w:val="InstructionsTabelleberschrift"/>
                <w:b w:val="0"/>
                <w:u w:val="none"/>
              </w:rPr>
            </w:pPr>
            <w:r w:rsidRPr="00061F75">
              <w:rPr>
                <w:rStyle w:val="InstructionsTabelleberschrift"/>
                <w:b w:val="0"/>
                <w:u w:val="none"/>
              </w:rPr>
              <w:t xml:space="preserve">Article 509(3)(c) of </w:t>
            </w:r>
            <w:r w:rsidR="007655D4">
              <w:rPr>
                <w:rStyle w:val="InstructionsTabelleberschrift"/>
                <w:b w:val="0"/>
                <w:u w:val="none"/>
              </w:rPr>
              <w:t>REGULATION (EU) NO 575/2013</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Default="001B3F25" w:rsidP="006D0410">
            <w:pPr>
              <w:jc w:val="left"/>
              <w:rPr>
                <w:rFonts w:cs="Arial"/>
                <w:szCs w:val="20"/>
              </w:rPr>
            </w:pPr>
            <w:r>
              <w:rPr>
                <w:rFonts w:cs="Arial"/>
                <w:szCs w:val="20"/>
              </w:rPr>
              <w:t>800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 xml:space="preserve">4.9 </w:t>
            </w:r>
            <w:r w:rsidRPr="00C2788E">
              <w:rPr>
                <w:rStyle w:val="InstructionsTabelleberschrift"/>
              </w:rPr>
              <w:t>covered bonds  not already reported above</w:t>
            </w:r>
          </w:p>
          <w:p w:rsidR="001B3F25" w:rsidRDefault="001B3F25" w:rsidP="00267206">
            <w:pPr>
              <w:pStyle w:val="InstructionsText"/>
              <w:rPr>
                <w:rStyle w:val="InstructionsTabelleberschrift"/>
              </w:rPr>
            </w:pPr>
          </w:p>
          <w:p w:rsidR="001B3F25" w:rsidRPr="00061F75" w:rsidRDefault="001B3F25" w:rsidP="00267206">
            <w:pPr>
              <w:pStyle w:val="InstructionsText"/>
              <w:rPr>
                <w:rStyle w:val="InstructionsTabelleberschrift"/>
                <w:b w:val="0"/>
                <w:u w:val="none"/>
              </w:rPr>
            </w:pPr>
            <w:r w:rsidRPr="00061F75">
              <w:rPr>
                <w:rStyle w:val="InstructionsTabelleberschrift"/>
                <w:b w:val="0"/>
                <w:u w:val="none"/>
              </w:rPr>
              <w:t xml:space="preserve">Article 509(3)(c) of </w:t>
            </w:r>
            <w:r w:rsidR="007655D4">
              <w:rPr>
                <w:rStyle w:val="InstructionsTabelleberschrift"/>
                <w:b w:val="0"/>
                <w:u w:val="none"/>
              </w:rPr>
              <w:t>REGULATION (EU) NO 575/2013</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Default="001B3F25" w:rsidP="006D0410">
            <w:pPr>
              <w:jc w:val="left"/>
              <w:rPr>
                <w:rFonts w:cs="Arial"/>
                <w:szCs w:val="20"/>
              </w:rPr>
            </w:pPr>
            <w:r>
              <w:rPr>
                <w:rFonts w:cs="Arial"/>
                <w:szCs w:val="20"/>
              </w:rPr>
              <w:t>810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 xml:space="preserve">4.10 </w:t>
            </w:r>
            <w:r w:rsidRPr="00C2788E">
              <w:rPr>
                <w:rStyle w:val="InstructionsTabelleberschrift"/>
              </w:rPr>
              <w:t>corporate bonds  not already reported above</w:t>
            </w:r>
          </w:p>
          <w:p w:rsidR="001B3F25" w:rsidRDefault="001B3F25" w:rsidP="00267206">
            <w:pPr>
              <w:pStyle w:val="InstructionsText"/>
              <w:rPr>
                <w:rStyle w:val="InstructionsTabelleberschrift"/>
              </w:rPr>
            </w:pPr>
          </w:p>
          <w:p w:rsidR="001B3F25" w:rsidRPr="00061F75" w:rsidRDefault="001B3F25" w:rsidP="00267206">
            <w:pPr>
              <w:pStyle w:val="InstructionsText"/>
              <w:rPr>
                <w:rStyle w:val="InstructionsTabelleberschrift"/>
                <w:b w:val="0"/>
                <w:u w:val="none"/>
              </w:rPr>
            </w:pPr>
            <w:r w:rsidRPr="00061F75">
              <w:rPr>
                <w:rStyle w:val="InstructionsTabelleberschrift"/>
                <w:b w:val="0"/>
                <w:u w:val="none"/>
              </w:rPr>
              <w:t xml:space="preserve">Article 509(3)(c) of </w:t>
            </w:r>
            <w:r w:rsidR="007655D4">
              <w:rPr>
                <w:rStyle w:val="InstructionsTabelleberschrift"/>
                <w:b w:val="0"/>
                <w:u w:val="none"/>
              </w:rPr>
              <w:t>REGULATION (EU) NO 575/2013</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Default="001B3F25" w:rsidP="006D0410">
            <w:pPr>
              <w:jc w:val="left"/>
              <w:rPr>
                <w:rFonts w:cs="Arial"/>
                <w:szCs w:val="20"/>
              </w:rPr>
            </w:pPr>
            <w:r>
              <w:rPr>
                <w:rFonts w:cs="Arial"/>
                <w:szCs w:val="20"/>
              </w:rPr>
              <w:t>820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 xml:space="preserve">4.11 </w:t>
            </w:r>
            <w:r w:rsidRPr="00C2788E">
              <w:rPr>
                <w:rStyle w:val="InstructionsTabelleberschrift"/>
              </w:rPr>
              <w:t>funds based on the assets reported in 4.</w:t>
            </w:r>
            <w:r w:rsidR="00121B71">
              <w:rPr>
                <w:rStyle w:val="InstructionsTabelleberschrift"/>
              </w:rPr>
              <w:t>6</w:t>
            </w:r>
            <w:r w:rsidRPr="00C2788E">
              <w:rPr>
                <w:rStyle w:val="InstructionsTabelleberschrift"/>
              </w:rPr>
              <w:t xml:space="preserve"> -</w:t>
            </w:r>
            <w:r>
              <w:rPr>
                <w:rStyle w:val="InstructionsTabelleberschrift"/>
              </w:rPr>
              <w:t xml:space="preserve"> </w:t>
            </w:r>
            <w:r w:rsidRPr="00C2788E">
              <w:rPr>
                <w:rStyle w:val="InstructionsTabelleberschrift"/>
              </w:rPr>
              <w:t>4.</w:t>
            </w:r>
            <w:r>
              <w:rPr>
                <w:rStyle w:val="InstructionsTabelleberschrift"/>
              </w:rPr>
              <w:t>10</w:t>
            </w:r>
          </w:p>
          <w:p w:rsidR="001B3F25" w:rsidRDefault="001B3F25" w:rsidP="00267206">
            <w:pPr>
              <w:pStyle w:val="InstructionsText"/>
              <w:rPr>
                <w:rStyle w:val="InstructionsTabelleberschrift"/>
              </w:rPr>
            </w:pPr>
          </w:p>
          <w:p w:rsidR="001B3F25" w:rsidRPr="00061F75" w:rsidRDefault="001B3F25" w:rsidP="00267206">
            <w:pPr>
              <w:pStyle w:val="InstructionsText"/>
              <w:rPr>
                <w:rStyle w:val="InstructionsTabelleberschrift"/>
                <w:b w:val="0"/>
                <w:u w:val="none"/>
              </w:rPr>
            </w:pPr>
            <w:r w:rsidRPr="00061F75">
              <w:rPr>
                <w:rStyle w:val="InstructionsTabelleberschrift"/>
                <w:b w:val="0"/>
                <w:u w:val="none"/>
              </w:rPr>
              <w:t xml:space="preserve">Article 509(3)(c) of </w:t>
            </w:r>
            <w:r w:rsidR="007655D4">
              <w:rPr>
                <w:rStyle w:val="InstructionsTabelleberschrift"/>
                <w:b w:val="0"/>
                <w:u w:val="none"/>
              </w:rPr>
              <w:t>REGULATION (EU) NO 575/2013</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Default="001B3F25" w:rsidP="006D0410">
            <w:pPr>
              <w:jc w:val="left"/>
              <w:rPr>
                <w:rFonts w:cs="Arial"/>
                <w:szCs w:val="20"/>
              </w:rPr>
            </w:pPr>
            <w:r>
              <w:rPr>
                <w:rFonts w:cs="Arial"/>
                <w:szCs w:val="20"/>
              </w:rPr>
              <w:t>830-850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 xml:space="preserve">4.12 </w:t>
            </w:r>
            <w:r w:rsidRPr="00C2788E">
              <w:rPr>
                <w:rStyle w:val="InstructionsTabelleberschrift"/>
              </w:rPr>
              <w:t>other categories of central bank eligible securities or loans</w:t>
            </w:r>
          </w:p>
          <w:p w:rsidR="001B3F25" w:rsidRDefault="001B3F25" w:rsidP="00267206">
            <w:pPr>
              <w:pStyle w:val="InstructionsText"/>
              <w:rPr>
                <w:rStyle w:val="InstructionsTabelleberschrift"/>
              </w:rPr>
            </w:pPr>
          </w:p>
          <w:p w:rsidR="001B3F25" w:rsidRPr="00061F75" w:rsidRDefault="001B3F25" w:rsidP="00267206">
            <w:pPr>
              <w:pStyle w:val="InstructionsText"/>
              <w:rPr>
                <w:rStyle w:val="InstructionsTabelleberschrift"/>
                <w:b w:val="0"/>
                <w:u w:val="none"/>
              </w:rPr>
            </w:pPr>
            <w:r w:rsidRPr="00061F75">
              <w:rPr>
                <w:rStyle w:val="InstructionsTabelleberschrift"/>
                <w:b w:val="0"/>
                <w:u w:val="none"/>
              </w:rPr>
              <w:t xml:space="preserve">Article 509(3)(c) of </w:t>
            </w:r>
            <w:r w:rsidR="007655D4">
              <w:rPr>
                <w:rStyle w:val="InstructionsTabelleberschrift"/>
                <w:b w:val="0"/>
                <w:u w:val="none"/>
              </w:rPr>
              <w:t>REGULATION (EU) NO 575/2013</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Default="001B3F25" w:rsidP="006D0410">
            <w:pPr>
              <w:jc w:val="left"/>
              <w:rPr>
                <w:rFonts w:cs="Arial"/>
                <w:szCs w:val="20"/>
              </w:rPr>
            </w:pPr>
            <w:r>
              <w:rPr>
                <w:rFonts w:cs="Arial"/>
                <w:szCs w:val="20"/>
              </w:rPr>
              <w:t>830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 xml:space="preserve">4.12.1 </w:t>
            </w:r>
            <w:r w:rsidRPr="00C2788E">
              <w:rPr>
                <w:rStyle w:val="InstructionsTabelleberschrift"/>
              </w:rPr>
              <w:t xml:space="preserve">    local government bonds</w:t>
            </w:r>
          </w:p>
          <w:p w:rsidR="001B3F25" w:rsidRDefault="001B3F25" w:rsidP="00267206">
            <w:pPr>
              <w:pStyle w:val="InstructionsText"/>
              <w:rPr>
                <w:rStyle w:val="InstructionsTabelleberschrift"/>
              </w:rPr>
            </w:pPr>
          </w:p>
          <w:p w:rsidR="001B3F25" w:rsidRPr="00061F75" w:rsidRDefault="001B3F25" w:rsidP="00267206">
            <w:pPr>
              <w:pStyle w:val="InstructionsText"/>
              <w:rPr>
                <w:rStyle w:val="InstructionsTabelleberschrift"/>
                <w:b w:val="0"/>
                <w:u w:val="none"/>
              </w:rPr>
            </w:pPr>
            <w:r w:rsidRPr="00061F75">
              <w:rPr>
                <w:rStyle w:val="InstructionsTabelleberschrift"/>
                <w:b w:val="0"/>
                <w:u w:val="none"/>
              </w:rPr>
              <w:t xml:space="preserve">Article 509(3)(c) of </w:t>
            </w:r>
            <w:r w:rsidR="007655D4">
              <w:rPr>
                <w:rStyle w:val="InstructionsTabelleberschrift"/>
                <w:b w:val="0"/>
                <w:u w:val="none"/>
              </w:rPr>
              <w:t>REGULATION (EU) NO 575/2013</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Default="001B3F25" w:rsidP="006D0410">
            <w:pPr>
              <w:jc w:val="left"/>
              <w:rPr>
                <w:rFonts w:cs="Arial"/>
                <w:szCs w:val="20"/>
              </w:rPr>
            </w:pPr>
            <w:r>
              <w:rPr>
                <w:rFonts w:cs="Arial"/>
                <w:szCs w:val="20"/>
              </w:rPr>
              <w:lastRenderedPageBreak/>
              <w:t>840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 xml:space="preserve">4.12.2 </w:t>
            </w:r>
            <w:r w:rsidRPr="00C2788E">
              <w:rPr>
                <w:rStyle w:val="InstructionsTabelleberschrift"/>
              </w:rPr>
              <w:t xml:space="preserve"> commercial paper</w:t>
            </w:r>
          </w:p>
          <w:p w:rsidR="001B3F25" w:rsidRDefault="001B3F25" w:rsidP="00267206">
            <w:pPr>
              <w:pStyle w:val="InstructionsText"/>
              <w:rPr>
                <w:rStyle w:val="InstructionsTabelleberschrift"/>
              </w:rPr>
            </w:pPr>
          </w:p>
          <w:p w:rsidR="001B3F25" w:rsidRPr="00061F75" w:rsidRDefault="001B3F25" w:rsidP="00267206">
            <w:pPr>
              <w:pStyle w:val="InstructionsText"/>
              <w:rPr>
                <w:rStyle w:val="InstructionsTabelleberschrift"/>
                <w:b w:val="0"/>
                <w:u w:val="none"/>
              </w:rPr>
            </w:pPr>
            <w:r w:rsidRPr="00061F75">
              <w:rPr>
                <w:rStyle w:val="InstructionsTabelleberschrift"/>
                <w:b w:val="0"/>
                <w:u w:val="none"/>
              </w:rPr>
              <w:t xml:space="preserve">Article 509(3)(c) of </w:t>
            </w:r>
            <w:r w:rsidR="007655D4">
              <w:rPr>
                <w:rStyle w:val="InstructionsTabelleberschrift"/>
                <w:b w:val="0"/>
                <w:u w:val="none"/>
              </w:rPr>
              <w:t>REGULATION (EU) NO 575/2013</w:t>
            </w:r>
          </w:p>
          <w:p w:rsidR="001B3F25" w:rsidRDefault="001B3F25" w:rsidP="00267206">
            <w:pPr>
              <w:pStyle w:val="InstructionsText"/>
              <w:rPr>
                <w:rStyle w:val="InstructionsTabelleberschrift"/>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Default="001B3F25" w:rsidP="006D0410">
            <w:pPr>
              <w:jc w:val="left"/>
              <w:rPr>
                <w:rFonts w:cs="Arial"/>
                <w:szCs w:val="20"/>
              </w:rPr>
            </w:pPr>
            <w:r>
              <w:rPr>
                <w:rFonts w:cs="Arial"/>
                <w:szCs w:val="20"/>
              </w:rPr>
              <w:t>850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 xml:space="preserve">4.12.3 </w:t>
            </w:r>
            <w:r w:rsidRPr="00C2788E">
              <w:rPr>
                <w:rStyle w:val="InstructionsTabelleberschrift"/>
              </w:rPr>
              <w:t xml:space="preserve"> </w:t>
            </w:r>
            <w:r>
              <w:rPr>
                <w:rStyle w:val="InstructionsTabelleberschrift"/>
              </w:rPr>
              <w:t>credit claims</w:t>
            </w:r>
          </w:p>
          <w:p w:rsidR="001B3F25" w:rsidRDefault="001B3F25" w:rsidP="00267206">
            <w:pPr>
              <w:pStyle w:val="InstructionsText"/>
              <w:rPr>
                <w:rStyle w:val="InstructionsTabelleberschrift"/>
              </w:rPr>
            </w:pPr>
          </w:p>
          <w:p w:rsidR="001B3F25" w:rsidRPr="00061F75" w:rsidRDefault="001B3F25" w:rsidP="00267206">
            <w:pPr>
              <w:pStyle w:val="InstructionsText"/>
              <w:rPr>
                <w:rStyle w:val="InstructionsTabelleberschrift"/>
                <w:b w:val="0"/>
                <w:u w:val="none"/>
              </w:rPr>
            </w:pPr>
            <w:r w:rsidRPr="00061F75">
              <w:rPr>
                <w:rStyle w:val="InstructionsTabelleberschrift"/>
                <w:b w:val="0"/>
                <w:u w:val="none"/>
              </w:rPr>
              <w:t xml:space="preserve">Article 416(4)(c) of </w:t>
            </w:r>
            <w:r w:rsidR="007655D4">
              <w:rPr>
                <w:rStyle w:val="InstructionsTabelleberschrift"/>
                <w:b w:val="0"/>
                <w:u w:val="none"/>
              </w:rPr>
              <w:t>REGULATION (EU) NO 575/2013</w:t>
            </w:r>
          </w:p>
          <w:p w:rsidR="001B3F25" w:rsidRDefault="001B3F25" w:rsidP="00267206">
            <w:pPr>
              <w:pStyle w:val="InstructionsText"/>
              <w:rPr>
                <w:rStyle w:val="InstructionsTabelleberschrift"/>
              </w:rPr>
            </w:pPr>
          </w:p>
        </w:tc>
      </w:tr>
      <w:tr w:rsidR="001B3F25" w:rsidRPr="00B37090" w:rsidTr="001B3F25">
        <w:tc>
          <w:tcPr>
            <w:tcW w:w="70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B3F25" w:rsidRPr="005D6CE3" w:rsidRDefault="001B3F25" w:rsidP="00267206">
            <w:pPr>
              <w:pStyle w:val="InstructionsText"/>
              <w:rPr>
                <w:rStyle w:val="FormatvorlageInstructionsTabelleText"/>
              </w:rPr>
            </w:pPr>
            <w:r>
              <w:rPr>
                <w:rStyle w:val="FormatvorlageInstructionsTabelleText"/>
              </w:rPr>
              <w:t>860-870</w:t>
            </w:r>
          </w:p>
        </w:tc>
        <w:tc>
          <w:tcPr>
            <w:tcW w:w="7371" w:type="dxa"/>
            <w:tcBorders>
              <w:top w:val="single" w:sz="4" w:space="0" w:color="auto"/>
              <w:left w:val="single" w:sz="4" w:space="0" w:color="auto"/>
              <w:bottom w:val="single" w:sz="4" w:space="0" w:color="auto"/>
              <w:right w:val="single" w:sz="4" w:space="0" w:color="auto"/>
            </w:tcBorders>
            <w:shd w:val="clear" w:color="auto" w:fill="E6E6E6"/>
            <w:vAlign w:val="center"/>
          </w:tcPr>
          <w:p w:rsidR="001B3F25" w:rsidRDefault="001B3F25" w:rsidP="00267206">
            <w:pPr>
              <w:pStyle w:val="InstructionsText"/>
              <w:rPr>
                <w:rStyle w:val="InstructionsTabelleberschrift"/>
              </w:rPr>
            </w:pPr>
            <w:r w:rsidRPr="00B37090">
              <w:rPr>
                <w:rStyle w:val="InstructionsTabelleberschrift"/>
              </w:rPr>
              <w:t xml:space="preserve">5 </w:t>
            </w:r>
            <w:r w:rsidRPr="00C2788E">
              <w:rPr>
                <w:rStyle w:val="InstructionsTabelleberschrift"/>
              </w:rPr>
              <w:t>Treatment for jurisdictions with insuffic</w:t>
            </w:r>
            <w:r>
              <w:rPr>
                <w:rStyle w:val="InstructionsTabelleberschrift"/>
              </w:rPr>
              <w:t>i</w:t>
            </w:r>
            <w:r w:rsidRPr="00C2788E">
              <w:rPr>
                <w:rStyle w:val="InstructionsTabelleberschrift"/>
              </w:rPr>
              <w:t>ent HQLA</w:t>
            </w:r>
          </w:p>
          <w:p w:rsidR="001B3F25" w:rsidRPr="006D0410" w:rsidRDefault="001B3F25" w:rsidP="004003F5">
            <w:pPr>
              <w:jc w:val="left"/>
              <w:rPr>
                <w:rFonts w:cs="Arial"/>
                <w:szCs w:val="20"/>
              </w:rPr>
            </w:pPr>
            <w:r w:rsidRPr="005D6CE3">
              <w:rPr>
                <w:rStyle w:val="FormatvorlageInstructionsTabelleText"/>
              </w:rPr>
              <w:t xml:space="preserve">Article 419(2) of </w:t>
            </w:r>
            <w:r w:rsidR="007655D4">
              <w:rPr>
                <w:rStyle w:val="FormatvorlageInstructionsTabelleText"/>
              </w:rPr>
              <w:t>REGULATION (EU) NO 575/2013</w:t>
            </w: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6D0410">
            <w:pPr>
              <w:jc w:val="left"/>
              <w:rPr>
                <w:rFonts w:cs="Arial"/>
                <w:szCs w:val="20"/>
              </w:rPr>
            </w:pPr>
            <w:r>
              <w:rPr>
                <w:rFonts w:cs="Arial"/>
                <w:szCs w:val="20"/>
              </w:rPr>
              <w:t>860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FormatvorlageInstructionsTabelleText"/>
              </w:rPr>
            </w:pPr>
            <w:r w:rsidRPr="00B37090">
              <w:rPr>
                <w:rStyle w:val="InstructionsTabelleberschrift"/>
              </w:rPr>
              <w:t>5.</w:t>
            </w:r>
            <w:r>
              <w:rPr>
                <w:rStyle w:val="InstructionsTabelleberschrift"/>
              </w:rPr>
              <w:t>1</w:t>
            </w:r>
            <w:r w:rsidRPr="00B37090">
              <w:rPr>
                <w:rStyle w:val="InstructionsTabelleberschrift"/>
              </w:rPr>
              <w:t xml:space="preserve"> </w:t>
            </w:r>
            <w:r w:rsidRPr="00C2788E">
              <w:rPr>
                <w:rStyle w:val="InstructionsTabelleberschrift"/>
              </w:rPr>
              <w:t>Use of derogation A  (foreign currency)</w:t>
            </w:r>
          </w:p>
          <w:p w:rsidR="001B3F25" w:rsidRDefault="001B3F25" w:rsidP="00267206">
            <w:pPr>
              <w:pStyle w:val="InstructionsText"/>
            </w:pPr>
          </w:p>
          <w:p w:rsidR="001B3F25" w:rsidRDefault="001B3F25" w:rsidP="00267206">
            <w:pPr>
              <w:pStyle w:val="InstructionsText"/>
              <w:rPr>
                <w:rStyle w:val="FormatvorlageInstructionsTabelleText"/>
                <w:szCs w:val="24"/>
                <w:lang w:val="en-GB" w:eastAsia="en-US"/>
              </w:rPr>
            </w:pPr>
            <w:r w:rsidRPr="00C2788E">
              <w:rPr>
                <w:rStyle w:val="FormatvorlageInstructionsTabelleText"/>
              </w:rPr>
              <w:t xml:space="preserve">Article 419(2)(a) of </w:t>
            </w:r>
            <w:r w:rsidR="007655D4">
              <w:rPr>
                <w:rStyle w:val="FormatvorlageInstructionsTabelleText"/>
              </w:rPr>
              <w:t>REGULATION (EU) NO 575/2013</w:t>
            </w:r>
          </w:p>
          <w:p w:rsidR="001B3F25" w:rsidRDefault="001B3F25" w:rsidP="00267206">
            <w:pPr>
              <w:pStyle w:val="InstructionsText"/>
              <w:rPr>
                <w:rStyle w:val="FormatvorlageInstructionsTabelleText"/>
                <w:b/>
                <w:szCs w:val="24"/>
                <w:lang w:val="en-GB" w:eastAsia="en-US"/>
              </w:rPr>
            </w:pPr>
          </w:p>
          <w:p w:rsidR="001B3F25" w:rsidRDefault="001B3F25" w:rsidP="00267206">
            <w:pPr>
              <w:pStyle w:val="InstructionsText"/>
              <w:rPr>
                <w:rStyle w:val="FormatvorlageInstructionsTabelleText"/>
                <w:b/>
                <w:szCs w:val="24"/>
                <w:lang w:val="en-GB" w:eastAsia="en-US"/>
              </w:rPr>
            </w:pPr>
            <w:r>
              <w:rPr>
                <w:rStyle w:val="FormatvorlageInstructionsTabelleText"/>
              </w:rPr>
              <w:t>Total amount of assets held pursuant to derogation A</w:t>
            </w:r>
          </w:p>
          <w:p w:rsidR="001B3F25" w:rsidRDefault="001B3F25" w:rsidP="00267206">
            <w:pPr>
              <w:pStyle w:val="InstructionsText"/>
              <w:rPr>
                <w:rStyle w:val="FormatvorlageInstructionsTabelleText"/>
                <w:b/>
                <w:szCs w:val="24"/>
                <w:lang w:val="en-GB" w:eastAsia="en-US"/>
              </w:rPr>
            </w:pPr>
          </w:p>
          <w:p w:rsidR="001B3F25" w:rsidRDefault="001B3F25" w:rsidP="00267206">
            <w:pPr>
              <w:pStyle w:val="InstructionsText"/>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6D0410">
            <w:pPr>
              <w:jc w:val="left"/>
              <w:rPr>
                <w:rFonts w:cs="Arial"/>
                <w:szCs w:val="20"/>
              </w:rPr>
            </w:pPr>
            <w:r>
              <w:rPr>
                <w:rFonts w:cs="Arial"/>
                <w:szCs w:val="20"/>
              </w:rPr>
              <w:t>870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sidRPr="00B37090">
              <w:rPr>
                <w:rStyle w:val="InstructionsTabelleberschrift"/>
              </w:rPr>
              <w:t>5.</w:t>
            </w:r>
            <w:r>
              <w:rPr>
                <w:rStyle w:val="InstructionsTabelleberschrift"/>
              </w:rPr>
              <w:t>2</w:t>
            </w:r>
            <w:r w:rsidRPr="00B37090">
              <w:rPr>
                <w:rStyle w:val="InstructionsTabelleberschrift"/>
              </w:rPr>
              <w:t xml:space="preserve"> </w:t>
            </w:r>
            <w:r w:rsidRPr="00C2788E">
              <w:rPr>
                <w:rStyle w:val="InstructionsTabelleberschrift"/>
              </w:rPr>
              <w:t>Use of derogation B  (</w:t>
            </w:r>
            <w:r>
              <w:rPr>
                <w:rStyle w:val="InstructionsTabelleberschrift"/>
              </w:rPr>
              <w:t>credit</w:t>
            </w:r>
            <w:r w:rsidRPr="00C2788E">
              <w:rPr>
                <w:rStyle w:val="InstructionsTabelleberschrift"/>
              </w:rPr>
              <w:t xml:space="preserve"> </w:t>
            </w:r>
            <w:r>
              <w:rPr>
                <w:rStyle w:val="InstructionsTabelleberschrift"/>
              </w:rPr>
              <w:t>line</w:t>
            </w:r>
            <w:r w:rsidRPr="00C2788E">
              <w:rPr>
                <w:rStyle w:val="InstructionsTabelleberschrift"/>
              </w:rPr>
              <w:t xml:space="preserve"> from the relevant central bank)</w:t>
            </w:r>
          </w:p>
          <w:p w:rsidR="001B3F25" w:rsidRDefault="001B3F25" w:rsidP="00267206">
            <w:pPr>
              <w:pStyle w:val="InstructionsText"/>
            </w:pPr>
          </w:p>
          <w:p w:rsidR="001B3F25" w:rsidRDefault="001B3F25" w:rsidP="00267206">
            <w:pPr>
              <w:pStyle w:val="InstructionsText"/>
              <w:rPr>
                <w:rStyle w:val="FormatvorlageInstructionsTabelleText"/>
              </w:rPr>
            </w:pPr>
            <w:r>
              <w:rPr>
                <w:rStyle w:val="FormatvorlageInstructionsTabelleText"/>
              </w:rPr>
              <w:t>Article 419(2)(b</w:t>
            </w:r>
            <w:r w:rsidRPr="00C2788E">
              <w:rPr>
                <w:rStyle w:val="FormatvorlageInstructionsTabelleText"/>
              </w:rPr>
              <w:t xml:space="preserve">) of </w:t>
            </w:r>
            <w:r w:rsidR="007655D4">
              <w:rPr>
                <w:rStyle w:val="FormatvorlageInstructionsTabelleText"/>
              </w:rPr>
              <w:t>REGULATION (EU) NO 575/2013</w:t>
            </w:r>
          </w:p>
          <w:p w:rsidR="001B3F25" w:rsidRDefault="001B3F25" w:rsidP="00267206">
            <w:pPr>
              <w:pStyle w:val="InstructionsText"/>
              <w:rPr>
                <w:rStyle w:val="FormatvorlageInstructionsTabelleText"/>
              </w:rPr>
            </w:pPr>
          </w:p>
          <w:p w:rsidR="001B3F25" w:rsidRDefault="001B3F25" w:rsidP="00267206">
            <w:pPr>
              <w:pStyle w:val="InstructionsText"/>
              <w:rPr>
                <w:rStyle w:val="FormatvorlageInstructionsTabelleText"/>
              </w:rPr>
            </w:pPr>
            <w:r>
              <w:rPr>
                <w:rStyle w:val="FormatvorlageInstructionsTabelleText"/>
              </w:rPr>
              <w:t>Total amount of undrawn credit line held pursuant to derogation B</w:t>
            </w:r>
          </w:p>
          <w:p w:rsidR="001B3F25" w:rsidRDefault="001B3F25" w:rsidP="00267206">
            <w:pPr>
              <w:pStyle w:val="InstructionsText"/>
            </w:pPr>
          </w:p>
        </w:tc>
      </w:tr>
      <w:tr w:rsidR="001B3F25" w:rsidRPr="00B37090" w:rsidTr="001B3F25">
        <w:tc>
          <w:tcPr>
            <w:tcW w:w="70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B3F25" w:rsidRDefault="001B3F25" w:rsidP="00267206">
            <w:pPr>
              <w:pStyle w:val="InstructionsText"/>
              <w:rPr>
                <w:rStyle w:val="FormatvorlageInstructionsTabelleText"/>
                <w:szCs w:val="24"/>
                <w:lang w:val="en-GB" w:eastAsia="en-US"/>
              </w:rPr>
            </w:pPr>
            <w:r>
              <w:rPr>
                <w:rStyle w:val="FormatvorlageInstructionsTabelleText"/>
                <w:szCs w:val="24"/>
                <w:lang w:val="en-GB" w:eastAsia="en-US"/>
              </w:rPr>
              <w:t>880-900</w:t>
            </w:r>
          </w:p>
        </w:tc>
        <w:tc>
          <w:tcPr>
            <w:tcW w:w="7371" w:type="dxa"/>
            <w:tcBorders>
              <w:top w:val="single" w:sz="4" w:space="0" w:color="auto"/>
              <w:left w:val="single" w:sz="4" w:space="0" w:color="auto"/>
              <w:bottom w:val="single" w:sz="4" w:space="0" w:color="auto"/>
              <w:right w:val="single" w:sz="4" w:space="0" w:color="auto"/>
            </w:tcBorders>
            <w:shd w:val="clear" w:color="auto" w:fill="E6E6E6"/>
            <w:vAlign w:val="center"/>
          </w:tcPr>
          <w:p w:rsidR="001B3F25" w:rsidRDefault="001B3F25" w:rsidP="00267206">
            <w:pPr>
              <w:pStyle w:val="InstructionsText"/>
              <w:rPr>
                <w:rStyle w:val="InstructionsTabelleberschrift"/>
              </w:rPr>
            </w:pPr>
            <w:r>
              <w:rPr>
                <w:rStyle w:val="InstructionsTabelleberschrift"/>
              </w:rPr>
              <w:t xml:space="preserve">6 </w:t>
            </w:r>
            <w:r w:rsidRPr="006C599D">
              <w:rPr>
                <w:rStyle w:val="InstructionsTabelleberschrift"/>
              </w:rPr>
              <w:t xml:space="preserve">Reporting of </w:t>
            </w:r>
            <w:proofErr w:type="spellStart"/>
            <w:r w:rsidRPr="006C599D">
              <w:rPr>
                <w:rStyle w:val="InstructionsTabelleberschrift"/>
              </w:rPr>
              <w:t>Shar'iah</w:t>
            </w:r>
            <w:proofErr w:type="spellEnd"/>
            <w:r w:rsidRPr="006C599D">
              <w:rPr>
                <w:rStyle w:val="InstructionsTabelleberschrift"/>
              </w:rPr>
              <w:t xml:space="preserve"> compliant assets as an alternative assets under 509(2)(</w:t>
            </w:r>
            <w:proofErr w:type="spellStart"/>
            <w:r w:rsidRPr="006C599D">
              <w:rPr>
                <w:rStyle w:val="InstructionsTabelleberschrift"/>
              </w:rPr>
              <w:t>i</w:t>
            </w:r>
            <w:proofErr w:type="spellEnd"/>
            <w:r w:rsidRPr="006C599D">
              <w:rPr>
                <w:rStyle w:val="InstructionsTabelleberschrift"/>
              </w:rPr>
              <w:t>)</w:t>
            </w:r>
          </w:p>
          <w:p w:rsidR="001B3F25" w:rsidRDefault="001B3F25" w:rsidP="00267206">
            <w:pPr>
              <w:pStyle w:val="InstructionsText"/>
              <w:rPr>
                <w:rStyle w:val="InstructionsTabelleberschrift"/>
              </w:rPr>
            </w:pPr>
          </w:p>
          <w:p w:rsidR="001B3F25" w:rsidRDefault="001B3F25" w:rsidP="00267206">
            <w:pPr>
              <w:pStyle w:val="InstructionsText"/>
            </w:pPr>
            <w:r w:rsidRPr="006C599D">
              <w:rPr>
                <w:rStyle w:val="FormatvorlageInstructionsTabelleText"/>
              </w:rPr>
              <w:t>Article 509(2)(</w:t>
            </w:r>
            <w:proofErr w:type="spellStart"/>
            <w:r w:rsidRPr="006C599D">
              <w:rPr>
                <w:rStyle w:val="FormatvorlageInstructionsTabelleText"/>
              </w:rPr>
              <w:t>i</w:t>
            </w:r>
            <w:proofErr w:type="spellEnd"/>
            <w:r w:rsidRPr="006C599D">
              <w:rPr>
                <w:rStyle w:val="FormatvorlageInstructionsTabelleText"/>
              </w:rPr>
              <w:t xml:space="preserve">) of </w:t>
            </w:r>
            <w:r w:rsidR="007655D4">
              <w:rPr>
                <w:rStyle w:val="FormatvorlageInstructionsTabelleText"/>
              </w:rPr>
              <w:t>REGULATION (EU) NO 575/2013</w:t>
            </w:r>
            <w:r w:rsidRPr="00C2788E" w:rsidDel="00E42CD5">
              <w:rPr>
                <w:rStyle w:val="FormatvorlageInstructionsTabelleText"/>
              </w:rPr>
              <w:t xml:space="preserve"> </w:t>
            </w:r>
            <w:r w:rsidR="007655D4">
              <w:rPr>
                <w:rStyle w:val="FormatvorlageInstructionsTabelleText"/>
              </w:rPr>
              <w:t>of REGULATION (EU) NO 575/2013</w:t>
            </w: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6D0410">
            <w:pPr>
              <w:jc w:val="left"/>
              <w:rPr>
                <w:rFonts w:cs="Arial"/>
                <w:szCs w:val="20"/>
              </w:rPr>
            </w:pPr>
            <w:r>
              <w:rPr>
                <w:rFonts w:cs="Arial"/>
                <w:szCs w:val="20"/>
              </w:rPr>
              <w:t>880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6</w:t>
            </w:r>
            <w:r w:rsidRPr="00B37090">
              <w:rPr>
                <w:rStyle w:val="InstructionsTabelleberschrift"/>
              </w:rPr>
              <w:t>.</w:t>
            </w:r>
            <w:r>
              <w:rPr>
                <w:rStyle w:val="InstructionsTabelleberschrift"/>
              </w:rPr>
              <w:t>1</w:t>
            </w:r>
            <w:r w:rsidRPr="00B37090">
              <w:rPr>
                <w:rStyle w:val="InstructionsTabelleberschrift"/>
              </w:rPr>
              <w:t xml:space="preserve"> credit quality step 1</w:t>
            </w:r>
          </w:p>
          <w:p w:rsidR="001B3F25" w:rsidRDefault="001B3F25" w:rsidP="00267206">
            <w:pPr>
              <w:pStyle w:val="InstructionsText"/>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6D0410">
            <w:pPr>
              <w:jc w:val="left"/>
              <w:rPr>
                <w:rFonts w:cs="Arial"/>
                <w:szCs w:val="20"/>
              </w:rPr>
            </w:pPr>
            <w:r>
              <w:rPr>
                <w:rFonts w:cs="Arial"/>
                <w:szCs w:val="20"/>
              </w:rPr>
              <w:t>890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rPr>
            </w:pPr>
            <w:r>
              <w:rPr>
                <w:rStyle w:val="InstructionsTabelleberschrift"/>
              </w:rPr>
              <w:t>6.1</w:t>
            </w:r>
            <w:r w:rsidRPr="00B37090">
              <w:rPr>
                <w:rStyle w:val="InstructionsTabelleberschrift"/>
              </w:rPr>
              <w:t xml:space="preserve"> credit quality step 2</w:t>
            </w:r>
          </w:p>
          <w:p w:rsidR="001B3F25" w:rsidRDefault="001B3F25">
            <w:pPr>
              <w:rPr>
                <w:rFonts w:cs="Arial"/>
                <w:b/>
                <w:szCs w:val="20"/>
                <w:u w:val="single"/>
              </w:rPr>
            </w:pPr>
          </w:p>
        </w:tc>
      </w:tr>
      <w:tr w:rsidR="001B3F25" w:rsidRPr="00B37090" w:rsidTr="001B3F25">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1B3F25" w:rsidRPr="006D0410" w:rsidRDefault="001B3F25" w:rsidP="006D0410">
            <w:pPr>
              <w:jc w:val="left"/>
              <w:rPr>
                <w:rFonts w:cs="Arial"/>
                <w:szCs w:val="20"/>
              </w:rPr>
            </w:pPr>
            <w:r>
              <w:rPr>
                <w:rFonts w:cs="Arial"/>
                <w:szCs w:val="20"/>
              </w:rPr>
              <w:t>900</w:t>
            </w:r>
          </w:p>
        </w:tc>
        <w:tc>
          <w:tcPr>
            <w:tcW w:w="7379" w:type="dxa"/>
            <w:gridSpan w:val="2"/>
            <w:tcBorders>
              <w:top w:val="single" w:sz="4" w:space="0" w:color="auto"/>
              <w:left w:val="single" w:sz="4" w:space="0" w:color="auto"/>
              <w:bottom w:val="single" w:sz="4" w:space="0" w:color="auto"/>
              <w:right w:val="single" w:sz="4" w:space="0" w:color="auto"/>
            </w:tcBorders>
            <w:shd w:val="clear" w:color="auto" w:fill="auto"/>
          </w:tcPr>
          <w:p w:rsidR="001B3F25" w:rsidRDefault="001B3F25" w:rsidP="00267206">
            <w:pPr>
              <w:pStyle w:val="InstructionsText"/>
              <w:rPr>
                <w:rStyle w:val="InstructionsTabelleberschrift"/>
                <w:szCs w:val="24"/>
                <w:lang w:val="en-GB" w:eastAsia="en-US"/>
              </w:rPr>
            </w:pPr>
            <w:r>
              <w:rPr>
                <w:rStyle w:val="InstructionsTabelleberschrift"/>
              </w:rPr>
              <w:t>6.1</w:t>
            </w:r>
            <w:r w:rsidRPr="00B37090">
              <w:rPr>
                <w:rStyle w:val="InstructionsTabelleberschrift"/>
              </w:rPr>
              <w:t xml:space="preserve"> credit quality step 3</w:t>
            </w:r>
          </w:p>
          <w:p w:rsidR="001B3F25" w:rsidRDefault="001B3F25">
            <w:pPr>
              <w:rPr>
                <w:rFonts w:cs="Arial"/>
                <w:b/>
                <w:szCs w:val="20"/>
                <w:u w:val="single"/>
              </w:rPr>
            </w:pPr>
          </w:p>
        </w:tc>
      </w:tr>
    </w:tbl>
    <w:p w:rsidR="00D02FE4" w:rsidRPr="00B37090" w:rsidRDefault="00D02FE4" w:rsidP="00542F08">
      <w:bookmarkStart w:id="5" w:name="_GoBack"/>
      <w:bookmarkEnd w:id="5"/>
    </w:p>
    <w:sectPr w:rsidR="00D02FE4" w:rsidRPr="00B37090" w:rsidSect="00542F08">
      <w:footerReference w:type="default" r:id="rId9"/>
      <w:pgSz w:w="11906" w:h="16838"/>
      <w:pgMar w:top="1440" w:right="1800" w:bottom="1258"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1FE" w:rsidRDefault="009111FE">
      <w:r>
        <w:separator/>
      </w:r>
    </w:p>
  </w:endnote>
  <w:endnote w:type="continuationSeparator" w:id="0">
    <w:p w:rsidR="009111FE" w:rsidRDefault="009111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74984"/>
      <w:docPartObj>
        <w:docPartGallery w:val="Page Numbers (Bottom of Page)"/>
        <w:docPartUnique/>
      </w:docPartObj>
    </w:sdtPr>
    <w:sdtContent>
      <w:p w:rsidR="00470CC8" w:rsidRDefault="00470CC8">
        <w:pPr>
          <w:pStyle w:val="Footer"/>
          <w:jc w:val="right"/>
        </w:pPr>
        <w:r>
          <w:fldChar w:fldCharType="begin"/>
        </w:r>
        <w:r>
          <w:instrText xml:space="preserve"> PAGE   \* MERGEFORMAT </w:instrText>
        </w:r>
        <w:r>
          <w:fldChar w:fldCharType="separate"/>
        </w:r>
        <w:r>
          <w:rPr>
            <w:noProof/>
          </w:rPr>
          <w:t>1</w:t>
        </w:r>
        <w:r>
          <w:fldChar w:fldCharType="end"/>
        </w:r>
      </w:p>
    </w:sdtContent>
  </w:sdt>
  <w:p w:rsidR="009111FE" w:rsidRDefault="009111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1FE" w:rsidRDefault="009111FE">
      <w:r>
        <w:separator/>
      </w:r>
    </w:p>
  </w:footnote>
  <w:footnote w:type="continuationSeparator" w:id="0">
    <w:p w:rsidR="009111FE" w:rsidRDefault="009111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E0513"/>
    <w:multiLevelType w:val="hybridMultilevel"/>
    <w:tmpl w:val="7FAC68C8"/>
    <w:lvl w:ilvl="0" w:tplc="3672FC50">
      <w:start w:val="1"/>
      <w:numFmt w:val="decimal"/>
      <w:lvlText w:val="%1."/>
      <w:lvlJc w:val="left"/>
      <w:pPr>
        <w:tabs>
          <w:tab w:val="num" w:pos="1440"/>
        </w:tabs>
        <w:ind w:left="1440" w:hanging="360"/>
      </w:pPr>
      <w:rPr>
        <w:rFonts w:ascii="Times New Roman" w:hAnsi="Times New Roman" w:hint="default"/>
        <w:b w:val="0"/>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4B03505"/>
    <w:multiLevelType w:val="multilevel"/>
    <w:tmpl w:val="BD3AFDD6"/>
    <w:lvl w:ilvl="0">
      <w:start w:val="1"/>
      <w:numFmt w:val="lowerLetter"/>
      <w:lvlText w:val="%1."/>
      <w:lvlJc w:val="left"/>
      <w:pPr>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82C654B"/>
    <w:multiLevelType w:val="multilevel"/>
    <w:tmpl w:val="79D8E760"/>
    <w:lvl w:ilvl="0">
      <w:start w:val="1"/>
      <w:numFmt w:val="decimal"/>
      <w:lvlText w:val="%1."/>
      <w:lvlJc w:val="left"/>
      <w:pPr>
        <w:ind w:left="720" w:hanging="720"/>
      </w:pPr>
      <w:rPr>
        <w:rFonts w:cs="Times New Roman" w:hint="default"/>
        <w:b/>
        <w:u w:val="single"/>
      </w:rPr>
    </w:lvl>
    <w:lvl w:ilvl="1">
      <w:start w:val="9"/>
      <w:numFmt w:val="decimal"/>
      <w:lvlText w:val="%1.%2."/>
      <w:lvlJc w:val="left"/>
      <w:pPr>
        <w:ind w:left="1153" w:hanging="720"/>
      </w:pPr>
      <w:rPr>
        <w:rFonts w:cs="Times New Roman" w:hint="default"/>
        <w:b/>
        <w:u w:val="single"/>
      </w:rPr>
    </w:lvl>
    <w:lvl w:ilvl="2">
      <w:start w:val="1"/>
      <w:numFmt w:val="decimal"/>
      <w:lvlText w:val="%1.%2.%3."/>
      <w:lvlJc w:val="left"/>
      <w:pPr>
        <w:ind w:left="1946" w:hanging="1080"/>
      </w:pPr>
      <w:rPr>
        <w:rFonts w:cs="Times New Roman" w:hint="default"/>
        <w:b/>
        <w:u w:val="single"/>
      </w:rPr>
    </w:lvl>
    <w:lvl w:ilvl="3">
      <w:start w:val="1"/>
      <w:numFmt w:val="decimal"/>
      <w:lvlText w:val="%1.%2.%3.%3."/>
      <w:lvlJc w:val="left"/>
      <w:pPr>
        <w:ind w:left="2739" w:hanging="1440"/>
      </w:pPr>
      <w:rPr>
        <w:rFonts w:cs="Times New Roman" w:hint="default"/>
        <w:b/>
        <w:u w:val="single"/>
      </w:rPr>
    </w:lvl>
    <w:lvl w:ilvl="4">
      <w:start w:val="1"/>
      <w:numFmt w:val="decimal"/>
      <w:lvlText w:val="%1.%2.%3.%3.%4."/>
      <w:lvlJc w:val="left"/>
      <w:pPr>
        <w:ind w:left="3172" w:hanging="1440"/>
      </w:pPr>
      <w:rPr>
        <w:rFonts w:cs="Times New Roman" w:hint="default"/>
        <w:b/>
        <w:u w:val="single"/>
      </w:rPr>
    </w:lvl>
    <w:lvl w:ilvl="5">
      <w:start w:val="1"/>
      <w:numFmt w:val="decimal"/>
      <w:lvlText w:val="%1.%2.%3.%3.%4.%5."/>
      <w:lvlJc w:val="left"/>
      <w:pPr>
        <w:ind w:left="3965" w:hanging="1800"/>
      </w:pPr>
      <w:rPr>
        <w:rFonts w:cs="Times New Roman" w:hint="default"/>
        <w:b/>
        <w:u w:val="single"/>
      </w:rPr>
    </w:lvl>
    <w:lvl w:ilvl="6">
      <w:start w:val="1"/>
      <w:numFmt w:val="decimal"/>
      <w:lvlText w:val="%1.%2.%3.%3.%4.%5.%6."/>
      <w:lvlJc w:val="left"/>
      <w:pPr>
        <w:ind w:left="4758" w:hanging="2160"/>
      </w:pPr>
      <w:rPr>
        <w:rFonts w:cs="Times New Roman" w:hint="default"/>
        <w:b/>
        <w:u w:val="single"/>
      </w:rPr>
    </w:lvl>
    <w:lvl w:ilvl="7">
      <w:start w:val="1"/>
      <w:numFmt w:val="decimal"/>
      <w:lvlText w:val="%1.%2.%3.%3.%4.%5.%6.%7."/>
      <w:lvlJc w:val="left"/>
      <w:pPr>
        <w:ind w:left="5191" w:hanging="2160"/>
      </w:pPr>
      <w:rPr>
        <w:rFonts w:cs="Times New Roman" w:hint="default"/>
        <w:b/>
        <w:u w:val="single"/>
      </w:rPr>
    </w:lvl>
    <w:lvl w:ilvl="8">
      <w:start w:val="1"/>
      <w:numFmt w:val="decimal"/>
      <w:lvlText w:val="%1.%2.%3.%3.%4.%5.%6.%7.%8."/>
      <w:lvlJc w:val="left"/>
      <w:pPr>
        <w:ind w:left="5984" w:hanging="2520"/>
      </w:pPr>
      <w:rPr>
        <w:rFonts w:cs="Times New Roman" w:hint="default"/>
        <w:b/>
        <w:u w:val="single"/>
      </w:rPr>
    </w:lvl>
  </w:abstractNum>
  <w:abstractNum w:abstractNumId="3">
    <w:nsid w:val="32EB2DF5"/>
    <w:multiLevelType w:val="multilevel"/>
    <w:tmpl w:val="0EA42C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3057CB8"/>
    <w:multiLevelType w:val="hybridMultilevel"/>
    <w:tmpl w:val="98068D9C"/>
    <w:lvl w:ilvl="0" w:tplc="236EA62C">
      <w:start w:val="1"/>
      <w:numFmt w:val="decimal"/>
      <w:pStyle w:val="InstructionsText2"/>
      <w:lvlText w:val="%1."/>
      <w:lvlJc w:val="left"/>
      <w:pPr>
        <w:ind w:left="720" w:hanging="360"/>
      </w:pPr>
    </w:lvl>
    <w:lvl w:ilvl="1" w:tplc="08090001">
      <w:start w:val="1"/>
      <w:numFmt w:val="bullet"/>
      <w:lvlText w:val=""/>
      <w:lvlJc w:val="left"/>
      <w:pPr>
        <w:tabs>
          <w:tab w:val="num" w:pos="0"/>
        </w:tabs>
        <w:ind w:left="1440" w:hanging="360"/>
      </w:pPr>
      <w:rPr>
        <w:rFonts w:ascii="Symbol" w:hAnsi="Symbol" w:hint="default"/>
      </w:r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5">
    <w:nsid w:val="3E2C5770"/>
    <w:multiLevelType w:val="hybridMultilevel"/>
    <w:tmpl w:val="EF2A9F82"/>
    <w:lvl w:ilvl="0" w:tplc="439C4790">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43002AA1"/>
    <w:multiLevelType w:val="multilevel"/>
    <w:tmpl w:val="A292480E"/>
    <w:lvl w:ilvl="0">
      <w:start w:val="1"/>
      <w:numFmt w:val="decimal"/>
      <w:lvlText w:val="%1."/>
      <w:lvlJc w:val="left"/>
      <w:pPr>
        <w:ind w:left="720" w:hanging="360"/>
      </w:pPr>
    </w:lvl>
    <w:lvl w:ilvl="1">
      <w:start w:val="1"/>
      <w:numFmt w:val="none"/>
      <w:lvlText w:val="4.1"/>
      <w:lvlJc w:val="left"/>
      <w:pPr>
        <w:tabs>
          <w:tab w:val="num" w:pos="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5C026EB"/>
    <w:multiLevelType w:val="hybridMultilevel"/>
    <w:tmpl w:val="DCE0FAF6"/>
    <w:lvl w:ilvl="0" w:tplc="4C802C90">
      <w:start w:val="1"/>
      <w:numFmt w:val="decimal"/>
      <w:lvlText w:val="%1.."/>
      <w:lvlJc w:val="left"/>
      <w:pPr>
        <w:ind w:left="1183" w:hanging="750"/>
      </w:pPr>
      <w:rPr>
        <w:rFonts w:hint="default"/>
      </w:rPr>
    </w:lvl>
    <w:lvl w:ilvl="1" w:tplc="08090019" w:tentative="1">
      <w:start w:val="1"/>
      <w:numFmt w:val="lowerLetter"/>
      <w:lvlText w:val="%2."/>
      <w:lvlJc w:val="left"/>
      <w:pPr>
        <w:ind w:left="1513" w:hanging="360"/>
      </w:pPr>
    </w:lvl>
    <w:lvl w:ilvl="2" w:tplc="0809001B" w:tentative="1">
      <w:start w:val="1"/>
      <w:numFmt w:val="lowerRoman"/>
      <w:lvlText w:val="%3."/>
      <w:lvlJc w:val="right"/>
      <w:pPr>
        <w:ind w:left="2233" w:hanging="180"/>
      </w:pPr>
    </w:lvl>
    <w:lvl w:ilvl="3" w:tplc="0809000F" w:tentative="1">
      <w:start w:val="1"/>
      <w:numFmt w:val="decimal"/>
      <w:lvlText w:val="%4."/>
      <w:lvlJc w:val="left"/>
      <w:pPr>
        <w:ind w:left="2953" w:hanging="360"/>
      </w:pPr>
    </w:lvl>
    <w:lvl w:ilvl="4" w:tplc="08090019" w:tentative="1">
      <w:start w:val="1"/>
      <w:numFmt w:val="lowerLetter"/>
      <w:lvlText w:val="%5."/>
      <w:lvlJc w:val="left"/>
      <w:pPr>
        <w:ind w:left="3673" w:hanging="360"/>
      </w:pPr>
    </w:lvl>
    <w:lvl w:ilvl="5" w:tplc="0809001B" w:tentative="1">
      <w:start w:val="1"/>
      <w:numFmt w:val="lowerRoman"/>
      <w:lvlText w:val="%6."/>
      <w:lvlJc w:val="right"/>
      <w:pPr>
        <w:ind w:left="4393" w:hanging="180"/>
      </w:pPr>
    </w:lvl>
    <w:lvl w:ilvl="6" w:tplc="0809000F" w:tentative="1">
      <w:start w:val="1"/>
      <w:numFmt w:val="decimal"/>
      <w:lvlText w:val="%7."/>
      <w:lvlJc w:val="left"/>
      <w:pPr>
        <w:ind w:left="5113" w:hanging="360"/>
      </w:pPr>
    </w:lvl>
    <w:lvl w:ilvl="7" w:tplc="08090019" w:tentative="1">
      <w:start w:val="1"/>
      <w:numFmt w:val="lowerLetter"/>
      <w:lvlText w:val="%8."/>
      <w:lvlJc w:val="left"/>
      <w:pPr>
        <w:ind w:left="5833" w:hanging="360"/>
      </w:pPr>
    </w:lvl>
    <w:lvl w:ilvl="8" w:tplc="0809001B" w:tentative="1">
      <w:start w:val="1"/>
      <w:numFmt w:val="lowerRoman"/>
      <w:lvlText w:val="%9."/>
      <w:lvlJc w:val="right"/>
      <w:pPr>
        <w:ind w:left="6553" w:hanging="180"/>
      </w:pPr>
    </w:lvl>
  </w:abstractNum>
  <w:abstractNum w:abstractNumId="8">
    <w:nsid w:val="4E3512E5"/>
    <w:multiLevelType w:val="hybridMultilevel"/>
    <w:tmpl w:val="3AB49C46"/>
    <w:lvl w:ilvl="0" w:tplc="69740F9C">
      <w:start w:val="3"/>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
    <w:nsid w:val="55AE2C0D"/>
    <w:multiLevelType w:val="hybridMultilevel"/>
    <w:tmpl w:val="789A0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644B66D8"/>
    <w:multiLevelType w:val="singleLevel"/>
    <w:tmpl w:val="E8B65104"/>
    <w:lvl w:ilvl="0">
      <w:start w:val="1"/>
      <w:numFmt w:val="bullet"/>
      <w:lvlText w:val=""/>
      <w:lvlJc w:val="left"/>
      <w:pPr>
        <w:tabs>
          <w:tab w:val="num" w:pos="851"/>
        </w:tabs>
        <w:ind w:left="851" w:hanging="851"/>
      </w:pPr>
      <w:rPr>
        <w:rFonts w:ascii="Symbol" w:hAnsi="Symbol" w:hint="default"/>
      </w:rPr>
    </w:lvl>
  </w:abstractNum>
  <w:abstractNum w:abstractNumId="11">
    <w:nsid w:val="64BE1E33"/>
    <w:multiLevelType w:val="multilevel"/>
    <w:tmpl w:val="D29C4EF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nsid w:val="66CA2C8C"/>
    <w:multiLevelType w:val="hybridMultilevel"/>
    <w:tmpl w:val="5BF2CFE0"/>
    <w:lvl w:ilvl="0" w:tplc="4BB6D85C">
      <w:start w:val="1"/>
      <w:numFmt w:val="decimal"/>
      <w:pStyle w:val="Instructionsberschrift2"/>
      <w:lvlText w:val="%1.1"/>
      <w:lvlJc w:val="left"/>
      <w:pPr>
        <w:ind w:left="720" w:hanging="360"/>
      </w:pPr>
      <w:rPr>
        <w:rFonts w:hint="default"/>
      </w:rPr>
    </w:lvl>
    <w:lvl w:ilvl="1" w:tplc="E7565B6A">
      <w:start w:val="1"/>
      <w:numFmt w:val="lowerLetter"/>
      <w:lvlText w:val="%2."/>
      <w:lvlJc w:val="left"/>
      <w:pPr>
        <w:ind w:left="1440" w:hanging="360"/>
      </w:pPr>
    </w:lvl>
    <w:lvl w:ilvl="2" w:tplc="67A6A44A" w:tentative="1">
      <w:start w:val="1"/>
      <w:numFmt w:val="lowerRoman"/>
      <w:lvlText w:val="%3."/>
      <w:lvlJc w:val="right"/>
      <w:pPr>
        <w:ind w:left="2160" w:hanging="180"/>
      </w:pPr>
    </w:lvl>
    <w:lvl w:ilvl="3" w:tplc="21C6EF3C" w:tentative="1">
      <w:start w:val="1"/>
      <w:numFmt w:val="decimal"/>
      <w:lvlText w:val="%4."/>
      <w:lvlJc w:val="left"/>
      <w:pPr>
        <w:ind w:left="2880" w:hanging="360"/>
      </w:pPr>
    </w:lvl>
    <w:lvl w:ilvl="4" w:tplc="6C185750" w:tentative="1">
      <w:start w:val="1"/>
      <w:numFmt w:val="lowerLetter"/>
      <w:lvlText w:val="%5."/>
      <w:lvlJc w:val="left"/>
      <w:pPr>
        <w:ind w:left="3600" w:hanging="360"/>
      </w:pPr>
    </w:lvl>
    <w:lvl w:ilvl="5" w:tplc="FA46F0F4" w:tentative="1">
      <w:start w:val="1"/>
      <w:numFmt w:val="lowerRoman"/>
      <w:lvlText w:val="%6."/>
      <w:lvlJc w:val="right"/>
      <w:pPr>
        <w:ind w:left="4320" w:hanging="180"/>
      </w:pPr>
    </w:lvl>
    <w:lvl w:ilvl="6" w:tplc="84CCF45A" w:tentative="1">
      <w:start w:val="1"/>
      <w:numFmt w:val="decimal"/>
      <w:lvlText w:val="%7."/>
      <w:lvlJc w:val="left"/>
      <w:pPr>
        <w:ind w:left="5040" w:hanging="360"/>
      </w:pPr>
    </w:lvl>
    <w:lvl w:ilvl="7" w:tplc="E2FA2386" w:tentative="1">
      <w:start w:val="1"/>
      <w:numFmt w:val="lowerLetter"/>
      <w:lvlText w:val="%8."/>
      <w:lvlJc w:val="left"/>
      <w:pPr>
        <w:ind w:left="5760" w:hanging="360"/>
      </w:pPr>
    </w:lvl>
    <w:lvl w:ilvl="8" w:tplc="1E3AE066" w:tentative="1">
      <w:start w:val="1"/>
      <w:numFmt w:val="lowerRoman"/>
      <w:lvlText w:val="%9."/>
      <w:lvlJc w:val="right"/>
      <w:pPr>
        <w:ind w:left="6480" w:hanging="180"/>
      </w:pPr>
    </w:lvl>
  </w:abstractNum>
  <w:abstractNum w:abstractNumId="13">
    <w:nsid w:val="6BC76E3D"/>
    <w:multiLevelType w:val="multilevel"/>
    <w:tmpl w:val="59244A76"/>
    <w:lvl w:ilvl="0">
      <w:start w:val="4"/>
      <w:numFmt w:val="decimal"/>
      <w:lvlText w:val="%1."/>
      <w:lvlJc w:val="left"/>
      <w:pPr>
        <w:ind w:left="717" w:hanging="360"/>
      </w:pPr>
      <w:rPr>
        <w:rFonts w:hint="default"/>
      </w:rPr>
    </w:lvl>
    <w:lvl w:ilvl="1">
      <w:start w:val="1"/>
      <w:numFmt w:val="decimal"/>
      <w:isLgl/>
      <w:lvlText w:val="%1.%2"/>
      <w:lvlJc w:val="left"/>
      <w:pPr>
        <w:ind w:left="1155" w:hanging="720"/>
      </w:pPr>
      <w:rPr>
        <w:rFonts w:hint="default"/>
      </w:rPr>
    </w:lvl>
    <w:lvl w:ilvl="2">
      <w:start w:val="1"/>
      <w:numFmt w:val="decimal"/>
      <w:isLgl/>
      <w:lvlText w:val="%1.%2.%3"/>
      <w:lvlJc w:val="left"/>
      <w:pPr>
        <w:ind w:left="1233" w:hanging="720"/>
      </w:pPr>
      <w:rPr>
        <w:rFonts w:hint="default"/>
      </w:rPr>
    </w:lvl>
    <w:lvl w:ilvl="3">
      <w:start w:val="1"/>
      <w:numFmt w:val="decimal"/>
      <w:isLgl/>
      <w:lvlText w:val="%1.%2.%3.%4"/>
      <w:lvlJc w:val="left"/>
      <w:pPr>
        <w:ind w:left="1671" w:hanging="1080"/>
      </w:pPr>
      <w:rPr>
        <w:rFonts w:hint="default"/>
      </w:rPr>
    </w:lvl>
    <w:lvl w:ilvl="4">
      <w:start w:val="1"/>
      <w:numFmt w:val="decimal"/>
      <w:isLgl/>
      <w:lvlText w:val="%1.%2.%3.%4.%5"/>
      <w:lvlJc w:val="left"/>
      <w:pPr>
        <w:ind w:left="2109" w:hanging="1440"/>
      </w:pPr>
      <w:rPr>
        <w:rFonts w:hint="default"/>
      </w:rPr>
    </w:lvl>
    <w:lvl w:ilvl="5">
      <w:start w:val="1"/>
      <w:numFmt w:val="decimal"/>
      <w:isLgl/>
      <w:lvlText w:val="%1.%2.%3.%4.%5.%6"/>
      <w:lvlJc w:val="left"/>
      <w:pPr>
        <w:ind w:left="2187"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3063" w:hanging="2160"/>
      </w:pPr>
      <w:rPr>
        <w:rFonts w:hint="default"/>
      </w:rPr>
    </w:lvl>
    <w:lvl w:ilvl="8">
      <w:start w:val="1"/>
      <w:numFmt w:val="decimal"/>
      <w:isLgl/>
      <w:lvlText w:val="%1.%2.%3.%4.%5.%6.%7.%8.%9"/>
      <w:lvlJc w:val="left"/>
      <w:pPr>
        <w:ind w:left="3141" w:hanging="2160"/>
      </w:pPr>
      <w:rPr>
        <w:rFonts w:hint="default"/>
      </w:rPr>
    </w:lvl>
  </w:abstractNum>
  <w:abstractNum w:abstractNumId="14">
    <w:nsid w:val="796F783C"/>
    <w:multiLevelType w:val="hybridMultilevel"/>
    <w:tmpl w:val="D09460B0"/>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num w:numId="1">
    <w:abstractNumId w:val="12"/>
  </w:num>
  <w:num w:numId="2">
    <w:abstractNumId w:val="4"/>
  </w:num>
  <w:num w:numId="3">
    <w:abstractNumId w:val="11"/>
  </w:num>
  <w:num w:numId="4">
    <w:abstractNumId w:val="4"/>
  </w:num>
  <w:num w:numId="5">
    <w:abstractNumId w:val="4"/>
  </w:num>
  <w:num w:numId="6">
    <w:abstractNumId w:val="10"/>
  </w:num>
  <w:num w:numId="7">
    <w:abstractNumId w:val="4"/>
  </w:num>
  <w:num w:numId="8">
    <w:abstractNumId w:val="4"/>
  </w:num>
  <w:num w:numId="9">
    <w:abstractNumId w:val="14"/>
  </w:num>
  <w:num w:numId="10">
    <w:abstractNumId w:val="4"/>
  </w:num>
  <w:num w:numId="11">
    <w:abstractNumId w:val="0"/>
  </w:num>
  <w:num w:numId="12">
    <w:abstractNumId w:val="1"/>
  </w:num>
  <w:num w:numId="13">
    <w:abstractNumId w:val="3"/>
  </w:num>
  <w:num w:numId="14">
    <w:abstractNumId w:val="4"/>
  </w:num>
  <w:num w:numId="15">
    <w:abstractNumId w:val="12"/>
  </w:num>
  <w:num w:numId="16">
    <w:abstractNumId w:val="4"/>
    <w:lvlOverride w:ilvl="0">
      <w:startOverride w:val="1"/>
    </w:lvlOverride>
  </w:num>
  <w:num w:numId="17">
    <w:abstractNumId w:val="6"/>
  </w:num>
  <w:num w:numId="18">
    <w:abstractNumId w:val="4"/>
  </w:num>
  <w:num w:numId="19">
    <w:abstractNumId w:val="4"/>
  </w:num>
  <w:num w:numId="20">
    <w:abstractNumId w:val="4"/>
  </w:num>
  <w:num w:numId="21">
    <w:abstractNumId w:val="7"/>
  </w:num>
  <w:num w:numId="22">
    <w:abstractNumId w:val="2"/>
  </w:num>
  <w:num w:numId="23">
    <w:abstractNumId w:val="4"/>
  </w:num>
  <w:num w:numId="24">
    <w:abstractNumId w:val="9"/>
  </w:num>
  <w:num w:numId="25">
    <w:abstractNumId w:val="8"/>
  </w:num>
  <w:num w:numId="26">
    <w:abstractNumId w:val="4"/>
    <w:lvlOverride w:ilvl="0">
      <w:startOverride w:val="1"/>
    </w:lvlOverride>
  </w:num>
  <w:num w:numId="27">
    <w:abstractNumId w:val="5"/>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hyphenationZone w:val="425"/>
  <w:characterSpacingControl w:val="doNotCompress"/>
  <w:footnotePr>
    <w:footnote w:id="-1"/>
    <w:footnote w:id="0"/>
  </w:footnotePr>
  <w:endnotePr>
    <w:endnote w:id="-1"/>
    <w:endnote w:id="0"/>
  </w:endnotePr>
  <w:compat/>
  <w:docVars>
    <w:docVar w:name="LW_DocType" w:val="NORMAL"/>
  </w:docVars>
  <w:rsids>
    <w:rsidRoot w:val="00D02FE4"/>
    <w:rsid w:val="000009D0"/>
    <w:rsid w:val="00001E75"/>
    <w:rsid w:val="00002330"/>
    <w:rsid w:val="00002918"/>
    <w:rsid w:val="00003323"/>
    <w:rsid w:val="00007545"/>
    <w:rsid w:val="000146C3"/>
    <w:rsid w:val="00017710"/>
    <w:rsid w:val="00021303"/>
    <w:rsid w:val="00032AC7"/>
    <w:rsid w:val="000348FF"/>
    <w:rsid w:val="00036812"/>
    <w:rsid w:val="0003683B"/>
    <w:rsid w:val="0004119A"/>
    <w:rsid w:val="00042921"/>
    <w:rsid w:val="00045026"/>
    <w:rsid w:val="00053317"/>
    <w:rsid w:val="00054044"/>
    <w:rsid w:val="000546C2"/>
    <w:rsid w:val="00060E30"/>
    <w:rsid w:val="00061F75"/>
    <w:rsid w:val="00065977"/>
    <w:rsid w:val="00065B12"/>
    <w:rsid w:val="00071364"/>
    <w:rsid w:val="000761EA"/>
    <w:rsid w:val="0008176F"/>
    <w:rsid w:val="000818F4"/>
    <w:rsid w:val="00081C7A"/>
    <w:rsid w:val="0008521F"/>
    <w:rsid w:val="00085F5B"/>
    <w:rsid w:val="00093661"/>
    <w:rsid w:val="00097E78"/>
    <w:rsid w:val="000A4DE8"/>
    <w:rsid w:val="000A6F94"/>
    <w:rsid w:val="000B46EE"/>
    <w:rsid w:val="000B5A28"/>
    <w:rsid w:val="000B767B"/>
    <w:rsid w:val="000C3837"/>
    <w:rsid w:val="000D04E1"/>
    <w:rsid w:val="000D2FCD"/>
    <w:rsid w:val="000D7985"/>
    <w:rsid w:val="000E040A"/>
    <w:rsid w:val="000E59C5"/>
    <w:rsid w:val="000F154D"/>
    <w:rsid w:val="000F220A"/>
    <w:rsid w:val="000F32F6"/>
    <w:rsid w:val="00104F31"/>
    <w:rsid w:val="001065D2"/>
    <w:rsid w:val="00106FD2"/>
    <w:rsid w:val="00111142"/>
    <w:rsid w:val="0011276D"/>
    <w:rsid w:val="001128AA"/>
    <w:rsid w:val="00112D86"/>
    <w:rsid w:val="00121B71"/>
    <w:rsid w:val="00127A6C"/>
    <w:rsid w:val="00142194"/>
    <w:rsid w:val="001456E6"/>
    <w:rsid w:val="00147C46"/>
    <w:rsid w:val="00147E72"/>
    <w:rsid w:val="00153508"/>
    <w:rsid w:val="00155567"/>
    <w:rsid w:val="00155DEF"/>
    <w:rsid w:val="001628B5"/>
    <w:rsid w:val="001631B5"/>
    <w:rsid w:val="001704EE"/>
    <w:rsid w:val="00174660"/>
    <w:rsid w:val="00181958"/>
    <w:rsid w:val="00186016"/>
    <w:rsid w:val="0019059C"/>
    <w:rsid w:val="001921D8"/>
    <w:rsid w:val="001922E6"/>
    <w:rsid w:val="001977F5"/>
    <w:rsid w:val="00197B28"/>
    <w:rsid w:val="001A1722"/>
    <w:rsid w:val="001A331C"/>
    <w:rsid w:val="001A4BC9"/>
    <w:rsid w:val="001B0014"/>
    <w:rsid w:val="001B3F25"/>
    <w:rsid w:val="001B5CC0"/>
    <w:rsid w:val="001C1B82"/>
    <w:rsid w:val="001C5A01"/>
    <w:rsid w:val="001E19A7"/>
    <w:rsid w:val="001F6DBD"/>
    <w:rsid w:val="00203D97"/>
    <w:rsid w:val="002219C9"/>
    <w:rsid w:val="00221C50"/>
    <w:rsid w:val="00224086"/>
    <w:rsid w:val="002252E2"/>
    <w:rsid w:val="00235044"/>
    <w:rsid w:val="002351DE"/>
    <w:rsid w:val="002352E7"/>
    <w:rsid w:val="00236D21"/>
    <w:rsid w:val="00237E2A"/>
    <w:rsid w:val="00252579"/>
    <w:rsid w:val="00254638"/>
    <w:rsid w:val="0026098F"/>
    <w:rsid w:val="00267206"/>
    <w:rsid w:val="00283809"/>
    <w:rsid w:val="002857F5"/>
    <w:rsid w:val="00293C9B"/>
    <w:rsid w:val="002A0CEA"/>
    <w:rsid w:val="002A575B"/>
    <w:rsid w:val="002B09BC"/>
    <w:rsid w:val="002D10C3"/>
    <w:rsid w:val="002D7737"/>
    <w:rsid w:val="002E3204"/>
    <w:rsid w:val="002E4784"/>
    <w:rsid w:val="002E6B84"/>
    <w:rsid w:val="002F29EB"/>
    <w:rsid w:val="00303201"/>
    <w:rsid w:val="00313649"/>
    <w:rsid w:val="00316094"/>
    <w:rsid w:val="00322A40"/>
    <w:rsid w:val="0032688F"/>
    <w:rsid w:val="00327A13"/>
    <w:rsid w:val="0033279C"/>
    <w:rsid w:val="00335466"/>
    <w:rsid w:val="00335BF6"/>
    <w:rsid w:val="00336282"/>
    <w:rsid w:val="00336DC1"/>
    <w:rsid w:val="00342F43"/>
    <w:rsid w:val="00347B19"/>
    <w:rsid w:val="0035169D"/>
    <w:rsid w:val="00352B90"/>
    <w:rsid w:val="003625A3"/>
    <w:rsid w:val="00362EA9"/>
    <w:rsid w:val="00365E25"/>
    <w:rsid w:val="0036777A"/>
    <w:rsid w:val="003719B4"/>
    <w:rsid w:val="00375786"/>
    <w:rsid w:val="00382040"/>
    <w:rsid w:val="003A0CE1"/>
    <w:rsid w:val="003A3370"/>
    <w:rsid w:val="003A4AA3"/>
    <w:rsid w:val="003B54CB"/>
    <w:rsid w:val="003B7F4E"/>
    <w:rsid w:val="003C23E9"/>
    <w:rsid w:val="003C27A9"/>
    <w:rsid w:val="003C50CD"/>
    <w:rsid w:val="003C556B"/>
    <w:rsid w:val="003C6A18"/>
    <w:rsid w:val="003D627C"/>
    <w:rsid w:val="003E0BBC"/>
    <w:rsid w:val="004003F5"/>
    <w:rsid w:val="00402D60"/>
    <w:rsid w:val="0040713D"/>
    <w:rsid w:val="004127AC"/>
    <w:rsid w:val="00412AFB"/>
    <w:rsid w:val="0041502D"/>
    <w:rsid w:val="00415B74"/>
    <w:rsid w:val="00431B89"/>
    <w:rsid w:val="00431EBC"/>
    <w:rsid w:val="00434B7B"/>
    <w:rsid w:val="00436A29"/>
    <w:rsid w:val="00441BC5"/>
    <w:rsid w:val="004502BD"/>
    <w:rsid w:val="0045133E"/>
    <w:rsid w:val="0045321B"/>
    <w:rsid w:val="00455575"/>
    <w:rsid w:val="00455BBB"/>
    <w:rsid w:val="004612F1"/>
    <w:rsid w:val="00470CC8"/>
    <w:rsid w:val="004748D6"/>
    <w:rsid w:val="00477625"/>
    <w:rsid w:val="00480741"/>
    <w:rsid w:val="00486C80"/>
    <w:rsid w:val="0049134F"/>
    <w:rsid w:val="0049358E"/>
    <w:rsid w:val="00493BAC"/>
    <w:rsid w:val="00494A9E"/>
    <w:rsid w:val="004A0D83"/>
    <w:rsid w:val="004A1CC8"/>
    <w:rsid w:val="004B3499"/>
    <w:rsid w:val="004B3A13"/>
    <w:rsid w:val="004B45ED"/>
    <w:rsid w:val="004C213D"/>
    <w:rsid w:val="004C4BB2"/>
    <w:rsid w:val="004C7F74"/>
    <w:rsid w:val="004D0CA9"/>
    <w:rsid w:val="004D5AA0"/>
    <w:rsid w:val="004E3F3A"/>
    <w:rsid w:val="004F6C3F"/>
    <w:rsid w:val="00500809"/>
    <w:rsid w:val="0050144D"/>
    <w:rsid w:val="00507C0E"/>
    <w:rsid w:val="0051259E"/>
    <w:rsid w:val="00515DFC"/>
    <w:rsid w:val="005164B3"/>
    <w:rsid w:val="0052174F"/>
    <w:rsid w:val="005227E1"/>
    <w:rsid w:val="0052452E"/>
    <w:rsid w:val="005268C6"/>
    <w:rsid w:val="00530802"/>
    <w:rsid w:val="00535B3D"/>
    <w:rsid w:val="00536191"/>
    <w:rsid w:val="0054219A"/>
    <w:rsid w:val="00542F08"/>
    <w:rsid w:val="005437E2"/>
    <w:rsid w:val="00546EA5"/>
    <w:rsid w:val="00547FDD"/>
    <w:rsid w:val="005537CE"/>
    <w:rsid w:val="00553E4B"/>
    <w:rsid w:val="00564FAC"/>
    <w:rsid w:val="00565A0E"/>
    <w:rsid w:val="00573EA9"/>
    <w:rsid w:val="005741AC"/>
    <w:rsid w:val="005836EB"/>
    <w:rsid w:val="00583C97"/>
    <w:rsid w:val="00585342"/>
    <w:rsid w:val="00586356"/>
    <w:rsid w:val="00591E05"/>
    <w:rsid w:val="00595117"/>
    <w:rsid w:val="005A1B94"/>
    <w:rsid w:val="005A62C0"/>
    <w:rsid w:val="005B261B"/>
    <w:rsid w:val="005B47BD"/>
    <w:rsid w:val="005B6112"/>
    <w:rsid w:val="005C0306"/>
    <w:rsid w:val="005D249C"/>
    <w:rsid w:val="005D29C6"/>
    <w:rsid w:val="005D4472"/>
    <w:rsid w:val="005D6CE3"/>
    <w:rsid w:val="005E2114"/>
    <w:rsid w:val="005E3727"/>
    <w:rsid w:val="005F21EA"/>
    <w:rsid w:val="005F5693"/>
    <w:rsid w:val="00604078"/>
    <w:rsid w:val="00613F86"/>
    <w:rsid w:val="00613FC0"/>
    <w:rsid w:val="00614019"/>
    <w:rsid w:val="0062073A"/>
    <w:rsid w:val="0062425C"/>
    <w:rsid w:val="00635DC7"/>
    <w:rsid w:val="00637388"/>
    <w:rsid w:val="00640AF7"/>
    <w:rsid w:val="00644253"/>
    <w:rsid w:val="00644F67"/>
    <w:rsid w:val="00651FB5"/>
    <w:rsid w:val="00665B17"/>
    <w:rsid w:val="00667FEE"/>
    <w:rsid w:val="006761DC"/>
    <w:rsid w:val="00676B8C"/>
    <w:rsid w:val="006830DF"/>
    <w:rsid w:val="00686920"/>
    <w:rsid w:val="00692917"/>
    <w:rsid w:val="006A3E64"/>
    <w:rsid w:val="006B4A0F"/>
    <w:rsid w:val="006C03D3"/>
    <w:rsid w:val="006C4D88"/>
    <w:rsid w:val="006C599D"/>
    <w:rsid w:val="006C59CD"/>
    <w:rsid w:val="006D0410"/>
    <w:rsid w:val="006D1754"/>
    <w:rsid w:val="006D18CD"/>
    <w:rsid w:val="006D3476"/>
    <w:rsid w:val="006D727B"/>
    <w:rsid w:val="006D7758"/>
    <w:rsid w:val="006F0082"/>
    <w:rsid w:val="0070134A"/>
    <w:rsid w:val="007074DB"/>
    <w:rsid w:val="007107E2"/>
    <w:rsid w:val="00712B67"/>
    <w:rsid w:val="007145F6"/>
    <w:rsid w:val="0071552E"/>
    <w:rsid w:val="00735497"/>
    <w:rsid w:val="007359FE"/>
    <w:rsid w:val="00746D4F"/>
    <w:rsid w:val="00761D04"/>
    <w:rsid w:val="007655D4"/>
    <w:rsid w:val="00765665"/>
    <w:rsid w:val="00766052"/>
    <w:rsid w:val="00767000"/>
    <w:rsid w:val="00767AB0"/>
    <w:rsid w:val="00770188"/>
    <w:rsid w:val="0077329F"/>
    <w:rsid w:val="0077506F"/>
    <w:rsid w:val="00777124"/>
    <w:rsid w:val="00793416"/>
    <w:rsid w:val="00793E94"/>
    <w:rsid w:val="007B68A6"/>
    <w:rsid w:val="007C2111"/>
    <w:rsid w:val="007C263D"/>
    <w:rsid w:val="007C2CF7"/>
    <w:rsid w:val="007C46DF"/>
    <w:rsid w:val="007D0931"/>
    <w:rsid w:val="007D0E1A"/>
    <w:rsid w:val="007D2B8A"/>
    <w:rsid w:val="007D3C61"/>
    <w:rsid w:val="007E5C7F"/>
    <w:rsid w:val="007E7CC7"/>
    <w:rsid w:val="007F077F"/>
    <w:rsid w:val="007F1CBE"/>
    <w:rsid w:val="007F3E1C"/>
    <w:rsid w:val="007F6686"/>
    <w:rsid w:val="00815FA5"/>
    <w:rsid w:val="00817C19"/>
    <w:rsid w:val="00821CAA"/>
    <w:rsid w:val="00822C02"/>
    <w:rsid w:val="00823E94"/>
    <w:rsid w:val="0082643B"/>
    <w:rsid w:val="0083376D"/>
    <w:rsid w:val="0084065D"/>
    <w:rsid w:val="0084419C"/>
    <w:rsid w:val="008502D7"/>
    <w:rsid w:val="00851715"/>
    <w:rsid w:val="00853590"/>
    <w:rsid w:val="00856BDD"/>
    <w:rsid w:val="00866823"/>
    <w:rsid w:val="00873159"/>
    <w:rsid w:val="0089032B"/>
    <w:rsid w:val="00890BD6"/>
    <w:rsid w:val="0089716D"/>
    <w:rsid w:val="008A3D87"/>
    <w:rsid w:val="008A5A8E"/>
    <w:rsid w:val="008A7BBD"/>
    <w:rsid w:val="008B5F67"/>
    <w:rsid w:val="008C6044"/>
    <w:rsid w:val="008C7B02"/>
    <w:rsid w:val="008C7E61"/>
    <w:rsid w:val="008D58DE"/>
    <w:rsid w:val="008E3846"/>
    <w:rsid w:val="008F3272"/>
    <w:rsid w:val="00905BEA"/>
    <w:rsid w:val="009111FE"/>
    <w:rsid w:val="00912A4C"/>
    <w:rsid w:val="00913B4B"/>
    <w:rsid w:val="00917163"/>
    <w:rsid w:val="009439F8"/>
    <w:rsid w:val="009454EB"/>
    <w:rsid w:val="0095369E"/>
    <w:rsid w:val="009561DF"/>
    <w:rsid w:val="00961001"/>
    <w:rsid w:val="0096735B"/>
    <w:rsid w:val="00967FD7"/>
    <w:rsid w:val="009711AE"/>
    <w:rsid w:val="00977761"/>
    <w:rsid w:val="0098022F"/>
    <w:rsid w:val="00981EE8"/>
    <w:rsid w:val="009821DC"/>
    <w:rsid w:val="00985644"/>
    <w:rsid w:val="009877CB"/>
    <w:rsid w:val="00997695"/>
    <w:rsid w:val="009A1812"/>
    <w:rsid w:val="009A1AF1"/>
    <w:rsid w:val="009A1C01"/>
    <w:rsid w:val="009A46EF"/>
    <w:rsid w:val="009B4BD1"/>
    <w:rsid w:val="009B53E1"/>
    <w:rsid w:val="009B6780"/>
    <w:rsid w:val="009B6F1E"/>
    <w:rsid w:val="009B70E3"/>
    <w:rsid w:val="009C1F86"/>
    <w:rsid w:val="009C4F19"/>
    <w:rsid w:val="009D10DD"/>
    <w:rsid w:val="009D17B1"/>
    <w:rsid w:val="009D253B"/>
    <w:rsid w:val="009D3316"/>
    <w:rsid w:val="009D3B81"/>
    <w:rsid w:val="009D4C95"/>
    <w:rsid w:val="009D67FE"/>
    <w:rsid w:val="009D6FE9"/>
    <w:rsid w:val="009E1AB7"/>
    <w:rsid w:val="009E2024"/>
    <w:rsid w:val="009F31DE"/>
    <w:rsid w:val="009F3B27"/>
    <w:rsid w:val="009F473A"/>
    <w:rsid w:val="009F5E24"/>
    <w:rsid w:val="009F5F35"/>
    <w:rsid w:val="00A04D0F"/>
    <w:rsid w:val="00A13F71"/>
    <w:rsid w:val="00A16344"/>
    <w:rsid w:val="00A2570A"/>
    <w:rsid w:val="00A25B77"/>
    <w:rsid w:val="00A366AF"/>
    <w:rsid w:val="00A413A9"/>
    <w:rsid w:val="00A42447"/>
    <w:rsid w:val="00A43594"/>
    <w:rsid w:val="00A439AE"/>
    <w:rsid w:val="00A44658"/>
    <w:rsid w:val="00A44673"/>
    <w:rsid w:val="00A44D8E"/>
    <w:rsid w:val="00A45DCF"/>
    <w:rsid w:val="00A51CE6"/>
    <w:rsid w:val="00A5203C"/>
    <w:rsid w:val="00A546DE"/>
    <w:rsid w:val="00A57E3B"/>
    <w:rsid w:val="00A744B1"/>
    <w:rsid w:val="00A7615C"/>
    <w:rsid w:val="00A84E5F"/>
    <w:rsid w:val="00A85A48"/>
    <w:rsid w:val="00A90F26"/>
    <w:rsid w:val="00A92092"/>
    <w:rsid w:val="00AA1D13"/>
    <w:rsid w:val="00AA1FDA"/>
    <w:rsid w:val="00AA346E"/>
    <w:rsid w:val="00AA3B42"/>
    <w:rsid w:val="00AA4DCD"/>
    <w:rsid w:val="00AB1C31"/>
    <w:rsid w:val="00AB1C98"/>
    <w:rsid w:val="00AC2453"/>
    <w:rsid w:val="00AC7952"/>
    <w:rsid w:val="00AF2AC6"/>
    <w:rsid w:val="00AF4041"/>
    <w:rsid w:val="00AF4FE8"/>
    <w:rsid w:val="00B00A82"/>
    <w:rsid w:val="00B01BCD"/>
    <w:rsid w:val="00B0397B"/>
    <w:rsid w:val="00B171F3"/>
    <w:rsid w:val="00B17AA4"/>
    <w:rsid w:val="00B22151"/>
    <w:rsid w:val="00B32299"/>
    <w:rsid w:val="00B37090"/>
    <w:rsid w:val="00B41672"/>
    <w:rsid w:val="00B44F27"/>
    <w:rsid w:val="00B46CB1"/>
    <w:rsid w:val="00B5260F"/>
    <w:rsid w:val="00B67B26"/>
    <w:rsid w:val="00B7014C"/>
    <w:rsid w:val="00B70A8F"/>
    <w:rsid w:val="00B73F46"/>
    <w:rsid w:val="00B772FE"/>
    <w:rsid w:val="00B80212"/>
    <w:rsid w:val="00B86B23"/>
    <w:rsid w:val="00B8775C"/>
    <w:rsid w:val="00BC280A"/>
    <w:rsid w:val="00BC7551"/>
    <w:rsid w:val="00BD3018"/>
    <w:rsid w:val="00BD4364"/>
    <w:rsid w:val="00BD5CF6"/>
    <w:rsid w:val="00BD6444"/>
    <w:rsid w:val="00BE3751"/>
    <w:rsid w:val="00BE752A"/>
    <w:rsid w:val="00BF230E"/>
    <w:rsid w:val="00C03BDC"/>
    <w:rsid w:val="00C051E8"/>
    <w:rsid w:val="00C07077"/>
    <w:rsid w:val="00C116F4"/>
    <w:rsid w:val="00C16CAF"/>
    <w:rsid w:val="00C205D8"/>
    <w:rsid w:val="00C20ADC"/>
    <w:rsid w:val="00C2788E"/>
    <w:rsid w:val="00C27BE9"/>
    <w:rsid w:val="00C32DFF"/>
    <w:rsid w:val="00C334A1"/>
    <w:rsid w:val="00C471C3"/>
    <w:rsid w:val="00C50E05"/>
    <w:rsid w:val="00C56C36"/>
    <w:rsid w:val="00C61AD3"/>
    <w:rsid w:val="00C72611"/>
    <w:rsid w:val="00C738F2"/>
    <w:rsid w:val="00C7615B"/>
    <w:rsid w:val="00C775D6"/>
    <w:rsid w:val="00C81E41"/>
    <w:rsid w:val="00C858DD"/>
    <w:rsid w:val="00C97690"/>
    <w:rsid w:val="00CA3217"/>
    <w:rsid w:val="00CA44A9"/>
    <w:rsid w:val="00CA5896"/>
    <w:rsid w:val="00CB6453"/>
    <w:rsid w:val="00CC085D"/>
    <w:rsid w:val="00CC21D9"/>
    <w:rsid w:val="00CD0CF5"/>
    <w:rsid w:val="00CD291B"/>
    <w:rsid w:val="00CE49E3"/>
    <w:rsid w:val="00CF09A0"/>
    <w:rsid w:val="00CF4F4F"/>
    <w:rsid w:val="00D02FE4"/>
    <w:rsid w:val="00D14618"/>
    <w:rsid w:val="00D20A55"/>
    <w:rsid w:val="00D23C5A"/>
    <w:rsid w:val="00D25AC9"/>
    <w:rsid w:val="00D604D8"/>
    <w:rsid w:val="00D61C3F"/>
    <w:rsid w:val="00D645F4"/>
    <w:rsid w:val="00D66F1E"/>
    <w:rsid w:val="00D676BC"/>
    <w:rsid w:val="00D71AC6"/>
    <w:rsid w:val="00D83080"/>
    <w:rsid w:val="00D868F0"/>
    <w:rsid w:val="00D93C56"/>
    <w:rsid w:val="00DA549C"/>
    <w:rsid w:val="00DA7542"/>
    <w:rsid w:val="00DB13BF"/>
    <w:rsid w:val="00DB58E5"/>
    <w:rsid w:val="00DC0F95"/>
    <w:rsid w:val="00DC250E"/>
    <w:rsid w:val="00DC7D6C"/>
    <w:rsid w:val="00DD0ADF"/>
    <w:rsid w:val="00DD1BB6"/>
    <w:rsid w:val="00DE1D43"/>
    <w:rsid w:val="00DF7123"/>
    <w:rsid w:val="00E024BF"/>
    <w:rsid w:val="00E10352"/>
    <w:rsid w:val="00E16183"/>
    <w:rsid w:val="00E23238"/>
    <w:rsid w:val="00E251C6"/>
    <w:rsid w:val="00E311BC"/>
    <w:rsid w:val="00E35AC5"/>
    <w:rsid w:val="00E3739C"/>
    <w:rsid w:val="00E40009"/>
    <w:rsid w:val="00E4107D"/>
    <w:rsid w:val="00E41FBF"/>
    <w:rsid w:val="00E42CD5"/>
    <w:rsid w:val="00E437FA"/>
    <w:rsid w:val="00E449F6"/>
    <w:rsid w:val="00E53138"/>
    <w:rsid w:val="00E56012"/>
    <w:rsid w:val="00E56864"/>
    <w:rsid w:val="00E57D5A"/>
    <w:rsid w:val="00E61814"/>
    <w:rsid w:val="00E61B2A"/>
    <w:rsid w:val="00E64452"/>
    <w:rsid w:val="00E7382F"/>
    <w:rsid w:val="00E776DD"/>
    <w:rsid w:val="00E8469C"/>
    <w:rsid w:val="00E915BD"/>
    <w:rsid w:val="00EA468B"/>
    <w:rsid w:val="00EB045B"/>
    <w:rsid w:val="00EB15C1"/>
    <w:rsid w:val="00EB74E5"/>
    <w:rsid w:val="00EC32D6"/>
    <w:rsid w:val="00ED01E1"/>
    <w:rsid w:val="00ED5926"/>
    <w:rsid w:val="00EF12E6"/>
    <w:rsid w:val="00EF1C39"/>
    <w:rsid w:val="00EF3B32"/>
    <w:rsid w:val="00F0098F"/>
    <w:rsid w:val="00F10471"/>
    <w:rsid w:val="00F13994"/>
    <w:rsid w:val="00F15D09"/>
    <w:rsid w:val="00F15F73"/>
    <w:rsid w:val="00F207C7"/>
    <w:rsid w:val="00F22512"/>
    <w:rsid w:val="00F234EA"/>
    <w:rsid w:val="00F24CE7"/>
    <w:rsid w:val="00F278DF"/>
    <w:rsid w:val="00F3019D"/>
    <w:rsid w:val="00F36E34"/>
    <w:rsid w:val="00F37DB9"/>
    <w:rsid w:val="00F6127D"/>
    <w:rsid w:val="00F61685"/>
    <w:rsid w:val="00F63871"/>
    <w:rsid w:val="00F641F7"/>
    <w:rsid w:val="00F67964"/>
    <w:rsid w:val="00F67DBE"/>
    <w:rsid w:val="00F73F86"/>
    <w:rsid w:val="00F868E4"/>
    <w:rsid w:val="00F87F89"/>
    <w:rsid w:val="00F90623"/>
    <w:rsid w:val="00F90ED4"/>
    <w:rsid w:val="00F94D65"/>
    <w:rsid w:val="00FA50D2"/>
    <w:rsid w:val="00FB19FD"/>
    <w:rsid w:val="00FB237E"/>
    <w:rsid w:val="00FB23B6"/>
    <w:rsid w:val="00FB2685"/>
    <w:rsid w:val="00FB3548"/>
    <w:rsid w:val="00FC0582"/>
    <w:rsid w:val="00FE021C"/>
    <w:rsid w:val="00FE1C81"/>
    <w:rsid w:val="00FE56F9"/>
    <w:rsid w:val="00FF25F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2FE4"/>
    <w:pPr>
      <w:spacing w:before="120" w:after="120"/>
      <w:jc w:val="both"/>
    </w:pPr>
    <w:rPr>
      <w:rFonts w:ascii="Verdana" w:hAnsi="Verdana"/>
      <w:szCs w:val="24"/>
      <w:lang w:eastAsia="en-US"/>
    </w:rPr>
  </w:style>
  <w:style w:type="paragraph" w:styleId="Heading2">
    <w:name w:val="heading 2"/>
    <w:basedOn w:val="Normal"/>
    <w:next w:val="Normal"/>
    <w:link w:val="Heading2Char"/>
    <w:autoRedefine/>
    <w:qFormat/>
    <w:rsid w:val="00D02FE4"/>
    <w:pPr>
      <w:keepNext/>
      <w:spacing w:before="240"/>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 Char"/>
    <w:basedOn w:val="Normal"/>
    <w:link w:val="FootnoteTextChar"/>
    <w:rsid w:val="00D02FE4"/>
    <w:pPr>
      <w:spacing w:line="180" w:lineRule="exact"/>
      <w:ind w:left="142" w:hanging="142"/>
    </w:pPr>
    <w:rPr>
      <w:sz w:val="16"/>
      <w:szCs w:val="16"/>
    </w:rPr>
  </w:style>
  <w:style w:type="character" w:customStyle="1" w:styleId="FootnoteTextChar">
    <w:name w:val="Footnote Text Char"/>
    <w:aliases w:val="Fußnote Char1, Char Char"/>
    <w:link w:val="FootnoteText"/>
    <w:rsid w:val="00D02FE4"/>
    <w:rPr>
      <w:rFonts w:ascii="Verdana" w:hAnsi="Verdana"/>
      <w:sz w:val="16"/>
      <w:szCs w:val="16"/>
      <w:lang w:val="en-GB" w:eastAsia="en-US" w:bidi="ar-SA"/>
    </w:rPr>
  </w:style>
  <w:style w:type="character" w:styleId="FootnoteReference">
    <w:name w:val="footnote reference"/>
    <w:rsid w:val="00D02FE4"/>
    <w:rPr>
      <w:rFonts w:ascii="Arial" w:hAnsi="Arial"/>
      <w:dstrike w:val="0"/>
      <w:kern w:val="0"/>
      <w:position w:val="4"/>
      <w:sz w:val="12"/>
      <w:szCs w:val="12"/>
      <w:vertAlign w:val="baseline"/>
    </w:rPr>
  </w:style>
  <w:style w:type="character" w:customStyle="1" w:styleId="Heading2Char">
    <w:name w:val="Heading 2 Char"/>
    <w:link w:val="Heading2"/>
    <w:rsid w:val="00D02FE4"/>
    <w:rPr>
      <w:rFonts w:ascii="Verdana" w:hAnsi="Verdana"/>
      <w:b/>
      <w:sz w:val="24"/>
      <w:szCs w:val="24"/>
      <w:lang w:val="en-GB" w:eastAsia="en-US" w:bidi="ar-SA"/>
    </w:rPr>
  </w:style>
  <w:style w:type="paragraph" w:customStyle="1" w:styleId="Instructionsberschrift2">
    <w:name w:val="Instructions Überschrift 2"/>
    <w:basedOn w:val="Heading2"/>
    <w:rsid w:val="00D02FE4"/>
    <w:pPr>
      <w:numPr>
        <w:numId w:val="1"/>
      </w:numPr>
      <w:spacing w:after="240"/>
    </w:pPr>
    <w:rPr>
      <w:rFonts w:cs="Arial"/>
      <w:b w:val="0"/>
      <w:sz w:val="20"/>
      <w:u w:val="single"/>
    </w:rPr>
  </w:style>
  <w:style w:type="paragraph" w:customStyle="1" w:styleId="InstructionsText">
    <w:name w:val="Instructions Text"/>
    <w:basedOn w:val="Normal"/>
    <w:link w:val="InstructionsTextChar"/>
    <w:autoRedefine/>
    <w:rsid w:val="00267206"/>
    <w:pPr>
      <w:spacing w:before="0" w:after="0"/>
      <w:ind w:left="33"/>
    </w:pPr>
    <w:rPr>
      <w:rFonts w:cs="Arial"/>
      <w:sz w:val="18"/>
      <w:szCs w:val="18"/>
      <w:u w:val="single"/>
      <w:lang w:val="en-US" w:eastAsia="de-DE"/>
    </w:rPr>
  </w:style>
  <w:style w:type="character" w:customStyle="1" w:styleId="InstructionsTabelleberschrift">
    <w:name w:val="Instructions Tabelle Überschrift"/>
    <w:qFormat/>
    <w:rsid w:val="00D02FE4"/>
    <w:rPr>
      <w:rFonts w:ascii="Verdana" w:hAnsi="Verdana" w:cs="Times New Roman"/>
      <w:b/>
      <w:bCs/>
      <w:sz w:val="20"/>
      <w:u w:val="single"/>
    </w:rPr>
  </w:style>
  <w:style w:type="character" w:customStyle="1" w:styleId="InstructionsTabelleText">
    <w:name w:val="Instructions Tabelle Text"/>
    <w:rsid w:val="00D02FE4"/>
    <w:rPr>
      <w:rFonts w:ascii="Verdana" w:hAnsi="Verdana" w:cs="Times New Roman"/>
      <w:sz w:val="20"/>
    </w:rPr>
  </w:style>
  <w:style w:type="character" w:customStyle="1" w:styleId="FormatvorlageInstructionsTabelleText">
    <w:name w:val="Formatvorlage Instructions Tabelle Text"/>
    <w:qFormat/>
    <w:rsid w:val="00D02FE4"/>
    <w:rPr>
      <w:rFonts w:ascii="Verdana" w:hAnsi="Verdana" w:cs="Times New Roman"/>
      <w:bCs/>
      <w:sz w:val="20"/>
      <w:u w:val="none"/>
    </w:rPr>
  </w:style>
  <w:style w:type="character" w:customStyle="1" w:styleId="InstructionsTextChar">
    <w:name w:val="Instructions Text Char"/>
    <w:link w:val="InstructionsText"/>
    <w:locked/>
    <w:rsid w:val="00267206"/>
    <w:rPr>
      <w:rFonts w:ascii="Verdana" w:hAnsi="Verdana" w:cs="Arial"/>
      <w:sz w:val="18"/>
      <w:szCs w:val="18"/>
      <w:u w:val="single"/>
      <w:lang w:val="en-US" w:eastAsia="de-DE"/>
    </w:rPr>
  </w:style>
  <w:style w:type="paragraph" w:customStyle="1" w:styleId="InstructionsText2">
    <w:name w:val="Instructions Text 2"/>
    <w:basedOn w:val="InstructionsText"/>
    <w:qFormat/>
    <w:rsid w:val="00D02FE4"/>
    <w:pPr>
      <w:numPr>
        <w:numId w:val="2"/>
      </w:numPr>
      <w:spacing w:after="240"/>
    </w:pPr>
  </w:style>
  <w:style w:type="paragraph" w:customStyle="1" w:styleId="Paragraph">
    <w:name w:val="Paragraph"/>
    <w:basedOn w:val="Normal"/>
    <w:link w:val="ParagraphChar"/>
    <w:rsid w:val="009D253B"/>
    <w:pPr>
      <w:spacing w:before="0" w:after="240"/>
    </w:pPr>
    <w:rPr>
      <w:rFonts w:ascii="Arial" w:hAnsi="Arial"/>
      <w:sz w:val="22"/>
      <w:szCs w:val="20"/>
    </w:rPr>
  </w:style>
  <w:style w:type="character" w:customStyle="1" w:styleId="ParagraphChar">
    <w:name w:val="Paragraph Char"/>
    <w:link w:val="Paragraph"/>
    <w:rsid w:val="009D253B"/>
    <w:rPr>
      <w:rFonts w:ascii="Arial" w:hAnsi="Arial"/>
      <w:sz w:val="22"/>
      <w:lang w:val="en-GB" w:eastAsia="en-US" w:bidi="ar-SA"/>
    </w:rPr>
  </w:style>
  <w:style w:type="character" w:customStyle="1" w:styleId="FunoteChar">
    <w:name w:val="Fußnote Char"/>
    <w:aliases w:val=" Char Char Char"/>
    <w:semiHidden/>
    <w:rsid w:val="009D253B"/>
    <w:rPr>
      <w:rFonts w:ascii="Arial" w:hAnsi="Arial"/>
      <w:sz w:val="18"/>
      <w:lang w:val="en-GB" w:eastAsia="en-US" w:bidi="ar-SA"/>
    </w:rPr>
  </w:style>
  <w:style w:type="paragraph" w:customStyle="1" w:styleId="Bullets">
    <w:name w:val="Bullets"/>
    <w:basedOn w:val="Normal"/>
    <w:link w:val="BulletsChar"/>
    <w:rsid w:val="009D253B"/>
    <w:pPr>
      <w:tabs>
        <w:tab w:val="num" w:pos="851"/>
      </w:tabs>
      <w:spacing w:before="0"/>
      <w:ind w:left="851" w:hanging="851"/>
    </w:pPr>
    <w:rPr>
      <w:rFonts w:ascii="Arial" w:eastAsia="MS Mincho" w:hAnsi="Arial"/>
      <w:sz w:val="22"/>
      <w:szCs w:val="20"/>
      <w:lang w:eastAsia="ja-JP"/>
    </w:rPr>
  </w:style>
  <w:style w:type="character" w:customStyle="1" w:styleId="BulletsChar">
    <w:name w:val="Bullets Char"/>
    <w:link w:val="Bullets"/>
    <w:locked/>
    <w:rsid w:val="009D253B"/>
    <w:rPr>
      <w:rFonts w:ascii="Arial" w:eastAsia="MS Mincho" w:hAnsi="Arial"/>
      <w:sz w:val="22"/>
      <w:lang w:val="en-GB" w:eastAsia="ja-JP" w:bidi="ar-SA"/>
    </w:rPr>
  </w:style>
  <w:style w:type="paragraph" w:customStyle="1" w:styleId="TableText">
    <w:name w:val="TableText"/>
    <w:basedOn w:val="Normal"/>
    <w:rsid w:val="00DD1BB6"/>
    <w:pPr>
      <w:keepNext/>
      <w:spacing w:before="60" w:after="60"/>
      <w:jc w:val="left"/>
    </w:pPr>
    <w:rPr>
      <w:rFonts w:ascii="Arial" w:hAnsi="Arial"/>
      <w:szCs w:val="20"/>
    </w:rPr>
  </w:style>
  <w:style w:type="paragraph" w:styleId="BalloonText">
    <w:name w:val="Balloon Text"/>
    <w:basedOn w:val="Normal"/>
    <w:semiHidden/>
    <w:rsid w:val="00104F31"/>
    <w:rPr>
      <w:rFonts w:ascii="Tahoma" w:hAnsi="Tahoma" w:cs="Tahoma"/>
      <w:sz w:val="16"/>
      <w:szCs w:val="16"/>
    </w:rPr>
  </w:style>
  <w:style w:type="character" w:styleId="CommentReference">
    <w:name w:val="annotation reference"/>
    <w:rsid w:val="001128AA"/>
    <w:rPr>
      <w:sz w:val="16"/>
      <w:szCs w:val="16"/>
    </w:rPr>
  </w:style>
  <w:style w:type="paragraph" w:styleId="CommentText">
    <w:name w:val="annotation text"/>
    <w:basedOn w:val="Normal"/>
    <w:link w:val="CommentTextChar"/>
    <w:rsid w:val="001128AA"/>
    <w:rPr>
      <w:szCs w:val="20"/>
    </w:rPr>
  </w:style>
  <w:style w:type="character" w:customStyle="1" w:styleId="CommentTextChar">
    <w:name w:val="Comment Text Char"/>
    <w:link w:val="CommentText"/>
    <w:rsid w:val="001128AA"/>
    <w:rPr>
      <w:rFonts w:ascii="Verdana" w:hAnsi="Verdana"/>
      <w:lang w:val="en-GB" w:eastAsia="en-US"/>
    </w:rPr>
  </w:style>
  <w:style w:type="paragraph" w:styleId="CommentSubject">
    <w:name w:val="annotation subject"/>
    <w:basedOn w:val="CommentText"/>
    <w:next w:val="CommentText"/>
    <w:link w:val="CommentSubjectChar"/>
    <w:rsid w:val="001128AA"/>
    <w:rPr>
      <w:b/>
      <w:bCs/>
    </w:rPr>
  </w:style>
  <w:style w:type="character" w:customStyle="1" w:styleId="CommentSubjectChar">
    <w:name w:val="Comment Subject Char"/>
    <w:link w:val="CommentSubject"/>
    <w:rsid w:val="001128AA"/>
    <w:rPr>
      <w:rFonts w:ascii="Verdana" w:hAnsi="Verdana"/>
      <w:b/>
      <w:bCs/>
      <w:lang w:val="en-GB" w:eastAsia="en-US"/>
    </w:rPr>
  </w:style>
  <w:style w:type="paragraph" w:customStyle="1" w:styleId="ReferenceText">
    <w:name w:val="Reference Text"/>
    <w:basedOn w:val="Normal"/>
    <w:next w:val="InstructionsText"/>
    <w:qFormat/>
    <w:rsid w:val="00A57E3B"/>
    <w:pPr>
      <w:framePr w:w="3976" w:h="1381" w:wrap="notBeside" w:vAnchor="page" w:hAnchor="page" w:x="6526" w:y="946" w:anchorLock="1"/>
      <w:tabs>
        <w:tab w:val="center" w:pos="4153"/>
        <w:tab w:val="right" w:pos="9072"/>
      </w:tabs>
      <w:spacing w:before="0" w:after="0" w:line="300" w:lineRule="exact"/>
      <w:jc w:val="right"/>
    </w:pPr>
    <w:rPr>
      <w:rFonts w:ascii="Calibri" w:hAnsi="Calibri"/>
      <w:color w:val="C0504D"/>
      <w:szCs w:val="20"/>
    </w:rPr>
  </w:style>
  <w:style w:type="character" w:customStyle="1" w:styleId="DeltaViewInsertion">
    <w:name w:val="DeltaView Insertion"/>
    <w:uiPriority w:val="99"/>
    <w:rsid w:val="009B53E1"/>
    <w:rPr>
      <w:b/>
      <w:bCs/>
      <w:i/>
      <w:iCs/>
      <w:spacing w:val="0"/>
    </w:rPr>
  </w:style>
  <w:style w:type="character" w:customStyle="1" w:styleId="DeltaViewDeletion">
    <w:name w:val="DeltaView Deletion"/>
    <w:rsid w:val="009B53E1"/>
    <w:rPr>
      <w:strike/>
      <w:spacing w:val="0"/>
    </w:rPr>
  </w:style>
  <w:style w:type="paragraph" w:customStyle="1" w:styleId="Point1">
    <w:name w:val="Point 1"/>
    <w:basedOn w:val="Normal"/>
    <w:link w:val="Point1Char"/>
    <w:rsid w:val="009B53E1"/>
    <w:pPr>
      <w:suppressAutoHyphens/>
      <w:autoSpaceDE w:val="0"/>
      <w:autoSpaceDN w:val="0"/>
      <w:adjustRightInd w:val="0"/>
      <w:ind w:left="1417" w:hanging="567"/>
    </w:pPr>
    <w:rPr>
      <w:rFonts w:ascii="Times New Roman" w:hAnsi="Times New Roman"/>
      <w:sz w:val="24"/>
      <w:lang w:eastAsia="fr-BE"/>
    </w:rPr>
  </w:style>
  <w:style w:type="character" w:customStyle="1" w:styleId="Point1Char">
    <w:name w:val="Point 1 Char"/>
    <w:basedOn w:val="DefaultParagraphFont"/>
    <w:link w:val="Point1"/>
    <w:locked/>
    <w:rsid w:val="009B53E1"/>
    <w:rPr>
      <w:sz w:val="24"/>
      <w:szCs w:val="24"/>
      <w:lang w:eastAsia="fr-BE"/>
    </w:rPr>
  </w:style>
  <w:style w:type="paragraph" w:customStyle="1" w:styleId="CarCarCharCarCarCharCharCharChar">
    <w:name w:val="Car Car Char Car Car Char Char Char Char"/>
    <w:basedOn w:val="Normal"/>
    <w:rsid w:val="009B53E1"/>
    <w:pPr>
      <w:spacing w:before="0" w:after="0"/>
      <w:jc w:val="left"/>
    </w:pPr>
    <w:rPr>
      <w:rFonts w:ascii="Times New Roman" w:hAnsi="Times New Roman"/>
      <w:sz w:val="24"/>
    </w:rPr>
  </w:style>
  <w:style w:type="paragraph" w:styleId="ListParagraph">
    <w:name w:val="List Paragraph"/>
    <w:basedOn w:val="Normal"/>
    <w:uiPriority w:val="34"/>
    <w:qFormat/>
    <w:rsid w:val="00C16CAF"/>
    <w:pPr>
      <w:ind w:left="720"/>
      <w:contextualSpacing/>
    </w:pPr>
  </w:style>
  <w:style w:type="paragraph" w:styleId="Revision">
    <w:name w:val="Revision"/>
    <w:hidden/>
    <w:uiPriority w:val="99"/>
    <w:semiHidden/>
    <w:rsid w:val="00EF1C39"/>
    <w:rPr>
      <w:rFonts w:ascii="Verdana" w:hAnsi="Verdana"/>
      <w:szCs w:val="24"/>
      <w:lang w:eastAsia="en-US"/>
    </w:rPr>
  </w:style>
  <w:style w:type="paragraph" w:styleId="Header">
    <w:name w:val="header"/>
    <w:basedOn w:val="Normal"/>
    <w:link w:val="HeaderChar"/>
    <w:rsid w:val="009111FE"/>
    <w:pPr>
      <w:tabs>
        <w:tab w:val="center" w:pos="4513"/>
        <w:tab w:val="right" w:pos="9026"/>
      </w:tabs>
      <w:spacing w:before="0" w:after="0"/>
    </w:pPr>
  </w:style>
  <w:style w:type="character" w:customStyle="1" w:styleId="HeaderChar">
    <w:name w:val="Header Char"/>
    <w:basedOn w:val="DefaultParagraphFont"/>
    <w:link w:val="Header"/>
    <w:rsid w:val="009111FE"/>
    <w:rPr>
      <w:rFonts w:ascii="Verdana" w:hAnsi="Verdana"/>
      <w:szCs w:val="24"/>
      <w:lang w:eastAsia="en-US"/>
    </w:rPr>
  </w:style>
  <w:style w:type="paragraph" w:styleId="Footer">
    <w:name w:val="footer"/>
    <w:basedOn w:val="Normal"/>
    <w:link w:val="FooterChar"/>
    <w:uiPriority w:val="99"/>
    <w:rsid w:val="009111FE"/>
    <w:pPr>
      <w:tabs>
        <w:tab w:val="center" w:pos="4513"/>
        <w:tab w:val="right" w:pos="9026"/>
      </w:tabs>
      <w:spacing w:before="0" w:after="0"/>
    </w:pPr>
  </w:style>
  <w:style w:type="character" w:customStyle="1" w:styleId="FooterChar">
    <w:name w:val="Footer Char"/>
    <w:basedOn w:val="DefaultParagraphFont"/>
    <w:link w:val="Footer"/>
    <w:uiPriority w:val="99"/>
    <w:rsid w:val="009111FE"/>
    <w:rPr>
      <w:rFonts w:ascii="Verdana" w:hAnsi="Verdana"/>
      <w:szCs w:val="24"/>
      <w:lang w:eastAsia="en-US"/>
    </w:rPr>
  </w:style>
</w:styles>
</file>

<file path=word/webSettings.xml><?xml version="1.0" encoding="utf-8"?>
<w:webSettings xmlns:r="http://schemas.openxmlformats.org/officeDocument/2006/relationships" xmlns:w="http://schemas.openxmlformats.org/wordprocessingml/2006/main">
  <w:divs>
    <w:div w:id="221215685">
      <w:bodyDiv w:val="1"/>
      <w:marLeft w:val="0"/>
      <w:marRight w:val="0"/>
      <w:marTop w:val="0"/>
      <w:marBottom w:val="0"/>
      <w:divBdr>
        <w:top w:val="none" w:sz="0" w:space="0" w:color="auto"/>
        <w:left w:val="none" w:sz="0" w:space="0" w:color="auto"/>
        <w:bottom w:val="none" w:sz="0" w:space="0" w:color="auto"/>
        <w:right w:val="none" w:sz="0" w:space="0" w:color="auto"/>
      </w:divBdr>
    </w:div>
    <w:div w:id="322393206">
      <w:bodyDiv w:val="1"/>
      <w:marLeft w:val="0"/>
      <w:marRight w:val="0"/>
      <w:marTop w:val="0"/>
      <w:marBottom w:val="0"/>
      <w:divBdr>
        <w:top w:val="none" w:sz="0" w:space="0" w:color="auto"/>
        <w:left w:val="none" w:sz="0" w:space="0" w:color="auto"/>
        <w:bottom w:val="none" w:sz="0" w:space="0" w:color="auto"/>
        <w:right w:val="none" w:sz="0" w:space="0" w:color="auto"/>
      </w:divBdr>
    </w:div>
    <w:div w:id="1313867207">
      <w:bodyDiv w:val="1"/>
      <w:marLeft w:val="0"/>
      <w:marRight w:val="0"/>
      <w:marTop w:val="0"/>
      <w:marBottom w:val="0"/>
      <w:divBdr>
        <w:top w:val="none" w:sz="0" w:space="0" w:color="auto"/>
        <w:left w:val="none" w:sz="0" w:space="0" w:color="auto"/>
        <w:bottom w:val="none" w:sz="0" w:space="0" w:color="auto"/>
        <w:right w:val="none" w:sz="0" w:space="0" w:color="auto"/>
      </w:divBdr>
    </w:div>
    <w:div w:id="1335567018">
      <w:bodyDiv w:val="1"/>
      <w:marLeft w:val="0"/>
      <w:marRight w:val="0"/>
      <w:marTop w:val="0"/>
      <w:marBottom w:val="0"/>
      <w:divBdr>
        <w:top w:val="none" w:sz="0" w:space="0" w:color="auto"/>
        <w:left w:val="none" w:sz="0" w:space="0" w:color="auto"/>
        <w:bottom w:val="none" w:sz="0" w:space="0" w:color="auto"/>
        <w:right w:val="none" w:sz="0" w:space="0" w:color="auto"/>
      </w:divBdr>
    </w:div>
    <w:div w:id="1348797049">
      <w:bodyDiv w:val="1"/>
      <w:marLeft w:val="0"/>
      <w:marRight w:val="0"/>
      <w:marTop w:val="0"/>
      <w:marBottom w:val="0"/>
      <w:divBdr>
        <w:top w:val="none" w:sz="0" w:space="0" w:color="auto"/>
        <w:left w:val="none" w:sz="0" w:space="0" w:color="auto"/>
        <w:bottom w:val="none" w:sz="0" w:space="0" w:color="auto"/>
        <w:right w:val="none" w:sz="0" w:space="0" w:color="auto"/>
      </w:divBdr>
    </w:div>
    <w:div w:id="1962567660">
      <w:bodyDiv w:val="1"/>
      <w:marLeft w:val="0"/>
      <w:marRight w:val="0"/>
      <w:marTop w:val="0"/>
      <w:marBottom w:val="0"/>
      <w:divBdr>
        <w:top w:val="none" w:sz="0" w:space="0" w:color="auto"/>
        <w:left w:val="none" w:sz="0" w:space="0" w:color="auto"/>
        <w:bottom w:val="none" w:sz="0" w:space="0" w:color="auto"/>
        <w:right w:val="none" w:sz="0" w:space="0" w:color="auto"/>
      </w:divBdr>
    </w:div>
    <w:div w:id="201275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97B01-FBD8-4263-BC7D-BE0DD30B3F3F}">
  <ds:schemaRefs>
    <ds:schemaRef ds:uri="http://schemas.openxmlformats.org/officeDocument/2006/bibliography"/>
  </ds:schemaRefs>
</ds:datastoreItem>
</file>

<file path=customXml/itemProps2.xml><?xml version="1.0" encoding="utf-8"?>
<ds:datastoreItem xmlns:ds="http://schemas.openxmlformats.org/officeDocument/2006/customXml" ds:itemID="{A1018A5F-0D22-48DE-BA51-1072ADFE4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3716</Words>
  <Characters>19711</Characters>
  <Application>Microsoft Office Word</Application>
  <DocSecurity>0</DocSecurity>
  <Lines>164</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PART II: TEMPLATE RELATED INSTRUCTIONS</vt:lpstr>
      <vt:lpstr>PART II: TEMPLATE RELATED INSTRUCTIONS</vt:lpstr>
    </vt:vector>
  </TitlesOfParts>
  <Company>Financial Services Authority</Company>
  <LinksUpToDate>false</LinksUpToDate>
  <CharactersWithSpaces>23381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TEMPLATE RELATED INSTRUCTIONS</dc:title>
  <dc:creator>mabdelli</dc:creator>
  <cp:lastModifiedBy>wstrohbach</cp:lastModifiedBy>
  <cp:revision>7</cp:revision>
  <cp:lastPrinted>2013-05-22T11:36:00Z</cp:lastPrinted>
  <dcterms:created xsi:type="dcterms:W3CDTF">2013-07-24T12:42:00Z</dcterms:created>
  <dcterms:modified xsi:type="dcterms:W3CDTF">2013-07-25T13:58:00Z</dcterms:modified>
</cp:coreProperties>
</file>