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Times New Roman" w:hAnsi="Calibri" w:cs="Times New Roman"/>
          <w:b/>
          <w:bCs/>
          <w:color w:val="000000"/>
          <w:sz w:val="12"/>
          <w:szCs w:val="22"/>
          <w:lang w:val="en-GB" w:eastAsia="en-GB"/>
        </w:rPr>
        <w:id w:val="1592576648"/>
        <w:docPartObj>
          <w:docPartGallery w:val="Cover Pages"/>
          <w:docPartUnique/>
        </w:docPartObj>
      </w:sdtPr>
      <w:sdtEndPr>
        <w:rPr>
          <w:sz w:val="22"/>
        </w:rPr>
      </w:sdtEndPr>
      <w:sdtContent>
        <w:p w:rsidR="0001662E" w:rsidRDefault="0001662E">
          <w:pPr>
            <w:rPr>
              <w:sz w:val="12"/>
              <w:lang w:val="en-GB"/>
            </w:rPr>
          </w:pPr>
        </w:p>
        <w:p w:rsidR="00EB2B42" w:rsidRDefault="00EB2B42" w:rsidP="00EB2B42">
          <w:pPr>
            <w:pStyle w:val="Title"/>
            <w:rPr>
              <w:lang w:val="en-GB"/>
            </w:rPr>
          </w:pPr>
          <w:r>
            <w:rPr>
              <w:lang w:val="en-GB"/>
            </w:rPr>
            <w:t>Annex 8</w:t>
          </w:r>
        </w:p>
        <w:p w:rsidR="00CD4340" w:rsidRDefault="00EB2B42" w:rsidP="00C41680">
          <w:pPr>
            <w:pStyle w:val="Titlelevel2"/>
            <w:rPr>
              <w:lang w:val="en-GB"/>
            </w:rPr>
          </w:pPr>
          <w:r>
            <w:rPr>
              <w:lang w:val="en-GB"/>
            </w:rPr>
            <w:t xml:space="preserve">Sample </w:t>
          </w:r>
          <w:r w:rsidR="00CD4340">
            <w:rPr>
              <w:lang w:val="en-GB"/>
            </w:rPr>
            <w:t>Text</w:t>
          </w:r>
        </w:p>
        <w:p w:rsidR="00EB2B42" w:rsidRPr="00B65733" w:rsidRDefault="00EB2B42" w:rsidP="00C41680">
          <w:pPr>
            <w:pStyle w:val="Titlelevel2"/>
          </w:pPr>
          <w:r>
            <w:rPr>
              <w:rFonts w:cs="Times New Roman"/>
              <w:color w:val="auto"/>
              <w:sz w:val="22"/>
              <w:szCs w:val="22"/>
            </w:rPr>
            <w:t>Tenderers must edit</w:t>
          </w:r>
          <w:r w:rsidR="00C41680">
            <w:rPr>
              <w:rFonts w:cs="Times New Roman"/>
              <w:color w:val="auto"/>
              <w:sz w:val="22"/>
              <w:szCs w:val="22"/>
            </w:rPr>
            <w:t xml:space="preserve"> and proofread</w:t>
          </w:r>
          <w:r w:rsidR="00CD4340">
            <w:rPr>
              <w:rFonts w:cs="Times New Roman"/>
              <w:color w:val="auto"/>
              <w:sz w:val="22"/>
              <w:szCs w:val="22"/>
            </w:rPr>
            <w:t xml:space="preserve"> </w:t>
          </w:r>
          <w:r>
            <w:rPr>
              <w:color w:val="auto"/>
              <w:sz w:val="22"/>
              <w:szCs w:val="22"/>
            </w:rPr>
            <w:t xml:space="preserve">in </w:t>
          </w:r>
          <w:r w:rsidRPr="00632A5E">
            <w:rPr>
              <w:color w:val="auto"/>
              <w:sz w:val="22"/>
              <w:szCs w:val="22"/>
            </w:rPr>
            <w:t>track changes</w:t>
          </w:r>
          <w:r w:rsidR="00C41680">
            <w:rPr>
              <w:color w:val="auto"/>
              <w:sz w:val="22"/>
              <w:szCs w:val="22"/>
            </w:rPr>
            <w:t xml:space="preserve"> and</w:t>
          </w:r>
          <w:r w:rsidRPr="00632A5E">
            <w:rPr>
              <w:color w:val="auto"/>
              <w:sz w:val="22"/>
              <w:szCs w:val="22"/>
            </w:rPr>
            <w:t xml:space="preserve"> with comments</w:t>
          </w:r>
          <w:r w:rsidR="00CD4340">
            <w:rPr>
              <w:color w:val="auto"/>
              <w:sz w:val="22"/>
              <w:szCs w:val="22"/>
            </w:rPr>
            <w:t xml:space="preserve"> </w:t>
          </w:r>
          <w:r w:rsidR="00C41680">
            <w:rPr>
              <w:rFonts w:cs="Times New Roman"/>
              <w:color w:val="auto"/>
              <w:sz w:val="22"/>
              <w:szCs w:val="22"/>
            </w:rPr>
            <w:t xml:space="preserve">the sample text </w:t>
          </w:r>
          <w:r w:rsidR="00C41680">
            <w:rPr>
              <w:color w:val="auto"/>
              <w:sz w:val="22"/>
              <w:szCs w:val="22"/>
            </w:rPr>
            <w:t>provided below</w:t>
          </w:r>
          <w:r w:rsidR="00CD4340">
            <w:rPr>
              <w:color w:val="auto"/>
              <w:sz w:val="22"/>
              <w:szCs w:val="22"/>
            </w:rPr>
            <w:t xml:space="preserve"> </w:t>
          </w:r>
          <w:r w:rsidR="00C41680">
            <w:rPr>
              <w:color w:val="auto"/>
              <w:sz w:val="22"/>
              <w:szCs w:val="22"/>
            </w:rPr>
            <w:t xml:space="preserve">according to the description specified </w:t>
          </w:r>
          <w:r w:rsidR="00CD4340">
            <w:rPr>
              <w:color w:val="auto"/>
              <w:sz w:val="22"/>
              <w:szCs w:val="22"/>
            </w:rPr>
            <w:t xml:space="preserve">in Section </w:t>
          </w:r>
          <w:r w:rsidR="00C41680">
            <w:rPr>
              <w:color w:val="auto"/>
              <w:sz w:val="22"/>
              <w:szCs w:val="22"/>
            </w:rPr>
            <w:t xml:space="preserve">6 “Subject of the </w:t>
          </w:r>
          <w:r w:rsidR="00CD4340">
            <w:rPr>
              <w:color w:val="auto"/>
              <w:sz w:val="22"/>
              <w:szCs w:val="22"/>
            </w:rPr>
            <w:t>C</w:t>
          </w:r>
          <w:r w:rsidR="00C41680">
            <w:rPr>
              <w:color w:val="auto"/>
              <w:sz w:val="22"/>
              <w:szCs w:val="22"/>
            </w:rPr>
            <w:t xml:space="preserve">ontract”. </w:t>
          </w:r>
          <w:r w:rsidRPr="00B65733">
            <w:t xml:space="preserve"> </w:t>
          </w:r>
        </w:p>
        <w:p w:rsidR="0001662E" w:rsidRDefault="00EB2B42" w:rsidP="00EB2B42">
          <w:pPr>
            <w:pStyle w:val="Titlelevel2"/>
            <w:rPr>
              <w:lang w:val="en-GB"/>
            </w:rPr>
          </w:pPr>
          <w:r w:rsidRPr="00EB2B42">
            <w:rPr>
              <w:color w:val="auto"/>
              <w:sz w:val="22"/>
              <w:szCs w:val="22"/>
            </w:rPr>
            <w:t xml:space="preserve"> </w:t>
          </w:r>
          <w:r w:rsidR="0001662E">
            <w:rPr>
              <w:lang w:val="en-GB"/>
            </w:rPr>
            <w:br w:type="page"/>
          </w:r>
        </w:p>
        <w:p w:rsidR="000F6FD8" w:rsidRPr="001631FC" w:rsidRDefault="000F6FD8">
          <w:pPr>
            <w:rPr>
              <w:lang w:val="en-GB"/>
            </w:rPr>
          </w:pPr>
        </w:p>
        <w:p w:rsidR="000F6FD8" w:rsidRDefault="00C41680" w:rsidP="00C41680">
          <w:pPr>
            <w:pStyle w:val="abbreviation"/>
          </w:pPr>
          <w:r>
            <w:t xml:space="preserve">Sample </w:t>
          </w:r>
          <w:r w:rsidR="00CD4340">
            <w:t>Text</w:t>
          </w:r>
          <w:bookmarkStart w:id="0" w:name="_GoBack"/>
          <w:bookmarkEnd w:id="0"/>
          <w:r>
            <w:t>:</w:t>
          </w:r>
        </w:p>
      </w:sdtContent>
    </w:sdt>
    <w:tbl>
      <w:tblPr>
        <w:tblStyle w:val="TableGrid"/>
        <w:tblW w:w="0" w:type="auto"/>
        <w:tblBorders>
          <w:bottom w:val="none" w:sz="0" w:space="0" w:color="auto"/>
          <w:insideH w:val="none" w:sz="0" w:space="0" w:color="auto"/>
        </w:tblBorders>
        <w:tblLook w:val="04A0" w:firstRow="1" w:lastRow="0" w:firstColumn="1" w:lastColumn="0" w:noHBand="0" w:noVBand="1"/>
      </w:tblPr>
      <w:tblGrid>
        <w:gridCol w:w="8781"/>
      </w:tblGrid>
      <w:tr w:rsidR="00C41680" w:rsidRPr="001631FC" w:rsidTr="000E35D6">
        <w:trPr>
          <w:cnfStyle w:val="100000000000" w:firstRow="1" w:lastRow="0" w:firstColumn="0" w:lastColumn="0" w:oddVBand="0" w:evenVBand="0" w:oddHBand="0" w:evenHBand="0" w:firstRowFirstColumn="0" w:firstRowLastColumn="0" w:lastRowFirstColumn="0" w:lastRowLastColumn="0"/>
          <w:trHeight w:val="3969"/>
        </w:trPr>
        <w:tc>
          <w:tcPr>
            <w:tcW w:w="8781" w:type="dxa"/>
            <w:tcMar>
              <w:left w:w="0" w:type="dxa"/>
              <w:right w:w="0" w:type="dxa"/>
            </w:tcMar>
            <w:vAlign w:val="bottom"/>
          </w:tcPr>
          <w:p w:rsidR="00C41680" w:rsidRPr="001631FC" w:rsidRDefault="00C41680" w:rsidP="000E35D6">
            <w:pPr>
              <w:pStyle w:val="Title"/>
            </w:pPr>
            <w:r w:rsidRPr="001631FC">
              <w:t>Consultation Paper</w:t>
            </w:r>
          </w:p>
        </w:tc>
      </w:tr>
      <w:tr w:rsidR="00C41680" w:rsidRPr="001631FC" w:rsidTr="000E35D6">
        <w:tc>
          <w:tcPr>
            <w:tcW w:w="8781" w:type="dxa"/>
            <w:tcMar>
              <w:left w:w="0" w:type="dxa"/>
              <w:right w:w="0" w:type="dxa"/>
            </w:tcMar>
            <w:vAlign w:val="top"/>
          </w:tcPr>
          <w:p w:rsidR="00C41680" w:rsidRPr="001631FC" w:rsidRDefault="00C41680" w:rsidP="000E35D6">
            <w:pPr>
              <w:pStyle w:val="Subtitle"/>
            </w:pPr>
            <w:r w:rsidRPr="009B1A0F">
              <w:t xml:space="preserve">Draft Regulatory Technical Standards </w:t>
            </w:r>
            <w:r>
              <w:t>o</w:t>
            </w:r>
            <w:r w:rsidRPr="001631FC">
              <w:t xml:space="preserve">n </w:t>
            </w:r>
            <w:r>
              <w:t xml:space="preserve">the specification of the additional objective criteria referred to in Articles 29 (2) and 34 (2) of Commission Delegated Regulation (EU) No 2015/61 </w:t>
            </w:r>
            <w:r w:rsidRPr="009B1A0F">
              <w:t>[the delegated act specifying the liquidity coverage ratio for credit institutions, pursuant to Article 460 of Regulation (EU) No 575/2013]</w:t>
            </w:r>
            <w:r>
              <w:t xml:space="preserve"> </w:t>
            </w:r>
            <w:r w:rsidRPr="001631FC">
              <w:t xml:space="preserve">under </w:t>
            </w:r>
            <w:r>
              <w:t>Article 422 (10) and 425(6) of Regulation (EU) No 575/2013 (Capital Requirements Regulation – CRR)</w:t>
            </w:r>
          </w:p>
          <w:p w:rsidR="00C41680" w:rsidRPr="001631FC" w:rsidRDefault="00C41680" w:rsidP="000E35D6"/>
        </w:tc>
      </w:tr>
    </w:tbl>
    <w:p w:rsidR="00C41680" w:rsidRDefault="00C41680" w:rsidP="00152832"/>
    <w:p w:rsidR="00C41680" w:rsidRDefault="00C41680">
      <w:r>
        <w:br w:type="page"/>
      </w:r>
    </w:p>
    <w:p w:rsidR="004F63DB" w:rsidRPr="001631FC" w:rsidRDefault="004F63DB" w:rsidP="00935B53">
      <w:pPr>
        <w:pStyle w:val="Numberedtilelevel1"/>
        <w:outlineLvl w:val="0"/>
        <w:rPr>
          <w:lang w:val="en-GB"/>
        </w:rPr>
      </w:pPr>
      <w:bookmarkStart w:id="1" w:name="_Toc331517262"/>
      <w:bookmarkStart w:id="2" w:name="_Toc245891771"/>
      <w:bookmarkStart w:id="3" w:name="_Toc434490892"/>
      <w:r w:rsidRPr="001631FC">
        <w:rPr>
          <w:lang w:val="en-GB"/>
        </w:rPr>
        <w:lastRenderedPageBreak/>
        <w:t>Executive Summary</w:t>
      </w:r>
      <w:bookmarkEnd w:id="1"/>
      <w:bookmarkEnd w:id="2"/>
      <w:bookmarkEnd w:id="3"/>
    </w:p>
    <w:p w:rsidR="00520868" w:rsidRDefault="00857F89" w:rsidP="00260BF5">
      <w:pPr>
        <w:spacing w:after="200" w:line="276" w:lineRule="auto"/>
        <w:jc w:val="both"/>
      </w:pPr>
      <w:r>
        <w:t xml:space="preserve">In the area of liquidity provisions, </w:t>
      </w:r>
      <w:r w:rsidR="00F7216F">
        <w:t>Regulation (EU) No 575/2013 (CRR)</w:t>
      </w:r>
      <w:r w:rsidR="00F7216F" w:rsidRPr="00AA6B10">
        <w:t xml:space="preserve"> acknowledges </w:t>
      </w:r>
      <w:r w:rsidR="005A77F9">
        <w:t>the</w:t>
      </w:r>
      <w:r w:rsidR="00F7216F" w:rsidRPr="00AA6B10">
        <w:t xml:space="preserve"> potential</w:t>
      </w:r>
      <w:r w:rsidR="005A77F9">
        <w:t xml:space="preserve"> for</w:t>
      </w:r>
      <w:r w:rsidR="00F7216F" w:rsidRPr="00AA6B10">
        <w:t xml:space="preserve"> intra-group financial support under stress conditions when some of the institutions belonging to the same group experience liquidity difficulties.</w:t>
      </w:r>
      <w:r w:rsidR="00F7216F">
        <w:t xml:space="preserve"> </w:t>
      </w:r>
      <w:r w:rsidR="00F7216F" w:rsidRPr="00AA6B10">
        <w:t xml:space="preserve">Accordingly a preferential treatment </w:t>
      </w:r>
      <w:r w:rsidR="00F7216F">
        <w:t xml:space="preserve">(higher inflows and/or lower outflows) </w:t>
      </w:r>
      <w:r w:rsidR="005A77F9">
        <w:t>in the calculation of the</w:t>
      </w:r>
      <w:r w:rsidR="00F7216F" w:rsidRPr="00AA6B10">
        <w:t xml:space="preserve"> liquidity coverage requirement </w:t>
      </w:r>
      <w:r w:rsidR="005A77F9">
        <w:t>for</w:t>
      </w:r>
      <w:r w:rsidR="00F7216F" w:rsidRPr="00AA6B10">
        <w:t xml:space="preserve"> intra-group liquidity flows may be applicable under the necessary safeguards, objective conditions and subject to agreement among competent authorities.</w:t>
      </w:r>
    </w:p>
    <w:p w:rsidR="00F7216F" w:rsidRDefault="000A70A3" w:rsidP="00F7216F">
      <w:pPr>
        <w:spacing w:after="200" w:line="276" w:lineRule="auto"/>
        <w:jc w:val="both"/>
      </w:pPr>
      <w:r>
        <w:t>Commission Delegated Regulation (EU) No 2015/61</w:t>
      </w:r>
      <w:r w:rsidR="00F7216F">
        <w:rPr>
          <w:rStyle w:val="FootnoteReference"/>
        </w:rPr>
        <w:footnoteReference w:id="2"/>
      </w:r>
      <w:r w:rsidR="00F7216F" w:rsidRPr="00260BF5">
        <w:t xml:space="preserve"> </w:t>
      </w:r>
      <w:r w:rsidR="00F7216F">
        <w:t xml:space="preserve">(LCR Delegated Act), specifies additional objective criteria for this preferential treatment for flows </w:t>
      </w:r>
      <w:r w:rsidR="0014723A">
        <w:t xml:space="preserve">in the context of credit and liquidity facilities </w:t>
      </w:r>
      <w:r w:rsidR="00F7216F">
        <w:t xml:space="preserve">within a group or an institutional protection scheme (IPS) under similar conditions </w:t>
      </w:r>
      <w:r w:rsidR="00BB48E1">
        <w:t>as</w:t>
      </w:r>
      <w:r w:rsidR="00F7216F">
        <w:t xml:space="preserve"> the CRR and particularly for their cross-border transactions when the credit institutions and the counterparty are established in different Member States. The proposal contained in the Delegated Act builds very much on previous work done by the EBA</w:t>
      </w:r>
      <w:r w:rsidR="00317C79">
        <w:rPr>
          <w:rStyle w:val="FootnoteReference"/>
        </w:rPr>
        <w:footnoteReference w:id="3"/>
      </w:r>
      <w:r w:rsidR="00F7216F">
        <w:t>.</w:t>
      </w:r>
    </w:p>
    <w:p w:rsidR="00F41C1B" w:rsidRDefault="00260BF5" w:rsidP="00260BF5">
      <w:pPr>
        <w:spacing w:after="200" w:line="276" w:lineRule="auto"/>
        <w:jc w:val="both"/>
      </w:pPr>
      <w:r>
        <w:t xml:space="preserve">The CRR, in </w:t>
      </w:r>
      <w:r w:rsidR="00F41C1B">
        <w:t>Article 422 (10) and Article 425 (6)</w:t>
      </w:r>
      <w:r w:rsidR="00F7216F">
        <w:t>,</w:t>
      </w:r>
      <w:r w:rsidR="00F41C1B">
        <w:t xml:space="preserve"> mandates the EBA to develop draft regulatory technical standards to further specify such additional objective criteria. </w:t>
      </w:r>
      <w:r w:rsidR="002F450A">
        <w:t>This Consultation Paper contains draft regulatory technical standards for this purpose.</w:t>
      </w:r>
      <w:r w:rsidR="00736B58">
        <w:t xml:space="preserve"> In particular, the proposed criteria elaborate on the following aspects:</w:t>
      </w:r>
    </w:p>
    <w:p w:rsidR="0014723A" w:rsidRPr="00736B58" w:rsidRDefault="0014723A" w:rsidP="00A61606">
      <w:pPr>
        <w:pStyle w:val="body"/>
        <w:numPr>
          <w:ilvl w:val="0"/>
          <w:numId w:val="37"/>
        </w:numPr>
        <w:ind w:left="284" w:hanging="284"/>
      </w:pPr>
      <w:r w:rsidRPr="00736B58">
        <w:t>The liquidity provider and receiver shall present a low liquidity risk profile.</w:t>
      </w:r>
      <w:r w:rsidR="00CD4333" w:rsidRPr="00736B58">
        <w:t xml:space="preserve"> </w:t>
      </w:r>
      <w:r w:rsidRPr="00736B58">
        <w:t>The low liquidity risk profile is proposed to be objectively determined by the compliance with the LCR and the Pillar 2 requirements as well as by the outcome of the latest supervisory review and evaluation process.</w:t>
      </w:r>
    </w:p>
    <w:p w:rsidR="0014723A" w:rsidRPr="00736B58" w:rsidRDefault="0014723A" w:rsidP="00A61606">
      <w:pPr>
        <w:pStyle w:val="body"/>
        <w:numPr>
          <w:ilvl w:val="0"/>
          <w:numId w:val="37"/>
        </w:numPr>
        <w:ind w:left="284" w:hanging="284"/>
      </w:pPr>
      <w:r w:rsidRPr="00736B58">
        <w:t>There are legally binding agreements and commitments between group entities regarding the credit or liquidity line.</w:t>
      </w:r>
      <w:r w:rsidR="00CD4333" w:rsidRPr="00736B58">
        <w:t xml:space="preserve"> </w:t>
      </w:r>
      <w:r w:rsidRPr="00736B58">
        <w:t>An external written and reasoned legal opinion is required to be notified to the competent authorities to certify that the line is a committed line legally and pr</w:t>
      </w:r>
      <w:r w:rsidR="00CD4333" w:rsidRPr="00736B58">
        <w:t>actically available at any time</w:t>
      </w:r>
      <w:r w:rsidR="007C6BE3" w:rsidRPr="00736B58">
        <w:t>. The line</w:t>
      </w:r>
      <w:r w:rsidRPr="00736B58">
        <w:t xml:space="preserve"> </w:t>
      </w:r>
      <w:r w:rsidR="007C6BE3" w:rsidRPr="00736B58">
        <w:t>is</w:t>
      </w:r>
      <w:r w:rsidRPr="00736B58">
        <w:t xml:space="preserve"> </w:t>
      </w:r>
      <w:r w:rsidR="007C6BE3" w:rsidRPr="00736B58">
        <w:t>also</w:t>
      </w:r>
      <w:r w:rsidRPr="00736B58">
        <w:t xml:space="preserve"> subject to </w:t>
      </w:r>
      <w:r w:rsidR="007C6BE3" w:rsidRPr="00736B58">
        <w:t>other</w:t>
      </w:r>
      <w:r w:rsidRPr="00736B58">
        <w:t xml:space="preserve"> requirements such as currency denomination or maturity date </w:t>
      </w:r>
      <w:r w:rsidR="007C6BE3" w:rsidRPr="00736B58">
        <w:t>to</w:t>
      </w:r>
      <w:r w:rsidRPr="00736B58">
        <w:t xml:space="preserve"> reinforce the appropriateness of the line for </w:t>
      </w:r>
      <w:r w:rsidR="007C6BE3" w:rsidRPr="00736B58">
        <w:t>these purposes</w:t>
      </w:r>
      <w:r w:rsidRPr="00736B58">
        <w:t>.</w:t>
      </w:r>
    </w:p>
    <w:p w:rsidR="0001662E" w:rsidRDefault="00CD4333" w:rsidP="0001662E">
      <w:pPr>
        <w:pStyle w:val="body"/>
        <w:numPr>
          <w:ilvl w:val="0"/>
          <w:numId w:val="37"/>
        </w:numPr>
        <w:ind w:left="284" w:hanging="284"/>
      </w:pPr>
      <w:r w:rsidRPr="00A61606">
        <w:t>The liquidity risk profile of the liquidity receiver has been adequately taken into account in the liquidity risk management of the liquidity provider.</w:t>
      </w:r>
      <w:r w:rsidRPr="00736B58">
        <w:t xml:space="preserve"> The liquidity provider shall monitor and oversee the liquidity position of the receiver at least on a daily basis. The contingency funding plan of the liquidity provider shall ensure that from this monitoring the liquidity support to the receiver is guaranteed even in times of stress.</w:t>
      </w:r>
    </w:p>
    <w:p w:rsidR="00392385" w:rsidRPr="001631FC" w:rsidRDefault="00392385" w:rsidP="00935B53">
      <w:pPr>
        <w:pStyle w:val="Numberedtilelevel1"/>
        <w:outlineLvl w:val="0"/>
        <w:rPr>
          <w:lang w:val="en-GB"/>
        </w:rPr>
      </w:pPr>
      <w:bookmarkStart w:id="4" w:name="_Toc313524666"/>
      <w:bookmarkStart w:id="5" w:name="_Toc319597613"/>
      <w:bookmarkStart w:id="6" w:name="_Toc331517692"/>
      <w:bookmarkStart w:id="7" w:name="_Toc245891772"/>
      <w:bookmarkStart w:id="8" w:name="_Toc434490893"/>
      <w:r w:rsidRPr="001631FC">
        <w:rPr>
          <w:lang w:val="en-GB"/>
        </w:rPr>
        <w:lastRenderedPageBreak/>
        <w:t>Background and rationale</w:t>
      </w:r>
      <w:bookmarkEnd w:id="4"/>
      <w:bookmarkEnd w:id="5"/>
      <w:bookmarkEnd w:id="6"/>
      <w:bookmarkEnd w:id="7"/>
      <w:bookmarkEnd w:id="8"/>
    </w:p>
    <w:p w:rsidR="00831E4C" w:rsidRPr="00A01E42" w:rsidRDefault="002F7928"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 xml:space="preserve">The </w:t>
      </w:r>
      <w:r w:rsidR="000D3216">
        <w:rPr>
          <w:rFonts w:asciiTheme="minorHAnsi" w:hAnsiTheme="minorHAnsi"/>
          <w:sz w:val="22"/>
          <w:szCs w:val="22"/>
          <w:lang w:val="en-US"/>
        </w:rPr>
        <w:t>LCR Delegated Act</w:t>
      </w:r>
      <w:r w:rsidR="00BB48E1">
        <w:rPr>
          <w:rFonts w:asciiTheme="minorHAnsi" w:hAnsiTheme="minorHAnsi"/>
          <w:sz w:val="22"/>
          <w:szCs w:val="22"/>
          <w:lang w:val="en-US"/>
        </w:rPr>
        <w:t>,</w:t>
      </w:r>
      <w:r>
        <w:rPr>
          <w:rFonts w:asciiTheme="minorHAnsi" w:hAnsiTheme="minorHAnsi"/>
          <w:sz w:val="22"/>
          <w:szCs w:val="22"/>
          <w:lang w:val="en-US"/>
        </w:rPr>
        <w:t xml:space="preserve"> </w:t>
      </w:r>
      <w:r w:rsidR="00BB48E1">
        <w:rPr>
          <w:rFonts w:asciiTheme="minorHAnsi" w:hAnsiTheme="minorHAnsi"/>
          <w:sz w:val="22"/>
          <w:szCs w:val="22"/>
          <w:lang w:val="en-US"/>
        </w:rPr>
        <w:t xml:space="preserve">by way of </w:t>
      </w:r>
      <w:r w:rsidR="00831E4C">
        <w:rPr>
          <w:rFonts w:asciiTheme="minorHAnsi" w:hAnsiTheme="minorHAnsi"/>
          <w:sz w:val="22"/>
          <w:szCs w:val="22"/>
          <w:lang w:val="en-US"/>
        </w:rPr>
        <w:t>Recital 15</w:t>
      </w:r>
      <w:r w:rsidR="00BB48E1">
        <w:rPr>
          <w:rFonts w:asciiTheme="minorHAnsi" w:hAnsiTheme="minorHAnsi"/>
          <w:sz w:val="22"/>
          <w:szCs w:val="22"/>
          <w:lang w:val="en-US"/>
        </w:rPr>
        <w:t>, states</w:t>
      </w:r>
      <w:r w:rsidR="00831E4C">
        <w:rPr>
          <w:rFonts w:asciiTheme="minorHAnsi" w:hAnsiTheme="minorHAnsi"/>
          <w:sz w:val="22"/>
          <w:szCs w:val="22"/>
          <w:lang w:val="en-US"/>
        </w:rPr>
        <w:t xml:space="preserve"> that </w:t>
      </w:r>
      <w:r w:rsidR="00317C79">
        <w:rPr>
          <w:rFonts w:asciiTheme="minorHAnsi" w:hAnsiTheme="minorHAnsi"/>
          <w:sz w:val="22"/>
          <w:szCs w:val="22"/>
          <w:lang w:val="en-US"/>
        </w:rPr>
        <w:t>“</w:t>
      </w:r>
      <w:r w:rsidR="00317C79">
        <w:rPr>
          <w:rFonts w:asciiTheme="minorHAnsi" w:hAnsiTheme="minorHAnsi"/>
          <w:i/>
          <w:sz w:val="22"/>
          <w:szCs w:val="22"/>
          <w:lang w:val="en-US"/>
        </w:rPr>
        <w:t>I</w:t>
      </w:r>
      <w:r w:rsidR="00CD588A" w:rsidRPr="0066571A">
        <w:rPr>
          <w:rFonts w:asciiTheme="minorHAnsi" w:hAnsiTheme="minorHAnsi"/>
          <w:i/>
          <w:sz w:val="22"/>
          <w:szCs w:val="22"/>
          <w:lang w:val="en-US"/>
        </w:rPr>
        <w:t xml:space="preserve">t may not be assumed that credit institutions will always receive liquidity support from other undertakings belonging to the same group </w:t>
      </w:r>
      <w:r w:rsidR="004D3F15" w:rsidRPr="0066571A">
        <w:rPr>
          <w:rFonts w:asciiTheme="minorHAnsi" w:hAnsiTheme="minorHAnsi"/>
          <w:i/>
          <w:sz w:val="22"/>
          <w:szCs w:val="22"/>
          <w:lang w:val="en-US"/>
        </w:rPr>
        <w:t xml:space="preserve">or to the same </w:t>
      </w:r>
      <w:r w:rsidR="00857F89" w:rsidRPr="0066571A">
        <w:rPr>
          <w:rFonts w:asciiTheme="minorHAnsi" w:hAnsiTheme="minorHAnsi"/>
          <w:i/>
          <w:sz w:val="22"/>
          <w:szCs w:val="22"/>
          <w:lang w:val="en-US"/>
        </w:rPr>
        <w:t xml:space="preserve">institutional protection scheme </w:t>
      </w:r>
      <w:r w:rsidR="00CD588A" w:rsidRPr="0066571A">
        <w:rPr>
          <w:rFonts w:asciiTheme="minorHAnsi" w:hAnsiTheme="minorHAnsi"/>
          <w:i/>
          <w:sz w:val="22"/>
          <w:szCs w:val="22"/>
          <w:lang w:val="en-US"/>
        </w:rPr>
        <w:t>when they experience difficulties in meeting their payment obligations</w:t>
      </w:r>
      <w:r w:rsidR="00317C79">
        <w:rPr>
          <w:rFonts w:asciiTheme="minorHAnsi" w:hAnsiTheme="minorHAnsi"/>
          <w:i/>
          <w:sz w:val="22"/>
          <w:szCs w:val="22"/>
          <w:lang w:val="en-US"/>
        </w:rPr>
        <w:t>.</w:t>
      </w:r>
      <w:r w:rsidR="00CD588A" w:rsidRPr="0066571A">
        <w:rPr>
          <w:rFonts w:asciiTheme="minorHAnsi" w:hAnsiTheme="minorHAnsi"/>
          <w:i/>
          <w:sz w:val="22"/>
          <w:szCs w:val="22"/>
          <w:lang w:val="en-US"/>
        </w:rPr>
        <w:t xml:space="preserve"> </w:t>
      </w:r>
      <w:r w:rsidR="00317C79">
        <w:rPr>
          <w:rFonts w:asciiTheme="minorHAnsi" w:hAnsiTheme="minorHAnsi"/>
          <w:i/>
          <w:sz w:val="22"/>
          <w:szCs w:val="22"/>
          <w:lang w:val="en-US"/>
        </w:rPr>
        <w:t xml:space="preserve">However, </w:t>
      </w:r>
      <w:r w:rsidR="00831E4C" w:rsidRPr="0066571A">
        <w:rPr>
          <w:rFonts w:asciiTheme="minorHAnsi" w:hAnsiTheme="minorHAnsi"/>
          <w:i/>
          <w:sz w:val="22"/>
          <w:szCs w:val="22"/>
          <w:lang w:val="en-US"/>
        </w:rPr>
        <w:t xml:space="preserve">where no waiver has been granted for the application of the liquidity coverage ratio at individual level </w:t>
      </w:r>
      <w:r w:rsidR="00A6656B">
        <w:rPr>
          <w:rFonts w:asciiTheme="minorHAnsi" w:hAnsiTheme="minorHAnsi"/>
          <w:i/>
          <w:sz w:val="22"/>
          <w:szCs w:val="22"/>
          <w:lang w:val="en-US"/>
        </w:rPr>
        <w:t xml:space="preserve">in accordance with Articles 8 or 10 of Regulation (EU) No 575/2013, </w:t>
      </w:r>
      <w:r w:rsidR="00831E4C" w:rsidRPr="0066571A">
        <w:rPr>
          <w:rFonts w:asciiTheme="minorHAnsi" w:hAnsiTheme="minorHAnsi"/>
          <w:i/>
          <w:sz w:val="22"/>
          <w:szCs w:val="22"/>
          <w:lang w:val="en-US"/>
        </w:rPr>
        <w:t xml:space="preserve">liquidity flows between two credit institutions belonging to the same group </w:t>
      </w:r>
      <w:r w:rsidR="004D3F15" w:rsidRPr="0066571A">
        <w:rPr>
          <w:rFonts w:asciiTheme="minorHAnsi" w:hAnsiTheme="minorHAnsi"/>
          <w:i/>
          <w:sz w:val="22"/>
          <w:szCs w:val="22"/>
          <w:lang w:val="en-US"/>
        </w:rPr>
        <w:t xml:space="preserve">or to the same </w:t>
      </w:r>
      <w:r w:rsidR="00A6656B">
        <w:rPr>
          <w:rFonts w:asciiTheme="minorHAnsi" w:hAnsiTheme="minorHAnsi"/>
          <w:i/>
          <w:sz w:val="22"/>
          <w:szCs w:val="22"/>
          <w:lang w:val="en-US"/>
        </w:rPr>
        <w:t>institutional protection scheme</w:t>
      </w:r>
      <w:r w:rsidR="00A6656B" w:rsidRPr="0066571A">
        <w:rPr>
          <w:rFonts w:asciiTheme="minorHAnsi" w:hAnsiTheme="minorHAnsi"/>
          <w:i/>
          <w:sz w:val="22"/>
          <w:szCs w:val="22"/>
          <w:lang w:val="en-US"/>
        </w:rPr>
        <w:t xml:space="preserve"> </w:t>
      </w:r>
      <w:r w:rsidR="00831E4C" w:rsidRPr="0066571A">
        <w:rPr>
          <w:rFonts w:asciiTheme="minorHAnsi" w:hAnsiTheme="minorHAnsi"/>
          <w:i/>
          <w:sz w:val="22"/>
          <w:szCs w:val="22"/>
          <w:lang w:val="en-US"/>
        </w:rPr>
        <w:t>should in principle receive symmetrical inflow and outflow rates to avoid the loss of liquidity in the internal market, provided that all necessary safeguards are in place and only with the prior approval of the competent authorities involved.</w:t>
      </w:r>
      <w:r w:rsidR="00A264F5" w:rsidRPr="0066571A">
        <w:rPr>
          <w:rFonts w:asciiTheme="minorHAnsi" w:hAnsiTheme="minorHAnsi"/>
          <w:i/>
          <w:sz w:val="22"/>
          <w:szCs w:val="22"/>
          <w:lang w:val="en-US"/>
        </w:rPr>
        <w:t xml:space="preserve"> </w:t>
      </w:r>
      <w:r w:rsidR="00A6656B">
        <w:rPr>
          <w:rFonts w:asciiTheme="minorHAnsi" w:hAnsiTheme="minorHAnsi"/>
          <w:i/>
          <w:sz w:val="22"/>
          <w:szCs w:val="22"/>
          <w:lang w:val="en-US"/>
        </w:rPr>
        <w:t>S</w:t>
      </w:r>
      <w:r w:rsidR="00A264F5" w:rsidRPr="0066571A">
        <w:rPr>
          <w:rFonts w:asciiTheme="minorHAnsi" w:hAnsiTheme="minorHAnsi"/>
          <w:i/>
          <w:sz w:val="22"/>
          <w:szCs w:val="22"/>
          <w:lang w:val="en-US"/>
        </w:rPr>
        <w:t>uch preferential treatment should only be given to cross-border flows on the basis of additional objective criteria, including the low liquidity risk profile of the provider and the receiver.</w:t>
      </w:r>
      <w:r w:rsidR="00A6656B">
        <w:rPr>
          <w:rFonts w:asciiTheme="minorHAnsi" w:hAnsiTheme="minorHAnsi"/>
          <w:i/>
          <w:sz w:val="22"/>
          <w:szCs w:val="22"/>
          <w:lang w:val="en-US"/>
        </w:rPr>
        <w:t>”</w:t>
      </w:r>
    </w:p>
    <w:p w:rsidR="00940247" w:rsidRPr="00A01E42" w:rsidRDefault="00CD588A"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Therefore i</w:t>
      </w:r>
      <w:r w:rsidR="00940247" w:rsidRPr="00A01E42">
        <w:rPr>
          <w:rFonts w:asciiTheme="minorHAnsi" w:hAnsiTheme="minorHAnsi"/>
          <w:sz w:val="22"/>
          <w:szCs w:val="22"/>
          <w:lang w:val="en-US"/>
        </w:rPr>
        <w:t xml:space="preserve">n the context of European </w:t>
      </w:r>
      <w:r w:rsidR="00DA4550">
        <w:rPr>
          <w:rFonts w:asciiTheme="minorHAnsi" w:hAnsiTheme="minorHAnsi"/>
          <w:sz w:val="22"/>
          <w:szCs w:val="22"/>
          <w:lang w:val="en-US"/>
        </w:rPr>
        <w:t xml:space="preserve">credit </w:t>
      </w:r>
      <w:r w:rsidR="00940247" w:rsidRPr="00A01E42">
        <w:rPr>
          <w:rFonts w:asciiTheme="minorHAnsi" w:hAnsiTheme="minorHAnsi"/>
          <w:sz w:val="22"/>
          <w:szCs w:val="22"/>
          <w:lang w:val="en-US"/>
        </w:rPr>
        <w:t xml:space="preserve">institutions whose liquidity is managed centrally at a group </w:t>
      </w:r>
      <w:r w:rsidR="00487959">
        <w:rPr>
          <w:rFonts w:asciiTheme="minorHAnsi" w:hAnsiTheme="minorHAnsi"/>
          <w:sz w:val="22"/>
          <w:szCs w:val="22"/>
          <w:lang w:val="en-US"/>
        </w:rPr>
        <w:t xml:space="preserve">or IPS </w:t>
      </w:r>
      <w:r w:rsidR="00940247" w:rsidRPr="00A01E42">
        <w:rPr>
          <w:rFonts w:asciiTheme="minorHAnsi" w:hAnsiTheme="minorHAnsi"/>
          <w:sz w:val="22"/>
          <w:szCs w:val="22"/>
          <w:lang w:val="en-US"/>
        </w:rPr>
        <w:t>level or whose day to day operational liquidity management is partially or fully carried out on their behalf by other members of the group, the CRR</w:t>
      </w:r>
      <w:r w:rsidR="00DA4550">
        <w:rPr>
          <w:rFonts w:asciiTheme="minorHAnsi" w:hAnsiTheme="minorHAnsi"/>
          <w:sz w:val="22"/>
          <w:szCs w:val="22"/>
          <w:lang w:val="en-US"/>
        </w:rPr>
        <w:t xml:space="preserve"> and the LCR Delegated Act</w:t>
      </w:r>
      <w:r w:rsidR="00940247" w:rsidRPr="00A01E42">
        <w:rPr>
          <w:rFonts w:asciiTheme="minorHAnsi" w:hAnsiTheme="minorHAnsi"/>
          <w:sz w:val="22"/>
          <w:szCs w:val="22"/>
          <w:lang w:val="en-US"/>
        </w:rPr>
        <w:t xml:space="preserve">, </w:t>
      </w:r>
      <w:r w:rsidR="00DF278A">
        <w:rPr>
          <w:rFonts w:asciiTheme="minorHAnsi" w:hAnsiTheme="minorHAnsi"/>
          <w:sz w:val="22"/>
          <w:szCs w:val="22"/>
          <w:lang w:val="en-US"/>
        </w:rPr>
        <w:t>in reflection of</w:t>
      </w:r>
      <w:r w:rsidR="00940247" w:rsidRPr="00A01E42">
        <w:rPr>
          <w:rFonts w:asciiTheme="minorHAnsi" w:hAnsiTheme="minorHAnsi"/>
          <w:sz w:val="22"/>
          <w:szCs w:val="22"/>
          <w:lang w:val="en-US"/>
        </w:rPr>
        <w:t xml:space="preserve"> expected support </w:t>
      </w:r>
      <w:r w:rsidR="00487959">
        <w:rPr>
          <w:rFonts w:asciiTheme="minorHAnsi" w:hAnsiTheme="minorHAnsi"/>
          <w:sz w:val="22"/>
          <w:szCs w:val="22"/>
          <w:lang w:val="en-US"/>
        </w:rPr>
        <w:t>within a group</w:t>
      </w:r>
      <w:r w:rsidR="00A850CE" w:rsidRPr="004202A3">
        <w:rPr>
          <w:rFonts w:asciiTheme="minorHAnsi" w:hAnsiTheme="minorHAnsi"/>
          <w:sz w:val="22"/>
          <w:szCs w:val="22"/>
          <w:lang w:val="en-US"/>
        </w:rPr>
        <w:t xml:space="preserve"> </w:t>
      </w:r>
      <w:r w:rsidR="00487959">
        <w:rPr>
          <w:rFonts w:asciiTheme="minorHAnsi" w:hAnsiTheme="minorHAnsi"/>
          <w:sz w:val="22"/>
          <w:szCs w:val="22"/>
          <w:lang w:val="en-US"/>
        </w:rPr>
        <w:t xml:space="preserve">or IPS </w:t>
      </w:r>
      <w:r w:rsidR="00940247" w:rsidRPr="00A01E42">
        <w:rPr>
          <w:rFonts w:asciiTheme="minorHAnsi" w:hAnsiTheme="minorHAnsi"/>
          <w:sz w:val="22"/>
          <w:szCs w:val="22"/>
          <w:lang w:val="en-US"/>
        </w:rPr>
        <w:t>under stressed circumstances and</w:t>
      </w:r>
      <w:r w:rsidR="00EE62A4">
        <w:rPr>
          <w:rFonts w:asciiTheme="minorHAnsi" w:hAnsiTheme="minorHAnsi"/>
          <w:sz w:val="22"/>
          <w:szCs w:val="22"/>
          <w:lang w:val="en-US"/>
        </w:rPr>
        <w:t xml:space="preserve"> </w:t>
      </w:r>
      <w:r w:rsidR="00940247" w:rsidRPr="00A01E42">
        <w:rPr>
          <w:rFonts w:asciiTheme="minorHAnsi" w:hAnsiTheme="minorHAnsi"/>
          <w:sz w:val="22"/>
          <w:szCs w:val="22"/>
          <w:lang w:val="en-US"/>
        </w:rPr>
        <w:t xml:space="preserve">the single market, provide </w:t>
      </w:r>
      <w:r w:rsidR="00DA4550">
        <w:rPr>
          <w:rFonts w:asciiTheme="minorHAnsi" w:hAnsiTheme="minorHAnsi"/>
          <w:sz w:val="22"/>
          <w:szCs w:val="22"/>
          <w:lang w:val="en-US"/>
        </w:rPr>
        <w:t xml:space="preserve">credit </w:t>
      </w:r>
      <w:r w:rsidR="00940247" w:rsidRPr="00A01E42">
        <w:rPr>
          <w:rFonts w:asciiTheme="minorHAnsi" w:hAnsiTheme="minorHAnsi"/>
          <w:sz w:val="22"/>
          <w:szCs w:val="22"/>
          <w:lang w:val="en-US"/>
        </w:rPr>
        <w:t xml:space="preserve">institutions with some </w:t>
      </w:r>
      <w:r w:rsidR="00DF278A">
        <w:rPr>
          <w:rFonts w:asciiTheme="minorHAnsi" w:hAnsiTheme="minorHAnsi"/>
          <w:sz w:val="22"/>
          <w:szCs w:val="22"/>
          <w:lang w:val="en-US"/>
        </w:rPr>
        <w:t xml:space="preserve">special treatments </w:t>
      </w:r>
      <w:r w:rsidR="00940247" w:rsidRPr="00A01E42">
        <w:rPr>
          <w:rFonts w:asciiTheme="minorHAnsi" w:hAnsiTheme="minorHAnsi"/>
          <w:sz w:val="22"/>
          <w:szCs w:val="22"/>
          <w:lang w:val="en-US"/>
        </w:rPr>
        <w:t>which can alleviate their LCR requirements:</w:t>
      </w:r>
    </w:p>
    <w:p w:rsidR="00940247" w:rsidRPr="00A01E42" w:rsidRDefault="00F0534C" w:rsidP="0066571A">
      <w:pPr>
        <w:pStyle w:val="Titlelevel3"/>
        <w:rPr>
          <w:sz w:val="22"/>
          <w:szCs w:val="22"/>
        </w:rPr>
      </w:pPr>
      <w:r w:rsidRPr="0066571A">
        <w:rPr>
          <w:lang w:val="en-GB"/>
        </w:rPr>
        <w:t>Waiver</w:t>
      </w:r>
      <w:r w:rsidRPr="00A01E42">
        <w:rPr>
          <w:sz w:val="22"/>
          <w:szCs w:val="22"/>
        </w:rPr>
        <w:t xml:space="preserve"> </w:t>
      </w:r>
    </w:p>
    <w:p w:rsidR="002F7928" w:rsidRDefault="00CD588A" w:rsidP="00940247">
      <w:pPr>
        <w:pStyle w:val="EBAbodytext"/>
        <w:tabs>
          <w:tab w:val="left" w:pos="0"/>
        </w:tabs>
        <w:rPr>
          <w:rFonts w:asciiTheme="minorHAnsi" w:hAnsiTheme="minorHAnsi"/>
          <w:sz w:val="22"/>
          <w:szCs w:val="22"/>
          <w:lang w:val="en-US"/>
        </w:rPr>
      </w:pPr>
      <w:r w:rsidRPr="00A01E42">
        <w:rPr>
          <w:rFonts w:asciiTheme="minorHAnsi" w:hAnsiTheme="minorHAnsi"/>
          <w:sz w:val="22"/>
          <w:szCs w:val="22"/>
          <w:lang w:val="en-US"/>
        </w:rPr>
        <w:t xml:space="preserve">Article 8 </w:t>
      </w:r>
      <w:r w:rsidR="00DA4550">
        <w:rPr>
          <w:rFonts w:asciiTheme="minorHAnsi" w:hAnsiTheme="minorHAnsi"/>
          <w:sz w:val="22"/>
          <w:szCs w:val="22"/>
          <w:lang w:val="en-US"/>
        </w:rPr>
        <w:t xml:space="preserve">of the </w:t>
      </w:r>
      <w:r w:rsidRPr="00A01E42">
        <w:rPr>
          <w:rFonts w:asciiTheme="minorHAnsi" w:hAnsiTheme="minorHAnsi"/>
          <w:sz w:val="22"/>
          <w:szCs w:val="22"/>
          <w:lang w:val="en-US"/>
        </w:rPr>
        <w:t>CRR and Article 2</w:t>
      </w:r>
      <w:r w:rsidR="00562427">
        <w:rPr>
          <w:rFonts w:asciiTheme="minorHAnsi" w:hAnsiTheme="minorHAnsi"/>
          <w:sz w:val="22"/>
          <w:szCs w:val="22"/>
          <w:lang w:val="en-US"/>
        </w:rPr>
        <w:t>(2)</w:t>
      </w:r>
      <w:r w:rsidRPr="00A01E42">
        <w:rPr>
          <w:rFonts w:asciiTheme="minorHAnsi" w:hAnsiTheme="minorHAnsi"/>
          <w:sz w:val="22"/>
          <w:szCs w:val="22"/>
          <w:lang w:val="en-US"/>
        </w:rPr>
        <w:t xml:space="preserve"> </w:t>
      </w:r>
      <w:r w:rsidR="00DA4550">
        <w:rPr>
          <w:rFonts w:asciiTheme="minorHAnsi" w:hAnsiTheme="minorHAnsi"/>
          <w:sz w:val="22"/>
          <w:szCs w:val="22"/>
          <w:lang w:val="en-US"/>
        </w:rPr>
        <w:t xml:space="preserve">of the LCR Delegated Act </w:t>
      </w:r>
      <w:r w:rsidR="004F5352" w:rsidRPr="00A01E42">
        <w:rPr>
          <w:rFonts w:asciiTheme="minorHAnsi" w:hAnsiTheme="minorHAnsi"/>
          <w:sz w:val="22"/>
          <w:szCs w:val="22"/>
          <w:lang w:val="en-US"/>
        </w:rPr>
        <w:t>envisage</w:t>
      </w:r>
      <w:r w:rsidR="00940247" w:rsidRPr="00A01E42">
        <w:rPr>
          <w:rFonts w:asciiTheme="minorHAnsi" w:hAnsiTheme="minorHAnsi"/>
          <w:sz w:val="22"/>
          <w:szCs w:val="22"/>
          <w:lang w:val="en-US"/>
        </w:rPr>
        <w:t xml:space="preserve"> the possibility for the </w:t>
      </w:r>
      <w:r w:rsidR="004F5352" w:rsidRPr="00A01E42">
        <w:rPr>
          <w:rFonts w:asciiTheme="minorHAnsi" w:hAnsiTheme="minorHAnsi"/>
          <w:sz w:val="22"/>
          <w:szCs w:val="22"/>
          <w:lang w:val="en-US"/>
        </w:rPr>
        <w:t>involved competent authorities</w:t>
      </w:r>
      <w:r w:rsidR="00940247" w:rsidRPr="00A01E42">
        <w:rPr>
          <w:rFonts w:asciiTheme="minorHAnsi" w:hAnsiTheme="minorHAnsi"/>
          <w:sz w:val="22"/>
          <w:szCs w:val="22"/>
          <w:lang w:val="en-US"/>
        </w:rPr>
        <w:t xml:space="preserve"> to waive the application of liquidity requirements to individual </w:t>
      </w:r>
      <w:r w:rsidR="00562427">
        <w:rPr>
          <w:rFonts w:asciiTheme="minorHAnsi" w:hAnsiTheme="minorHAnsi"/>
          <w:sz w:val="22"/>
          <w:szCs w:val="22"/>
          <w:lang w:val="en-US"/>
        </w:rPr>
        <w:t xml:space="preserve">credit </w:t>
      </w:r>
      <w:r w:rsidR="00940247" w:rsidRPr="00A01E42">
        <w:rPr>
          <w:rFonts w:asciiTheme="minorHAnsi" w:hAnsiTheme="minorHAnsi"/>
          <w:sz w:val="22"/>
          <w:szCs w:val="22"/>
          <w:lang w:val="en-US"/>
        </w:rPr>
        <w:t xml:space="preserve">institutions subject to stringent conditions and the individual agreement of all competent authorities involved. In such cases, a liquidity sub-group is formed and compliance with some or all of CRR Part VI (Liquidity) obligations at the individual level can be waived while compliance at the level of the liquidity sub-group will be required. This waiver has the potential to facilitate liquidity management across a banking group. </w:t>
      </w:r>
    </w:p>
    <w:p w:rsidR="00562427" w:rsidRPr="0066571A" w:rsidRDefault="00562427" w:rsidP="0066571A">
      <w:pPr>
        <w:pStyle w:val="Titlelevel3"/>
        <w:rPr>
          <w:lang w:val="en-GB"/>
        </w:rPr>
      </w:pPr>
      <w:r w:rsidRPr="0066571A">
        <w:rPr>
          <w:lang w:val="en-GB"/>
        </w:rPr>
        <w:t>Exemption from the inflow cap</w:t>
      </w:r>
    </w:p>
    <w:p w:rsidR="00562427" w:rsidRDefault="00562427" w:rsidP="00562427">
      <w:pPr>
        <w:pStyle w:val="EBAbodytext"/>
        <w:tabs>
          <w:tab w:val="left" w:pos="0"/>
        </w:tabs>
        <w:rPr>
          <w:rFonts w:asciiTheme="minorHAnsi" w:hAnsiTheme="minorHAnsi"/>
          <w:sz w:val="22"/>
          <w:szCs w:val="22"/>
          <w:lang w:val="en-US"/>
        </w:rPr>
      </w:pPr>
      <w:r>
        <w:rPr>
          <w:rFonts w:asciiTheme="minorHAnsi" w:hAnsiTheme="minorHAnsi"/>
          <w:sz w:val="22"/>
          <w:szCs w:val="22"/>
          <w:lang w:val="en-US"/>
        </w:rPr>
        <w:t>Article 425(</w:t>
      </w:r>
      <w:r w:rsidR="000C7954">
        <w:rPr>
          <w:rFonts w:asciiTheme="minorHAnsi" w:hAnsiTheme="minorHAnsi"/>
          <w:sz w:val="22"/>
          <w:szCs w:val="22"/>
          <w:lang w:val="en-US"/>
        </w:rPr>
        <w:t>1</w:t>
      </w:r>
      <w:r>
        <w:rPr>
          <w:rFonts w:asciiTheme="minorHAnsi" w:hAnsiTheme="minorHAnsi"/>
          <w:sz w:val="22"/>
          <w:szCs w:val="22"/>
          <w:lang w:val="en-US"/>
        </w:rPr>
        <w:t xml:space="preserve">) of the CRR and Article 33(2) of the LCR Delegated Act provide credit institutions with the possibility, subject to prior approval of the competent authority, to fully or partially exempt from the 75% </w:t>
      </w:r>
      <w:r w:rsidR="007F4514">
        <w:rPr>
          <w:rFonts w:asciiTheme="minorHAnsi" w:hAnsiTheme="minorHAnsi"/>
          <w:sz w:val="22"/>
          <w:szCs w:val="22"/>
          <w:lang w:val="en-US"/>
        </w:rPr>
        <w:t xml:space="preserve">inflow </w:t>
      </w:r>
      <w:r>
        <w:rPr>
          <w:rFonts w:asciiTheme="minorHAnsi" w:hAnsiTheme="minorHAnsi"/>
          <w:sz w:val="22"/>
          <w:szCs w:val="22"/>
          <w:lang w:val="en-US"/>
        </w:rPr>
        <w:t xml:space="preserve">cap </w:t>
      </w:r>
      <w:r w:rsidR="007F4514">
        <w:rPr>
          <w:rFonts w:asciiTheme="minorHAnsi" w:hAnsiTheme="minorHAnsi"/>
          <w:sz w:val="22"/>
          <w:szCs w:val="22"/>
          <w:lang w:val="en-US"/>
        </w:rPr>
        <w:t xml:space="preserve">(which is calculated as a percentage </w:t>
      </w:r>
      <w:r>
        <w:rPr>
          <w:rFonts w:asciiTheme="minorHAnsi" w:hAnsiTheme="minorHAnsi"/>
          <w:sz w:val="22"/>
          <w:szCs w:val="22"/>
          <w:lang w:val="en-US"/>
        </w:rPr>
        <w:t>of total liquidity outflows</w:t>
      </w:r>
      <w:r w:rsidR="007F4514">
        <w:rPr>
          <w:rFonts w:asciiTheme="minorHAnsi" w:hAnsiTheme="minorHAnsi"/>
          <w:sz w:val="22"/>
          <w:szCs w:val="22"/>
          <w:lang w:val="en-US"/>
        </w:rPr>
        <w:t>)</w:t>
      </w:r>
      <w:r>
        <w:rPr>
          <w:rFonts w:asciiTheme="minorHAnsi" w:hAnsiTheme="minorHAnsi"/>
          <w:sz w:val="22"/>
          <w:szCs w:val="22"/>
          <w:lang w:val="en-US"/>
        </w:rPr>
        <w:t xml:space="preserve"> those inflows where </w:t>
      </w:r>
      <w:r w:rsidRPr="00917F76">
        <w:rPr>
          <w:rFonts w:asciiTheme="minorHAnsi" w:hAnsiTheme="minorHAnsi"/>
          <w:i/>
          <w:sz w:val="22"/>
          <w:szCs w:val="22"/>
          <w:lang w:val="en-US"/>
        </w:rPr>
        <w:t>inter alia</w:t>
      </w:r>
      <w:r>
        <w:rPr>
          <w:rFonts w:asciiTheme="minorHAnsi" w:hAnsiTheme="minorHAnsi"/>
          <w:sz w:val="22"/>
          <w:szCs w:val="22"/>
          <w:lang w:val="en-US"/>
        </w:rPr>
        <w:t xml:space="preserve"> the provider is its parent or a subsidiary or another subsidiary of the same parent or linked to the credit institution by a relationship within the meaning of Article 12 (1) of Directive 83/349/EEC</w:t>
      </w:r>
      <w:r w:rsidR="003B2CEF">
        <w:rPr>
          <w:rFonts w:asciiTheme="minorHAnsi" w:hAnsiTheme="minorHAnsi"/>
          <w:sz w:val="22"/>
          <w:szCs w:val="22"/>
          <w:lang w:val="en-US"/>
        </w:rPr>
        <w:t xml:space="preserve"> or an institution of the same IPS</w:t>
      </w:r>
      <w:r>
        <w:rPr>
          <w:rFonts w:asciiTheme="minorHAnsi" w:hAnsiTheme="minorHAnsi"/>
          <w:sz w:val="22"/>
          <w:szCs w:val="22"/>
          <w:lang w:val="en-US"/>
        </w:rPr>
        <w:t>.</w:t>
      </w:r>
    </w:p>
    <w:p w:rsidR="0066571A" w:rsidRDefault="0066571A" w:rsidP="0066571A">
      <w:pPr>
        <w:pStyle w:val="Titlelevel3"/>
        <w:rPr>
          <w:lang w:val="en-GB"/>
        </w:rPr>
      </w:pPr>
    </w:p>
    <w:p w:rsidR="0066571A" w:rsidRDefault="0066571A" w:rsidP="0066571A">
      <w:pPr>
        <w:pStyle w:val="Titlelevel3"/>
        <w:rPr>
          <w:lang w:val="en-GB"/>
        </w:rPr>
      </w:pPr>
    </w:p>
    <w:p w:rsidR="00A264F5" w:rsidRPr="0066571A" w:rsidRDefault="00940247" w:rsidP="0066571A">
      <w:pPr>
        <w:pStyle w:val="Titlelevel3"/>
        <w:rPr>
          <w:lang w:val="en-GB"/>
        </w:rPr>
      </w:pPr>
      <w:r w:rsidRPr="0066571A">
        <w:rPr>
          <w:lang w:val="en-GB"/>
        </w:rPr>
        <w:lastRenderedPageBreak/>
        <w:t xml:space="preserve">Preferential treatment </w:t>
      </w:r>
      <w:r w:rsidR="00A264F5" w:rsidRPr="0066571A">
        <w:rPr>
          <w:lang w:val="en-GB"/>
        </w:rPr>
        <w:t xml:space="preserve"> </w:t>
      </w:r>
    </w:p>
    <w:p w:rsidR="00367665" w:rsidRDefault="00940247" w:rsidP="00940247">
      <w:pPr>
        <w:pStyle w:val="EBAbodytext"/>
        <w:tabs>
          <w:tab w:val="left" w:pos="0"/>
        </w:tabs>
        <w:rPr>
          <w:rFonts w:asciiTheme="minorHAnsi" w:hAnsiTheme="minorHAnsi"/>
          <w:sz w:val="22"/>
          <w:szCs w:val="22"/>
          <w:lang w:val="en-US"/>
        </w:rPr>
      </w:pPr>
      <w:r w:rsidRPr="00A01E42">
        <w:rPr>
          <w:rFonts w:asciiTheme="minorHAnsi" w:hAnsiTheme="minorHAnsi"/>
          <w:sz w:val="22"/>
          <w:szCs w:val="22"/>
          <w:lang w:val="en-US"/>
        </w:rPr>
        <w:t xml:space="preserve">According to </w:t>
      </w:r>
      <w:r w:rsidR="00CD588A" w:rsidRPr="00A01E42">
        <w:rPr>
          <w:rFonts w:asciiTheme="minorHAnsi" w:hAnsiTheme="minorHAnsi"/>
          <w:sz w:val="22"/>
          <w:szCs w:val="22"/>
          <w:lang w:val="en-US"/>
        </w:rPr>
        <w:t>Art 422(</w:t>
      </w:r>
      <w:r w:rsidR="00CD588A">
        <w:rPr>
          <w:rFonts w:asciiTheme="minorHAnsi" w:hAnsiTheme="minorHAnsi"/>
          <w:sz w:val="22"/>
          <w:szCs w:val="22"/>
          <w:lang w:val="en-US"/>
        </w:rPr>
        <w:t>8</w:t>
      </w:r>
      <w:r w:rsidR="00CD588A" w:rsidRPr="00A01E42">
        <w:rPr>
          <w:rFonts w:asciiTheme="minorHAnsi" w:hAnsiTheme="minorHAnsi"/>
          <w:sz w:val="22"/>
          <w:szCs w:val="22"/>
          <w:lang w:val="en-US"/>
        </w:rPr>
        <w:t>) and Art 425(</w:t>
      </w:r>
      <w:r w:rsidR="00CD588A">
        <w:rPr>
          <w:rFonts w:asciiTheme="minorHAnsi" w:hAnsiTheme="minorHAnsi"/>
          <w:sz w:val="22"/>
          <w:szCs w:val="22"/>
          <w:lang w:val="en-US"/>
        </w:rPr>
        <w:t>4</w:t>
      </w:r>
      <w:r w:rsidR="00CD588A" w:rsidRPr="00A01E42">
        <w:rPr>
          <w:rFonts w:asciiTheme="minorHAnsi" w:hAnsiTheme="minorHAnsi"/>
          <w:sz w:val="22"/>
          <w:szCs w:val="22"/>
          <w:lang w:val="en-US"/>
        </w:rPr>
        <w:t xml:space="preserve">) </w:t>
      </w:r>
      <w:r w:rsidR="00DE0784">
        <w:rPr>
          <w:rFonts w:asciiTheme="minorHAnsi" w:hAnsiTheme="minorHAnsi"/>
          <w:sz w:val="22"/>
          <w:szCs w:val="22"/>
          <w:lang w:val="en-US"/>
        </w:rPr>
        <w:t xml:space="preserve">of the </w:t>
      </w:r>
      <w:r w:rsidR="00CD588A" w:rsidRPr="00A01E42">
        <w:rPr>
          <w:rFonts w:asciiTheme="minorHAnsi" w:hAnsiTheme="minorHAnsi"/>
          <w:sz w:val="22"/>
          <w:szCs w:val="22"/>
          <w:lang w:val="en-US"/>
        </w:rPr>
        <w:t>CRR</w:t>
      </w:r>
      <w:r w:rsidRPr="00A01E42">
        <w:rPr>
          <w:rFonts w:asciiTheme="minorHAnsi" w:hAnsiTheme="minorHAnsi"/>
          <w:sz w:val="22"/>
          <w:szCs w:val="22"/>
          <w:lang w:val="en-US"/>
        </w:rPr>
        <w:t xml:space="preserve">, </w:t>
      </w:r>
      <w:r w:rsidR="00DF278A">
        <w:rPr>
          <w:rFonts w:asciiTheme="minorHAnsi" w:hAnsiTheme="minorHAnsi"/>
          <w:sz w:val="22"/>
          <w:szCs w:val="22"/>
          <w:lang w:val="en-US"/>
        </w:rPr>
        <w:t xml:space="preserve">if </w:t>
      </w:r>
      <w:r w:rsidRPr="00A01E42">
        <w:rPr>
          <w:rFonts w:asciiTheme="minorHAnsi" w:hAnsiTheme="minorHAnsi"/>
          <w:sz w:val="22"/>
          <w:szCs w:val="22"/>
          <w:lang w:val="en-US"/>
        </w:rPr>
        <w:t>a set of conditions</w:t>
      </w:r>
      <w:r w:rsidR="00DF278A">
        <w:rPr>
          <w:rFonts w:asciiTheme="minorHAnsi" w:hAnsiTheme="minorHAnsi"/>
          <w:sz w:val="22"/>
          <w:szCs w:val="22"/>
          <w:lang w:val="en-US"/>
        </w:rPr>
        <w:t xml:space="preserve"> are complied with</w:t>
      </w:r>
      <w:r w:rsidRPr="00A01E42">
        <w:rPr>
          <w:rFonts w:asciiTheme="minorHAnsi" w:hAnsiTheme="minorHAnsi"/>
          <w:sz w:val="22"/>
          <w:szCs w:val="22"/>
          <w:lang w:val="en-US"/>
        </w:rPr>
        <w:t xml:space="preserve">, </w:t>
      </w:r>
      <w:r w:rsidR="00DF278A">
        <w:rPr>
          <w:rFonts w:asciiTheme="minorHAnsi" w:hAnsiTheme="minorHAnsi"/>
          <w:sz w:val="22"/>
          <w:szCs w:val="22"/>
          <w:lang w:val="en-US"/>
        </w:rPr>
        <w:t xml:space="preserve">competent authorities can, on a case by case basis, grant </w:t>
      </w:r>
      <w:r w:rsidR="00367665" w:rsidRPr="00A01E42">
        <w:rPr>
          <w:rFonts w:asciiTheme="minorHAnsi" w:hAnsiTheme="minorHAnsi"/>
          <w:sz w:val="22"/>
          <w:szCs w:val="22"/>
          <w:lang w:val="en-US"/>
        </w:rPr>
        <w:t>a preferential treatment</w:t>
      </w:r>
      <w:r w:rsidR="00DF278A">
        <w:rPr>
          <w:rFonts w:asciiTheme="minorHAnsi" w:hAnsiTheme="minorHAnsi"/>
          <w:sz w:val="22"/>
          <w:szCs w:val="22"/>
          <w:lang w:val="en-US"/>
        </w:rPr>
        <w:t xml:space="preserve"> for </w:t>
      </w:r>
      <w:r w:rsidR="005C58F8">
        <w:rPr>
          <w:rFonts w:asciiTheme="minorHAnsi" w:hAnsiTheme="minorHAnsi"/>
          <w:sz w:val="22"/>
          <w:szCs w:val="22"/>
          <w:lang w:val="en-US"/>
        </w:rPr>
        <w:t xml:space="preserve">those </w:t>
      </w:r>
      <w:r w:rsidRPr="00A01E42">
        <w:rPr>
          <w:rFonts w:asciiTheme="minorHAnsi" w:hAnsiTheme="minorHAnsi"/>
          <w:sz w:val="22"/>
          <w:szCs w:val="22"/>
          <w:lang w:val="en-US"/>
        </w:rPr>
        <w:t xml:space="preserve">transactions </w:t>
      </w:r>
      <w:r w:rsidR="005C58F8">
        <w:rPr>
          <w:rFonts w:asciiTheme="minorHAnsi" w:hAnsiTheme="minorHAnsi"/>
          <w:sz w:val="22"/>
          <w:szCs w:val="22"/>
          <w:lang w:val="en-US"/>
        </w:rPr>
        <w:t xml:space="preserve">within a group or an IPS </w:t>
      </w:r>
      <w:r w:rsidRPr="00A01E42">
        <w:rPr>
          <w:rFonts w:asciiTheme="minorHAnsi" w:hAnsiTheme="minorHAnsi"/>
          <w:sz w:val="22"/>
          <w:szCs w:val="22"/>
          <w:lang w:val="en-US"/>
        </w:rPr>
        <w:t xml:space="preserve">by applying higher inflow rates (in the case of the liquidity receiver) or lower outflow rates (in the case of the liquidity provider). </w:t>
      </w:r>
    </w:p>
    <w:p w:rsidR="00367665" w:rsidRDefault="002E7A37"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 xml:space="preserve">If the transactions within a group or an IPS constitute cross-border positions (when the institution and the counterparty are established in different Member States) then </w:t>
      </w:r>
      <w:r w:rsidR="00367665">
        <w:rPr>
          <w:rFonts w:asciiTheme="minorHAnsi" w:hAnsiTheme="minorHAnsi"/>
          <w:sz w:val="22"/>
          <w:szCs w:val="22"/>
          <w:lang w:val="en-US"/>
        </w:rPr>
        <w:t xml:space="preserve">Article 422 (9) and Article 425 (5) of </w:t>
      </w:r>
      <w:r w:rsidR="00940247" w:rsidRPr="00A01E42">
        <w:rPr>
          <w:rFonts w:asciiTheme="minorHAnsi" w:hAnsiTheme="minorHAnsi"/>
          <w:sz w:val="22"/>
          <w:szCs w:val="22"/>
          <w:lang w:val="en-US"/>
        </w:rPr>
        <w:t>the CRR</w:t>
      </w:r>
      <w:r>
        <w:rPr>
          <w:rFonts w:asciiTheme="minorHAnsi" w:hAnsiTheme="minorHAnsi"/>
          <w:sz w:val="22"/>
          <w:szCs w:val="22"/>
          <w:lang w:val="en-US"/>
        </w:rPr>
        <w:t xml:space="preserve"> clarify that the application of the preferential treatment is also conditional on the compliance with</w:t>
      </w:r>
      <w:r w:rsidR="00367665">
        <w:rPr>
          <w:rFonts w:asciiTheme="minorHAnsi" w:hAnsiTheme="minorHAnsi"/>
          <w:sz w:val="22"/>
          <w:szCs w:val="22"/>
          <w:lang w:val="en-US"/>
        </w:rPr>
        <w:t xml:space="preserve"> additional </w:t>
      </w:r>
      <w:r w:rsidR="0006698A">
        <w:rPr>
          <w:rFonts w:asciiTheme="minorHAnsi" w:hAnsiTheme="minorHAnsi"/>
          <w:sz w:val="22"/>
          <w:szCs w:val="22"/>
          <w:lang w:val="en-US"/>
        </w:rPr>
        <w:t xml:space="preserve">objective </w:t>
      </w:r>
      <w:r w:rsidR="00367665">
        <w:rPr>
          <w:rFonts w:asciiTheme="minorHAnsi" w:hAnsiTheme="minorHAnsi"/>
          <w:sz w:val="22"/>
          <w:szCs w:val="22"/>
          <w:lang w:val="en-US"/>
        </w:rPr>
        <w:t xml:space="preserve">criteria to be specified in the LCR Delegated Act. </w:t>
      </w:r>
    </w:p>
    <w:p w:rsidR="00367665" w:rsidRDefault="0060554C"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Similar to the CRR, although limited to undrawn credit or liquidity facilities, t</w:t>
      </w:r>
      <w:r w:rsidR="00367665">
        <w:rPr>
          <w:rFonts w:asciiTheme="minorHAnsi" w:hAnsiTheme="minorHAnsi"/>
          <w:sz w:val="22"/>
          <w:szCs w:val="22"/>
          <w:lang w:val="en-US"/>
        </w:rPr>
        <w:t>he LCR Delegated Act</w:t>
      </w:r>
      <w:r w:rsidR="002E7A37">
        <w:rPr>
          <w:rFonts w:asciiTheme="minorHAnsi" w:hAnsiTheme="minorHAnsi"/>
          <w:sz w:val="22"/>
          <w:szCs w:val="22"/>
          <w:lang w:val="en-US"/>
        </w:rPr>
        <w:t xml:space="preserve">, by way of </w:t>
      </w:r>
      <w:r w:rsidR="00367665">
        <w:rPr>
          <w:rFonts w:asciiTheme="minorHAnsi" w:hAnsiTheme="minorHAnsi"/>
          <w:sz w:val="22"/>
          <w:szCs w:val="22"/>
          <w:lang w:val="en-US"/>
        </w:rPr>
        <w:t>Article 29 (1) and Article 34 (1)</w:t>
      </w:r>
      <w:r w:rsidR="002E7A37">
        <w:rPr>
          <w:rFonts w:asciiTheme="minorHAnsi" w:hAnsiTheme="minorHAnsi"/>
          <w:sz w:val="22"/>
          <w:szCs w:val="22"/>
          <w:lang w:val="en-US"/>
        </w:rPr>
        <w:t>, provides the possibility for</w:t>
      </w:r>
      <w:r>
        <w:rPr>
          <w:rFonts w:asciiTheme="minorHAnsi" w:hAnsiTheme="minorHAnsi"/>
          <w:sz w:val="22"/>
          <w:szCs w:val="22"/>
          <w:lang w:val="en-US"/>
        </w:rPr>
        <w:t xml:space="preserve"> </w:t>
      </w:r>
      <w:r w:rsidR="00367665">
        <w:rPr>
          <w:rFonts w:asciiTheme="minorHAnsi" w:hAnsiTheme="minorHAnsi"/>
          <w:sz w:val="22"/>
          <w:szCs w:val="22"/>
          <w:lang w:val="en-US"/>
        </w:rPr>
        <w:t>a preferential treatment</w:t>
      </w:r>
      <w:r>
        <w:rPr>
          <w:rFonts w:asciiTheme="minorHAnsi" w:hAnsiTheme="minorHAnsi"/>
          <w:sz w:val="22"/>
          <w:szCs w:val="22"/>
          <w:lang w:val="en-US"/>
        </w:rPr>
        <w:t xml:space="preserve"> for transactions of credit institutions within a group or an IPS. As in the CRR the application will be granted by competent authorities </w:t>
      </w:r>
      <w:r w:rsidR="00367665">
        <w:rPr>
          <w:rFonts w:asciiTheme="minorHAnsi" w:hAnsiTheme="minorHAnsi"/>
          <w:sz w:val="22"/>
          <w:szCs w:val="22"/>
          <w:lang w:val="en-US"/>
        </w:rPr>
        <w:t>on a case by case basis</w:t>
      </w:r>
      <w:r w:rsidR="00562427">
        <w:rPr>
          <w:rFonts w:asciiTheme="minorHAnsi" w:hAnsiTheme="minorHAnsi"/>
          <w:sz w:val="22"/>
          <w:szCs w:val="22"/>
          <w:lang w:val="en-US"/>
        </w:rPr>
        <w:t>,</w:t>
      </w:r>
      <w:r>
        <w:rPr>
          <w:rFonts w:asciiTheme="minorHAnsi" w:hAnsiTheme="minorHAnsi"/>
          <w:sz w:val="22"/>
          <w:szCs w:val="22"/>
          <w:lang w:val="en-US"/>
        </w:rPr>
        <w:t xml:space="preserve"> and will be</w:t>
      </w:r>
      <w:r w:rsidR="00367665">
        <w:rPr>
          <w:rFonts w:asciiTheme="minorHAnsi" w:hAnsiTheme="minorHAnsi"/>
          <w:sz w:val="22"/>
          <w:szCs w:val="22"/>
          <w:lang w:val="en-US"/>
        </w:rPr>
        <w:t xml:space="preserve"> </w:t>
      </w:r>
      <w:r w:rsidR="00562427">
        <w:rPr>
          <w:rFonts w:asciiTheme="minorHAnsi" w:hAnsiTheme="minorHAnsi"/>
          <w:sz w:val="22"/>
          <w:szCs w:val="22"/>
          <w:lang w:val="en-US"/>
        </w:rPr>
        <w:t>subject to the fulfilment</w:t>
      </w:r>
      <w:r w:rsidR="00367665">
        <w:rPr>
          <w:rFonts w:asciiTheme="minorHAnsi" w:hAnsiTheme="minorHAnsi"/>
          <w:sz w:val="22"/>
          <w:szCs w:val="22"/>
          <w:lang w:val="en-US"/>
        </w:rPr>
        <w:t xml:space="preserve"> of conditions </w:t>
      </w:r>
      <w:r w:rsidR="00562427">
        <w:rPr>
          <w:rFonts w:asciiTheme="minorHAnsi" w:hAnsiTheme="minorHAnsi"/>
          <w:sz w:val="22"/>
          <w:szCs w:val="22"/>
          <w:lang w:val="en-US"/>
        </w:rPr>
        <w:t xml:space="preserve">similar to </w:t>
      </w:r>
      <w:r w:rsidR="00367665">
        <w:rPr>
          <w:rFonts w:asciiTheme="minorHAnsi" w:hAnsiTheme="minorHAnsi"/>
          <w:sz w:val="22"/>
          <w:szCs w:val="22"/>
          <w:lang w:val="en-US"/>
        </w:rPr>
        <w:t>those established in the CRR.</w:t>
      </w:r>
    </w:p>
    <w:p w:rsidR="00552982" w:rsidRDefault="000D19C8"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In regard of cross-border transactions</w:t>
      </w:r>
      <w:r w:rsidR="00440E32">
        <w:rPr>
          <w:rFonts w:asciiTheme="minorHAnsi" w:hAnsiTheme="minorHAnsi"/>
          <w:sz w:val="22"/>
          <w:szCs w:val="22"/>
          <w:lang w:val="en-US"/>
        </w:rPr>
        <w:t xml:space="preserve"> (when the institution and the counterparty are established in different Member States)</w:t>
      </w:r>
      <w:r>
        <w:rPr>
          <w:rFonts w:asciiTheme="minorHAnsi" w:hAnsiTheme="minorHAnsi"/>
          <w:sz w:val="22"/>
          <w:szCs w:val="22"/>
          <w:lang w:val="en-US"/>
        </w:rPr>
        <w:t xml:space="preserve">, </w:t>
      </w:r>
      <w:r w:rsidR="00367665">
        <w:rPr>
          <w:rFonts w:asciiTheme="minorHAnsi" w:hAnsiTheme="minorHAnsi"/>
          <w:sz w:val="22"/>
          <w:szCs w:val="22"/>
          <w:lang w:val="en-US"/>
        </w:rPr>
        <w:t xml:space="preserve">Article 29 (2) and Article 34 (2 and 3) of </w:t>
      </w:r>
      <w:r w:rsidR="00A01E42" w:rsidRPr="00A01E42">
        <w:rPr>
          <w:rFonts w:asciiTheme="minorHAnsi" w:hAnsiTheme="minorHAnsi"/>
          <w:sz w:val="22"/>
          <w:szCs w:val="22"/>
          <w:lang w:val="en-US"/>
        </w:rPr>
        <w:t xml:space="preserve">the </w:t>
      </w:r>
      <w:r w:rsidR="00937450">
        <w:rPr>
          <w:rFonts w:asciiTheme="minorHAnsi" w:hAnsiTheme="minorHAnsi"/>
          <w:sz w:val="22"/>
          <w:szCs w:val="22"/>
          <w:lang w:val="en-US"/>
        </w:rPr>
        <w:t>LCR Delegated Act</w:t>
      </w:r>
      <w:r w:rsidR="00A01E42" w:rsidRPr="00A01E42">
        <w:rPr>
          <w:rFonts w:asciiTheme="minorHAnsi" w:hAnsiTheme="minorHAnsi"/>
          <w:sz w:val="22"/>
          <w:szCs w:val="22"/>
          <w:lang w:val="en-US"/>
        </w:rPr>
        <w:t xml:space="preserve"> </w:t>
      </w:r>
      <w:r w:rsidR="00562427">
        <w:rPr>
          <w:rFonts w:asciiTheme="minorHAnsi" w:hAnsiTheme="minorHAnsi"/>
          <w:sz w:val="22"/>
          <w:szCs w:val="22"/>
          <w:lang w:val="en-US"/>
        </w:rPr>
        <w:t xml:space="preserve">provide for </w:t>
      </w:r>
      <w:r w:rsidR="0006698A">
        <w:rPr>
          <w:rFonts w:asciiTheme="minorHAnsi" w:hAnsiTheme="minorHAnsi"/>
          <w:sz w:val="22"/>
          <w:szCs w:val="22"/>
          <w:lang w:val="en-US"/>
        </w:rPr>
        <w:t xml:space="preserve">the following </w:t>
      </w:r>
      <w:r w:rsidR="00940247" w:rsidRPr="00A01E42">
        <w:rPr>
          <w:rFonts w:asciiTheme="minorHAnsi" w:hAnsiTheme="minorHAnsi"/>
          <w:sz w:val="22"/>
          <w:szCs w:val="22"/>
          <w:lang w:val="en-US"/>
        </w:rPr>
        <w:t xml:space="preserve">additional </w:t>
      </w:r>
      <w:r w:rsidR="0006698A">
        <w:rPr>
          <w:rFonts w:asciiTheme="minorHAnsi" w:hAnsiTheme="minorHAnsi"/>
          <w:sz w:val="22"/>
          <w:szCs w:val="22"/>
          <w:lang w:val="en-US"/>
        </w:rPr>
        <w:t xml:space="preserve">objective </w:t>
      </w:r>
      <w:r w:rsidR="00940247" w:rsidRPr="00A01E42">
        <w:rPr>
          <w:rFonts w:asciiTheme="minorHAnsi" w:hAnsiTheme="minorHAnsi"/>
          <w:sz w:val="22"/>
          <w:szCs w:val="22"/>
          <w:lang w:val="en-US"/>
        </w:rPr>
        <w:t>criteria</w:t>
      </w:r>
      <w:r w:rsidR="00440E32">
        <w:rPr>
          <w:rFonts w:asciiTheme="minorHAnsi" w:hAnsiTheme="minorHAnsi"/>
          <w:sz w:val="22"/>
          <w:szCs w:val="22"/>
          <w:lang w:val="en-US"/>
        </w:rPr>
        <w:t xml:space="preserve"> that have to be fulfilled on top of the normal conditions</w:t>
      </w:r>
      <w:r w:rsidR="0006698A">
        <w:rPr>
          <w:rFonts w:asciiTheme="minorHAnsi" w:hAnsiTheme="minorHAnsi"/>
          <w:sz w:val="22"/>
          <w:szCs w:val="22"/>
          <w:lang w:val="en-US"/>
        </w:rPr>
        <w:t>:</w:t>
      </w:r>
      <w:r w:rsidR="00940247" w:rsidRPr="00A01E42">
        <w:rPr>
          <w:rFonts w:asciiTheme="minorHAnsi" w:hAnsiTheme="minorHAnsi"/>
          <w:sz w:val="22"/>
          <w:szCs w:val="22"/>
          <w:lang w:val="en-US"/>
        </w:rPr>
        <w:t xml:space="preserve"> </w:t>
      </w:r>
    </w:p>
    <w:p w:rsidR="0028541F" w:rsidRDefault="0028541F" w:rsidP="0028541F">
      <w:pPr>
        <w:pStyle w:val="EBAbodytext"/>
        <w:numPr>
          <w:ilvl w:val="0"/>
          <w:numId w:val="20"/>
        </w:numPr>
        <w:tabs>
          <w:tab w:val="left" w:pos="0"/>
        </w:tabs>
        <w:rPr>
          <w:rFonts w:asciiTheme="minorHAnsi" w:hAnsiTheme="minorHAnsi"/>
          <w:sz w:val="22"/>
          <w:szCs w:val="22"/>
          <w:lang w:val="en-US"/>
        </w:rPr>
      </w:pPr>
      <w:r>
        <w:rPr>
          <w:rFonts w:asciiTheme="minorHAnsi" w:hAnsiTheme="minorHAnsi"/>
          <w:sz w:val="22"/>
          <w:szCs w:val="22"/>
          <w:lang w:val="en-US"/>
        </w:rPr>
        <w:t>The liquidity provider and receiver present a low liquidity risk profile,</w:t>
      </w:r>
    </w:p>
    <w:p w:rsidR="0028541F" w:rsidRDefault="0028541F" w:rsidP="0028541F">
      <w:pPr>
        <w:pStyle w:val="EBAbodytext"/>
        <w:numPr>
          <w:ilvl w:val="0"/>
          <w:numId w:val="20"/>
        </w:numPr>
        <w:tabs>
          <w:tab w:val="left" w:pos="0"/>
        </w:tabs>
        <w:rPr>
          <w:rFonts w:asciiTheme="minorHAnsi" w:hAnsiTheme="minorHAnsi"/>
          <w:sz w:val="22"/>
          <w:szCs w:val="22"/>
          <w:lang w:val="en-US"/>
        </w:rPr>
      </w:pPr>
      <w:r>
        <w:rPr>
          <w:rFonts w:asciiTheme="minorHAnsi" w:hAnsiTheme="minorHAnsi"/>
          <w:sz w:val="22"/>
          <w:szCs w:val="22"/>
          <w:lang w:val="en-US"/>
        </w:rPr>
        <w:t>There are legally binding agreements and commitments between group entities regarding the credit or liquidity line;</w:t>
      </w:r>
    </w:p>
    <w:p w:rsidR="0028541F" w:rsidRDefault="0028541F" w:rsidP="0028541F">
      <w:pPr>
        <w:pStyle w:val="EBAbodytext"/>
        <w:numPr>
          <w:ilvl w:val="0"/>
          <w:numId w:val="20"/>
        </w:numPr>
        <w:tabs>
          <w:tab w:val="left" w:pos="0"/>
        </w:tabs>
        <w:rPr>
          <w:rFonts w:asciiTheme="minorHAnsi" w:hAnsiTheme="minorHAnsi"/>
          <w:sz w:val="22"/>
          <w:szCs w:val="22"/>
          <w:lang w:val="en-US"/>
        </w:rPr>
      </w:pPr>
      <w:r>
        <w:rPr>
          <w:rFonts w:asciiTheme="minorHAnsi" w:hAnsiTheme="minorHAnsi"/>
          <w:sz w:val="22"/>
          <w:szCs w:val="22"/>
          <w:lang w:val="en-US"/>
        </w:rPr>
        <w:t>The liquidity risk profile of the liquidity receiver has been adequately taken into account in the liquidity risk management of the liquidity provider.</w:t>
      </w:r>
    </w:p>
    <w:p w:rsidR="0006698A" w:rsidRDefault="00937450" w:rsidP="00940247">
      <w:pPr>
        <w:pStyle w:val="EBAbodytext"/>
        <w:tabs>
          <w:tab w:val="left" w:pos="0"/>
        </w:tabs>
        <w:rPr>
          <w:rFonts w:asciiTheme="minorHAnsi" w:hAnsiTheme="minorHAnsi"/>
          <w:sz w:val="22"/>
          <w:szCs w:val="22"/>
          <w:lang w:val="en-US"/>
        </w:rPr>
      </w:pPr>
      <w:r w:rsidRPr="00A01E42">
        <w:rPr>
          <w:rFonts w:asciiTheme="minorHAnsi" w:hAnsiTheme="minorHAnsi"/>
          <w:sz w:val="22"/>
          <w:szCs w:val="22"/>
          <w:lang w:val="en-US"/>
        </w:rPr>
        <w:t>These additional criteri</w:t>
      </w:r>
      <w:r>
        <w:rPr>
          <w:rFonts w:asciiTheme="minorHAnsi" w:hAnsiTheme="minorHAnsi"/>
          <w:sz w:val="22"/>
          <w:szCs w:val="22"/>
          <w:lang w:val="en-US"/>
        </w:rPr>
        <w:t>a</w:t>
      </w:r>
      <w:r w:rsidR="008B3418">
        <w:rPr>
          <w:rFonts w:asciiTheme="minorHAnsi" w:hAnsiTheme="minorHAnsi"/>
          <w:sz w:val="22"/>
          <w:szCs w:val="22"/>
          <w:lang w:val="en-US"/>
        </w:rPr>
        <w:t xml:space="preserve"> of the LCR Delegated Act</w:t>
      </w:r>
      <w:r>
        <w:rPr>
          <w:rFonts w:asciiTheme="minorHAnsi" w:hAnsiTheme="minorHAnsi"/>
          <w:sz w:val="22"/>
          <w:szCs w:val="22"/>
          <w:lang w:val="en-US"/>
        </w:rPr>
        <w:t xml:space="preserve"> have been </w:t>
      </w:r>
      <w:r w:rsidR="0006698A">
        <w:rPr>
          <w:rFonts w:asciiTheme="minorHAnsi" w:hAnsiTheme="minorHAnsi"/>
          <w:sz w:val="22"/>
          <w:szCs w:val="22"/>
          <w:lang w:val="en-US"/>
        </w:rPr>
        <w:t>based on</w:t>
      </w:r>
      <w:r w:rsidRPr="00A01E42">
        <w:rPr>
          <w:rFonts w:asciiTheme="minorHAnsi" w:hAnsiTheme="minorHAnsi"/>
          <w:sz w:val="22"/>
          <w:szCs w:val="22"/>
          <w:lang w:val="en-US"/>
        </w:rPr>
        <w:t xml:space="preserve"> the EBA Report </w:t>
      </w:r>
      <w:r w:rsidR="0029232E" w:rsidRPr="0029232E">
        <w:rPr>
          <w:rFonts w:asciiTheme="minorHAnsi" w:hAnsiTheme="minorHAnsi"/>
          <w:sz w:val="22"/>
          <w:szCs w:val="22"/>
          <w:lang w:val="en-US"/>
        </w:rPr>
        <w:t>on impact assessment for liquidity measures</w:t>
      </w:r>
      <w:r w:rsidR="0029232E">
        <w:rPr>
          <w:rFonts w:asciiTheme="minorHAnsi" w:hAnsiTheme="minorHAnsi"/>
          <w:sz w:val="22"/>
          <w:szCs w:val="22"/>
          <w:lang w:val="en-US"/>
        </w:rPr>
        <w:t>,</w:t>
      </w:r>
      <w:r w:rsidR="0029232E" w:rsidRPr="0029232E">
        <w:rPr>
          <w:rFonts w:asciiTheme="minorHAnsi" w:hAnsiTheme="minorHAnsi"/>
          <w:sz w:val="22"/>
          <w:szCs w:val="22"/>
          <w:lang w:val="en-US"/>
        </w:rPr>
        <w:t xml:space="preserve"> under the mandate of Article 509 (1) and (2) of the CRR</w:t>
      </w:r>
      <w:r w:rsidR="0029232E">
        <w:rPr>
          <w:rFonts w:asciiTheme="minorHAnsi" w:hAnsiTheme="minorHAnsi"/>
          <w:sz w:val="22"/>
          <w:szCs w:val="22"/>
          <w:lang w:val="en-US"/>
        </w:rPr>
        <w:t>,</w:t>
      </w:r>
      <w:r w:rsidR="0029232E" w:rsidRPr="0029232E">
        <w:rPr>
          <w:rFonts w:asciiTheme="minorHAnsi" w:hAnsiTheme="minorHAnsi"/>
          <w:sz w:val="22"/>
          <w:szCs w:val="22"/>
          <w:lang w:val="en-US"/>
        </w:rPr>
        <w:t xml:space="preserve"> </w:t>
      </w:r>
      <w:r w:rsidR="008B3418">
        <w:rPr>
          <w:rFonts w:asciiTheme="minorHAnsi" w:hAnsiTheme="minorHAnsi"/>
          <w:sz w:val="22"/>
          <w:szCs w:val="22"/>
          <w:lang w:val="en-US"/>
        </w:rPr>
        <w:t xml:space="preserve">as </w:t>
      </w:r>
      <w:r w:rsidR="0029232E">
        <w:rPr>
          <w:rFonts w:asciiTheme="minorHAnsi" w:hAnsiTheme="minorHAnsi"/>
          <w:sz w:val="22"/>
          <w:szCs w:val="22"/>
          <w:lang w:val="en-US"/>
        </w:rPr>
        <w:t xml:space="preserve">published and </w:t>
      </w:r>
      <w:r w:rsidRPr="00A01E42">
        <w:rPr>
          <w:rFonts w:asciiTheme="minorHAnsi" w:hAnsiTheme="minorHAnsi"/>
          <w:sz w:val="22"/>
          <w:szCs w:val="22"/>
          <w:lang w:val="en-US"/>
        </w:rPr>
        <w:t xml:space="preserve">submitted to the </w:t>
      </w:r>
      <w:r w:rsidR="00562427">
        <w:rPr>
          <w:rFonts w:asciiTheme="minorHAnsi" w:hAnsiTheme="minorHAnsi"/>
          <w:sz w:val="22"/>
          <w:szCs w:val="22"/>
          <w:lang w:val="en-US"/>
        </w:rPr>
        <w:t xml:space="preserve">European </w:t>
      </w:r>
      <w:r w:rsidRPr="00A01E42">
        <w:rPr>
          <w:rFonts w:asciiTheme="minorHAnsi" w:hAnsiTheme="minorHAnsi"/>
          <w:sz w:val="22"/>
          <w:szCs w:val="22"/>
          <w:lang w:val="en-US"/>
        </w:rPr>
        <w:t xml:space="preserve">Commission </w:t>
      </w:r>
      <w:r>
        <w:rPr>
          <w:rFonts w:asciiTheme="minorHAnsi" w:hAnsiTheme="minorHAnsi"/>
          <w:sz w:val="22"/>
          <w:szCs w:val="22"/>
          <w:lang w:val="en-US"/>
        </w:rPr>
        <w:t xml:space="preserve">in December 2013. </w:t>
      </w:r>
    </w:p>
    <w:p w:rsidR="00940247" w:rsidRDefault="00937450" w:rsidP="00940247">
      <w:pPr>
        <w:pStyle w:val="EBAbodytext"/>
        <w:tabs>
          <w:tab w:val="left" w:pos="0"/>
        </w:tabs>
        <w:rPr>
          <w:rFonts w:asciiTheme="minorHAnsi" w:hAnsiTheme="minorHAnsi"/>
          <w:sz w:val="22"/>
          <w:szCs w:val="22"/>
          <w:lang w:val="en-US"/>
        </w:rPr>
      </w:pPr>
      <w:r>
        <w:rPr>
          <w:rFonts w:asciiTheme="minorHAnsi" w:hAnsiTheme="minorHAnsi"/>
          <w:sz w:val="22"/>
          <w:szCs w:val="22"/>
          <w:lang w:val="en-US"/>
        </w:rPr>
        <w:t xml:space="preserve">The EBA is mandated </w:t>
      </w:r>
      <w:r w:rsidR="0029232E">
        <w:rPr>
          <w:rFonts w:asciiTheme="minorHAnsi" w:hAnsiTheme="minorHAnsi"/>
          <w:sz w:val="22"/>
          <w:szCs w:val="22"/>
          <w:lang w:val="en-US"/>
        </w:rPr>
        <w:t xml:space="preserve">by Article 422 (10) and Article 425 (6) of the CRR </w:t>
      </w:r>
      <w:r>
        <w:rPr>
          <w:rFonts w:asciiTheme="minorHAnsi" w:hAnsiTheme="minorHAnsi"/>
          <w:sz w:val="22"/>
          <w:szCs w:val="22"/>
          <w:lang w:val="en-US"/>
        </w:rPr>
        <w:t>to develop draft regulatory technical standards to further specify such additional o</w:t>
      </w:r>
      <w:r w:rsidR="0029232E">
        <w:rPr>
          <w:rFonts w:asciiTheme="minorHAnsi" w:hAnsiTheme="minorHAnsi"/>
          <w:sz w:val="22"/>
          <w:szCs w:val="22"/>
          <w:lang w:val="en-US"/>
        </w:rPr>
        <w:t>bjective criteria.</w:t>
      </w:r>
      <w:r w:rsidR="008B3418">
        <w:rPr>
          <w:rFonts w:asciiTheme="minorHAnsi" w:hAnsiTheme="minorHAnsi"/>
          <w:sz w:val="22"/>
          <w:szCs w:val="22"/>
          <w:lang w:val="en-US"/>
        </w:rPr>
        <w:t xml:space="preserve"> </w:t>
      </w:r>
      <w:r w:rsidR="00440E32">
        <w:rPr>
          <w:rFonts w:asciiTheme="minorHAnsi" w:hAnsiTheme="minorHAnsi"/>
          <w:sz w:val="22"/>
          <w:szCs w:val="22"/>
          <w:lang w:val="en-US"/>
        </w:rPr>
        <w:t>To this end t</w:t>
      </w:r>
      <w:r w:rsidR="00857F89">
        <w:rPr>
          <w:rFonts w:asciiTheme="minorHAnsi" w:hAnsiTheme="minorHAnsi"/>
          <w:sz w:val="22"/>
          <w:szCs w:val="22"/>
          <w:lang w:val="en-US"/>
        </w:rPr>
        <w:t>he EBA has developed, for each of the additional objective criteria specified by the Delegate</w:t>
      </w:r>
      <w:r w:rsidR="00440E32">
        <w:rPr>
          <w:rFonts w:asciiTheme="minorHAnsi" w:hAnsiTheme="minorHAnsi"/>
          <w:sz w:val="22"/>
          <w:szCs w:val="22"/>
          <w:lang w:val="en-US"/>
        </w:rPr>
        <w:t>d</w:t>
      </w:r>
      <w:r w:rsidR="00857F89">
        <w:rPr>
          <w:rFonts w:asciiTheme="minorHAnsi" w:hAnsiTheme="minorHAnsi"/>
          <w:sz w:val="22"/>
          <w:szCs w:val="22"/>
          <w:lang w:val="en-US"/>
        </w:rPr>
        <w:t xml:space="preserve"> Act as </w:t>
      </w:r>
      <w:r w:rsidR="00CB7BD7">
        <w:rPr>
          <w:rFonts w:asciiTheme="minorHAnsi" w:hAnsiTheme="minorHAnsi"/>
          <w:sz w:val="22"/>
          <w:szCs w:val="22"/>
          <w:lang w:val="en-US"/>
        </w:rPr>
        <w:t>cited</w:t>
      </w:r>
      <w:r w:rsidR="00857F89">
        <w:rPr>
          <w:rFonts w:asciiTheme="minorHAnsi" w:hAnsiTheme="minorHAnsi"/>
          <w:sz w:val="22"/>
          <w:szCs w:val="22"/>
          <w:lang w:val="en-US"/>
        </w:rPr>
        <w:t xml:space="preserve"> in a), b) and c) above</w:t>
      </w:r>
      <w:r w:rsidR="002D417B">
        <w:rPr>
          <w:rFonts w:asciiTheme="minorHAnsi" w:hAnsiTheme="minorHAnsi"/>
          <w:sz w:val="22"/>
          <w:szCs w:val="22"/>
          <w:lang w:val="en-US"/>
        </w:rPr>
        <w:t>, some further conditions</w:t>
      </w:r>
      <w:r w:rsidR="00940247" w:rsidRPr="00A01E42">
        <w:rPr>
          <w:rFonts w:asciiTheme="minorHAnsi" w:hAnsiTheme="minorHAnsi"/>
          <w:sz w:val="22"/>
          <w:szCs w:val="22"/>
          <w:lang w:val="en-US"/>
        </w:rPr>
        <w:t xml:space="preserve">. In a context of stress where liquidity support </w:t>
      </w:r>
      <w:r w:rsidR="005C58F8">
        <w:rPr>
          <w:rFonts w:asciiTheme="minorHAnsi" w:hAnsiTheme="minorHAnsi"/>
          <w:sz w:val="22"/>
          <w:szCs w:val="22"/>
          <w:lang w:val="en-US"/>
        </w:rPr>
        <w:t xml:space="preserve">within a group or an IPS </w:t>
      </w:r>
      <w:r w:rsidR="00940247" w:rsidRPr="00A01E42">
        <w:rPr>
          <w:rFonts w:asciiTheme="minorHAnsi" w:hAnsiTheme="minorHAnsi"/>
          <w:sz w:val="22"/>
          <w:szCs w:val="22"/>
          <w:lang w:val="en-US"/>
        </w:rPr>
        <w:t xml:space="preserve">cannot be taken for granted, the objective criteria represent the necessary safeguards under which competent authorities can be adequately confident that the receiving entity </w:t>
      </w:r>
      <w:r w:rsidR="00440E32">
        <w:rPr>
          <w:rFonts w:asciiTheme="minorHAnsi" w:hAnsiTheme="minorHAnsi"/>
          <w:sz w:val="22"/>
          <w:szCs w:val="22"/>
          <w:lang w:val="en-US"/>
        </w:rPr>
        <w:t>w</w:t>
      </w:r>
      <w:r w:rsidR="00940247" w:rsidRPr="00A01E42">
        <w:rPr>
          <w:rFonts w:asciiTheme="minorHAnsi" w:hAnsiTheme="minorHAnsi"/>
          <w:sz w:val="22"/>
          <w:szCs w:val="22"/>
          <w:lang w:val="en-US"/>
        </w:rPr>
        <w:t xml:space="preserve">ould </w:t>
      </w:r>
      <w:r w:rsidR="00440E32">
        <w:rPr>
          <w:rFonts w:asciiTheme="minorHAnsi" w:hAnsiTheme="minorHAnsi"/>
          <w:sz w:val="22"/>
          <w:szCs w:val="22"/>
          <w:lang w:val="en-US"/>
        </w:rPr>
        <w:t xml:space="preserve">receive  </w:t>
      </w:r>
      <w:r w:rsidR="00940247" w:rsidRPr="00A01E42">
        <w:rPr>
          <w:rFonts w:asciiTheme="minorHAnsi" w:hAnsiTheme="minorHAnsi"/>
          <w:sz w:val="22"/>
          <w:szCs w:val="22"/>
          <w:lang w:val="en-US"/>
        </w:rPr>
        <w:t xml:space="preserve">the group support </w:t>
      </w:r>
      <w:r w:rsidR="00440E32">
        <w:rPr>
          <w:rFonts w:asciiTheme="minorHAnsi" w:hAnsiTheme="minorHAnsi"/>
          <w:sz w:val="22"/>
          <w:szCs w:val="22"/>
          <w:lang w:val="en-US"/>
        </w:rPr>
        <w:t>without negatively impacting</w:t>
      </w:r>
      <w:r w:rsidR="00940247" w:rsidRPr="00A01E42">
        <w:rPr>
          <w:rFonts w:asciiTheme="minorHAnsi" w:hAnsiTheme="minorHAnsi"/>
          <w:sz w:val="22"/>
          <w:szCs w:val="22"/>
          <w:lang w:val="en-US"/>
        </w:rPr>
        <w:t xml:space="preserve"> the stability of the provider, even under circumstances of stress. </w:t>
      </w:r>
    </w:p>
    <w:p w:rsidR="0035477B" w:rsidRPr="001631FC" w:rsidRDefault="002D417B" w:rsidP="00C41680">
      <w:pPr>
        <w:pStyle w:val="EBAbodytext"/>
        <w:tabs>
          <w:tab w:val="left" w:pos="0"/>
        </w:tabs>
      </w:pPr>
      <w:r>
        <w:rPr>
          <w:rFonts w:asciiTheme="minorHAnsi" w:hAnsiTheme="minorHAnsi"/>
          <w:sz w:val="22"/>
          <w:szCs w:val="22"/>
          <w:lang w:val="en-US"/>
        </w:rPr>
        <w:lastRenderedPageBreak/>
        <w:t xml:space="preserve">In particular, the EBA specifies how a low liquidity risk profile should be assessed, taking into account </w:t>
      </w:r>
      <w:r w:rsidR="00CB7BD7">
        <w:rPr>
          <w:rFonts w:asciiTheme="minorHAnsi" w:hAnsiTheme="minorHAnsi"/>
          <w:sz w:val="22"/>
          <w:szCs w:val="22"/>
          <w:lang w:val="en-US"/>
        </w:rPr>
        <w:t>Pillar 1 and</w:t>
      </w:r>
      <w:r>
        <w:rPr>
          <w:rFonts w:asciiTheme="minorHAnsi" w:hAnsiTheme="minorHAnsi"/>
          <w:sz w:val="22"/>
          <w:szCs w:val="22"/>
          <w:lang w:val="en-US"/>
        </w:rPr>
        <w:t xml:space="preserve"> Pillar 2 requirements. In addition, several conditions relating to the nature, currency, amount and cost, conditionality or maturity of the internal agreements and commitments are specified. Finally, the EBA has further elaborated on how the liquidity risk management of the liquidity provider should appropriately </w:t>
      </w:r>
      <w:r w:rsidR="00CB7BD7">
        <w:rPr>
          <w:rFonts w:asciiTheme="minorHAnsi" w:hAnsiTheme="minorHAnsi"/>
          <w:sz w:val="22"/>
          <w:szCs w:val="22"/>
          <w:lang w:val="en-US"/>
        </w:rPr>
        <w:t>consider</w:t>
      </w:r>
      <w:r>
        <w:rPr>
          <w:rFonts w:asciiTheme="minorHAnsi" w:hAnsiTheme="minorHAnsi"/>
          <w:sz w:val="22"/>
          <w:szCs w:val="22"/>
          <w:lang w:val="en-US"/>
        </w:rPr>
        <w:t xml:space="preserve"> the liquidity risk profile of the liquidity receiver, taking into account in particular the frequency of calculation of the liquidity position of the liquidity receiver and the integration i</w:t>
      </w:r>
      <w:r w:rsidR="00C41680">
        <w:rPr>
          <w:rFonts w:asciiTheme="minorHAnsi" w:hAnsiTheme="minorHAnsi"/>
          <w:sz w:val="22"/>
          <w:szCs w:val="22"/>
          <w:lang w:val="en-US"/>
        </w:rPr>
        <w:t>n the contingency funding plans.</w:t>
      </w:r>
    </w:p>
    <w:sectPr w:rsidR="0035477B" w:rsidRPr="001631FC" w:rsidSect="00B55FAB">
      <w:headerReference w:type="even" r:id="rId9"/>
      <w:headerReference w:type="default" r:id="rId10"/>
      <w:footerReference w:type="even" r:id="rId11"/>
      <w:footerReference w:type="default" r:id="rId12"/>
      <w:headerReference w:type="first" r:id="rId13"/>
      <w:footerReference w:type="first" r:id="rId14"/>
      <w:pgSz w:w="11900" w:h="16840"/>
      <w:pgMar w:top="2268" w:right="1418"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B42" w:rsidRDefault="00EB2B42" w:rsidP="00A00E34">
      <w:r>
        <w:separator/>
      </w:r>
    </w:p>
    <w:p w:rsidR="00EB2B42" w:rsidRDefault="00EB2B42"/>
  </w:endnote>
  <w:endnote w:type="continuationSeparator" w:id="0">
    <w:p w:rsidR="00EB2B42" w:rsidRDefault="00EB2B42" w:rsidP="00A00E34">
      <w:r>
        <w:continuationSeparator/>
      </w:r>
    </w:p>
    <w:p w:rsidR="00EB2B42" w:rsidRDefault="00EB2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Default="00EB2B4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B42" w:rsidRDefault="00EB2B42" w:rsidP="006103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Default="00EB2B4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4340">
      <w:rPr>
        <w:rStyle w:val="PageNumber"/>
        <w:noProof/>
      </w:rPr>
      <w:t>1</w:t>
    </w:r>
    <w:r>
      <w:rPr>
        <w:rStyle w:val="PageNumber"/>
      </w:rPr>
      <w:fldChar w:fldCharType="end"/>
    </w:r>
  </w:p>
  <w:p w:rsidR="00EB2B42" w:rsidRDefault="00EB2B42" w:rsidP="00610305">
    <w:pPr>
      <w:pStyle w:val="Footer"/>
      <w:ind w:right="360"/>
    </w:pPr>
    <w:r>
      <w:rPr>
        <w:noProof/>
        <w:lang w:val="en-GB" w:eastAsia="en-GB"/>
      </w:rPr>
      <mc:AlternateContent>
        <mc:Choice Requires="wps">
          <w:drawing>
            <wp:anchor distT="4294967294" distB="4294967294" distL="114300" distR="114300" simplePos="0" relativeHeight="251658752" behindDoc="1" locked="1" layoutInCell="1" allowOverlap="1" wp14:anchorId="76A54750" wp14:editId="3DADD095">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Default="00EB2B42">
    <w:pPr>
      <w:pStyle w:val="Footer"/>
    </w:pPr>
    <w:r>
      <w:rPr>
        <w:noProof/>
        <w:lang w:val="en-GB" w:eastAsia="en-GB"/>
      </w:rPr>
      <mc:AlternateContent>
        <mc:Choice Requires="wps">
          <w:drawing>
            <wp:anchor distT="4294967294" distB="4294967294" distL="114300" distR="114300" simplePos="0" relativeHeight="251657728" behindDoc="1" locked="1" layoutInCell="1" allowOverlap="1" wp14:anchorId="7D2A0B6F" wp14:editId="51058C2C">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B42" w:rsidRPr="00DB5E8F" w:rsidRDefault="00EB2B42">
      <w:pPr>
        <w:rPr>
          <w:sz w:val="12"/>
          <w:szCs w:val="12"/>
        </w:rPr>
      </w:pPr>
      <w:r w:rsidRPr="00DB5E8F">
        <w:rPr>
          <w:sz w:val="12"/>
          <w:szCs w:val="12"/>
        </w:rPr>
        <w:separator/>
      </w:r>
    </w:p>
  </w:footnote>
  <w:footnote w:type="continuationSeparator" w:id="0">
    <w:p w:rsidR="00EB2B42" w:rsidRDefault="00EB2B42" w:rsidP="00A00E34">
      <w:r>
        <w:continuationSeparator/>
      </w:r>
    </w:p>
    <w:p w:rsidR="00EB2B42" w:rsidRDefault="00EB2B42"/>
  </w:footnote>
  <w:footnote w:type="continuationNotice" w:id="1">
    <w:p w:rsidR="00EB2B42" w:rsidRDefault="00EB2B42"/>
  </w:footnote>
  <w:footnote w:id="2">
    <w:p w:rsidR="00EB2B42" w:rsidRPr="00F35074" w:rsidRDefault="00EB2B42" w:rsidP="00F7216F">
      <w:pPr>
        <w:pStyle w:val="FootnoteText"/>
        <w:rPr>
          <w:lang w:val="en-GB"/>
        </w:rPr>
      </w:pPr>
      <w:r>
        <w:rPr>
          <w:rStyle w:val="FootnoteReference"/>
        </w:rPr>
        <w:footnoteRef/>
      </w:r>
      <w:r w:rsidRPr="00260BF5">
        <w:t>[the delegated act specifying the liquidity coverage ratio for credit institutions, pursuant to Article 460 of Regulation (EU) No 575/2013]</w:t>
      </w:r>
      <w:r>
        <w:t xml:space="preserve"> </w:t>
      </w:r>
      <w:hyperlink r:id="rId1" w:history="1">
        <w:r w:rsidRPr="007A56A1">
          <w:rPr>
            <w:rStyle w:val="Hyperlink"/>
          </w:rPr>
          <w:t>http://eur-lex.europa.eu/legal-content/EN/TXT/PDF/?uri=OJ:L:2015:011:FULL&amp;from=EN</w:t>
        </w:r>
      </w:hyperlink>
    </w:p>
  </w:footnote>
  <w:footnote w:id="3">
    <w:p w:rsidR="00EB2B42" w:rsidRDefault="00EB2B42">
      <w:pPr>
        <w:pStyle w:val="FootnoteText"/>
      </w:pPr>
      <w:r>
        <w:rPr>
          <w:rStyle w:val="FootnoteReference"/>
        </w:rPr>
        <w:footnoteRef/>
      </w:r>
      <w:r>
        <w:t xml:space="preserve"> </w:t>
      </w:r>
      <w:hyperlink r:id="rId2" w:history="1">
        <w:r w:rsidRPr="00270EF1">
          <w:rPr>
            <w:rStyle w:val="Hyperlink"/>
          </w:rPr>
          <w:t>http://www.eba.europa.eu/-/eba-publishes-reports-on-liquidity</w:t>
        </w:r>
      </w:hyperlink>
    </w:p>
    <w:p w:rsidR="00EB2B42" w:rsidRPr="0066571A" w:rsidRDefault="00EB2B42">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Default="00CD4340">
    <w:sdt>
      <w:sdtPr>
        <w:id w:val="-111202328"/>
        <w:temporary/>
        <w:showingPlcHdr/>
      </w:sdtPr>
      <w:sdtEndPr/>
      <w:sdtContent>
        <w:r w:rsidR="00EB2B42">
          <w:t>[Type text]</w:t>
        </w:r>
      </w:sdtContent>
    </w:sdt>
    <w:r w:rsidR="00EB2B42">
      <w:ptab w:relativeTo="margin" w:alignment="center" w:leader="none"/>
    </w:r>
    <w:sdt>
      <w:sdtPr>
        <w:id w:val="598061015"/>
        <w:temporary/>
        <w:showingPlcHdr/>
      </w:sdtPr>
      <w:sdtEndPr/>
      <w:sdtContent>
        <w:r w:rsidR="00EB2B42">
          <w:t>[Type text]</w:t>
        </w:r>
      </w:sdtContent>
    </w:sdt>
    <w:r w:rsidR="00EB2B42">
      <w:ptab w:relativeTo="margin" w:alignment="right" w:leader="none"/>
    </w:r>
    <w:sdt>
      <w:sdtPr>
        <w:id w:val="909976655"/>
        <w:temporary/>
        <w:showingPlcHdr/>
      </w:sdtPr>
      <w:sdtEndPr/>
      <w:sdtContent>
        <w:r w:rsidR="00EB2B42">
          <w:t>[Type text]</w:t>
        </w:r>
      </w:sdtContent>
    </w:sdt>
  </w:p>
  <w:p w:rsidR="00EB2B42" w:rsidRDefault="00EB2B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Pr="00F9452C" w:rsidRDefault="00EB2B42" w:rsidP="0001662E">
    <w:pPr>
      <w:pStyle w:val="Runningtitle"/>
    </w:pPr>
    <w:r>
      <w:rPr>
        <w:noProof/>
        <w:lang w:val="en-GB" w:eastAsia="en-GB"/>
      </w:rPr>
      <w:drawing>
        <wp:anchor distT="0" distB="0" distL="114300" distR="114300" simplePos="0" relativeHeight="251655680" behindDoc="1" locked="0" layoutInCell="1" allowOverlap="1" wp14:anchorId="0C734845" wp14:editId="3DA82521">
          <wp:simplePos x="0" y="0"/>
          <wp:positionH relativeFrom="column">
            <wp:align>right</wp:align>
          </wp:positionH>
          <wp:positionV relativeFrom="page">
            <wp:posOffset>467995</wp:posOffset>
          </wp:positionV>
          <wp:extent cx="1207770" cy="447675"/>
          <wp:effectExtent l="0" t="0" r="11430" b="9525"/>
          <wp:wrapTight wrapText="bothSides">
            <wp:wrapPolygon edited="0">
              <wp:start x="0" y="0"/>
              <wp:lineTo x="0" y="20834"/>
              <wp:lineTo x="21350" y="20834"/>
              <wp:lineTo x="213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520868">
      <w:t xml:space="preserve"> </w:t>
    </w:r>
  </w:p>
  <w:p w:rsidR="00EB2B42" w:rsidRPr="00F9452C" w:rsidRDefault="00EB2B42" w:rsidP="002C0DCF">
    <w:pPr>
      <w:pStyle w:val="Running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42" w:rsidRDefault="00EB2B42" w:rsidP="0001662E">
    <w:pPr>
      <w:pStyle w:val="Runningtitle"/>
    </w:pPr>
    <w:r>
      <w:rPr>
        <w:noProof/>
        <w:lang w:val="en-GB" w:eastAsia="en-GB"/>
      </w:rPr>
      <w:drawing>
        <wp:anchor distT="0" distB="0" distL="114300" distR="114300" simplePos="0" relativeHeight="251656704" behindDoc="1" locked="1" layoutInCell="1" allowOverlap="0" wp14:anchorId="5027BC05" wp14:editId="1F64E821">
          <wp:simplePos x="0" y="0"/>
          <wp:positionH relativeFrom="page">
            <wp:posOffset>4702175</wp:posOffset>
          </wp:positionH>
          <wp:positionV relativeFrom="page">
            <wp:posOffset>450215</wp:posOffset>
          </wp:positionV>
          <wp:extent cx="1941830" cy="719455"/>
          <wp:effectExtent l="0" t="0" r="0" b="0"/>
          <wp:wrapNone/>
          <wp:docPr id="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val="1"/>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nsid w:val="0D0822F7"/>
    <w:multiLevelType w:val="multilevel"/>
    <w:tmpl w:val="297AAD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13654398"/>
    <w:multiLevelType w:val="hybridMultilevel"/>
    <w:tmpl w:val="C8DC1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2212DE"/>
    <w:multiLevelType w:val="multilevel"/>
    <w:tmpl w:val="15AE08E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18AE12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4277AC"/>
    <w:multiLevelType w:val="hybridMultilevel"/>
    <w:tmpl w:val="84CA9D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nsid w:val="2E7B5123"/>
    <w:multiLevelType w:val="hybridMultilevel"/>
    <w:tmpl w:val="00C2626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19607B3"/>
    <w:multiLevelType w:val="hybridMultilevel"/>
    <w:tmpl w:val="25F6C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E846DF"/>
    <w:multiLevelType w:val="hybridMultilevel"/>
    <w:tmpl w:val="332C69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6C3628"/>
    <w:multiLevelType w:val="multilevel"/>
    <w:tmpl w:val="B6D48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39313BAD"/>
    <w:multiLevelType w:val="multilevel"/>
    <w:tmpl w:val="4F52624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B54DC"/>
    <w:multiLevelType w:val="hybridMultilevel"/>
    <w:tmpl w:val="880259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81714D"/>
    <w:multiLevelType w:val="multilevel"/>
    <w:tmpl w:val="D17628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nsid w:val="42E927BA"/>
    <w:multiLevelType w:val="hybridMultilevel"/>
    <w:tmpl w:val="9F027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C2653F"/>
    <w:multiLevelType w:val="hybridMultilevel"/>
    <w:tmpl w:val="DE3E8D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DA6EA5"/>
    <w:multiLevelType w:val="hybridMultilevel"/>
    <w:tmpl w:val="EA44E5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544F89"/>
    <w:multiLevelType w:val="hybridMultilevel"/>
    <w:tmpl w:val="7FE4DBB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E0718"/>
    <w:multiLevelType w:val="hybridMultilevel"/>
    <w:tmpl w:val="A5645F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8E20EF"/>
    <w:multiLevelType w:val="hybridMultilevel"/>
    <w:tmpl w:val="5C605A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9F04C9"/>
    <w:multiLevelType w:val="hybridMultilevel"/>
    <w:tmpl w:val="61A095D8"/>
    <w:lvl w:ilvl="0" w:tplc="08090017">
      <w:start w:val="1"/>
      <w:numFmt w:val="lowerLetter"/>
      <w:lvlText w:val="%1)"/>
      <w:lvlJc w:val="left"/>
      <w:pPr>
        <w:ind w:left="720" w:hanging="360"/>
      </w:p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6BCD57BB"/>
    <w:multiLevelType w:val="multilevel"/>
    <w:tmpl w:val="DA86C082"/>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5C36E4"/>
    <w:multiLevelType w:val="hybridMultilevel"/>
    <w:tmpl w:val="24F88872"/>
    <w:lvl w:ilvl="0" w:tplc="0809001B">
      <w:start w:val="1"/>
      <w:numFmt w:val="lowerRoman"/>
      <w:lvlText w:val="%1."/>
      <w:lvlJc w:val="right"/>
      <w:pPr>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nsid w:val="76F264F0"/>
    <w:multiLevelType w:val="hybridMultilevel"/>
    <w:tmpl w:val="4BB266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BE4812"/>
    <w:multiLevelType w:val="singleLevel"/>
    <w:tmpl w:val="994EDAFA"/>
    <w:name w:val="Considérant"/>
    <w:lvl w:ilvl="0">
      <w:start w:val="1"/>
      <w:numFmt w:val="decimal"/>
      <w:lvlRestart w:val="0"/>
      <w:lvlText w:val="(%1)"/>
      <w:lvlJc w:val="left"/>
      <w:pPr>
        <w:tabs>
          <w:tab w:val="num" w:pos="709"/>
        </w:tabs>
        <w:ind w:left="709" w:hanging="709"/>
      </w:pPr>
      <w:rPr>
        <w:rFonts w:hint="default"/>
      </w:rPr>
    </w:lvl>
  </w:abstractNum>
  <w:num w:numId="1">
    <w:abstractNumId w:val="20"/>
  </w:num>
  <w:num w:numId="2">
    <w:abstractNumId w:val="2"/>
  </w:num>
  <w:num w:numId="3">
    <w:abstractNumId w:val="10"/>
  </w:num>
  <w:num w:numId="4">
    <w:abstractNumId w:val="16"/>
  </w:num>
  <w:num w:numId="5">
    <w:abstractNumId w:val="29"/>
  </w:num>
  <w:num w:numId="6">
    <w:abstractNumId w:val="1"/>
  </w:num>
  <w:num w:numId="7">
    <w:abstractNumId w:val="28"/>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0"/>
  </w:num>
  <w:num w:numId="16">
    <w:abstractNumId w:val="3"/>
  </w:num>
  <w:num w:numId="17">
    <w:abstractNumId w:val="13"/>
  </w:num>
  <w:num w:numId="18">
    <w:abstractNumId w:val="5"/>
  </w:num>
  <w:num w:numId="19">
    <w:abstractNumId w:val="7"/>
  </w:num>
  <w:num w:numId="20">
    <w:abstractNumId w:val="25"/>
  </w:num>
  <w:num w:numId="21">
    <w:abstractNumId w:val="3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30"/>
  </w:num>
  <w:num w:numId="26">
    <w:abstractNumId w:val="31"/>
  </w:num>
  <w:num w:numId="27">
    <w:abstractNumId w:val="26"/>
  </w:num>
  <w:num w:numId="28">
    <w:abstractNumId w:val="22"/>
  </w:num>
  <w:num w:numId="29">
    <w:abstractNumId w:val="27"/>
  </w:num>
  <w:num w:numId="30">
    <w:abstractNumId w:val="18"/>
  </w:num>
  <w:num w:numId="31">
    <w:abstractNumId w:val="6"/>
  </w:num>
  <w:num w:numId="32">
    <w:abstractNumId w:val="4"/>
  </w:num>
  <w:num w:numId="33">
    <w:abstractNumId w:val="15"/>
  </w:num>
  <w:num w:numId="34">
    <w:abstractNumId w:val="14"/>
  </w:num>
  <w:num w:numId="35">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1"/>
  </w:num>
  <w:num w:numId="38">
    <w:abstractNumId w:val="12"/>
  </w:num>
  <w:num w:numId="39">
    <w:abstractNumId w:val="19"/>
  </w:num>
  <w:num w:numId="40">
    <w:abstractNumId w:val="17"/>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CP 20XX XX (RTS-ITS-GLS ON"/>
  </w:docVars>
  <w:rsids>
    <w:rsidRoot w:val="00007DAE"/>
    <w:rsid w:val="00003F50"/>
    <w:rsid w:val="00007DAE"/>
    <w:rsid w:val="00013281"/>
    <w:rsid w:val="0001662E"/>
    <w:rsid w:val="000203EE"/>
    <w:rsid w:val="000231B7"/>
    <w:rsid w:val="00027CA0"/>
    <w:rsid w:val="00030D65"/>
    <w:rsid w:val="00032436"/>
    <w:rsid w:val="00055670"/>
    <w:rsid w:val="00060F40"/>
    <w:rsid w:val="00061034"/>
    <w:rsid w:val="0006698A"/>
    <w:rsid w:val="0007028E"/>
    <w:rsid w:val="000843CD"/>
    <w:rsid w:val="0009266D"/>
    <w:rsid w:val="000A1C81"/>
    <w:rsid w:val="000A70A3"/>
    <w:rsid w:val="000B1645"/>
    <w:rsid w:val="000C5A8A"/>
    <w:rsid w:val="000C7954"/>
    <w:rsid w:val="000D19C8"/>
    <w:rsid w:val="000D3216"/>
    <w:rsid w:val="000D54DA"/>
    <w:rsid w:val="000D7A44"/>
    <w:rsid w:val="000E0C27"/>
    <w:rsid w:val="000E6D15"/>
    <w:rsid w:val="000F6495"/>
    <w:rsid w:val="000F6FD8"/>
    <w:rsid w:val="0011517F"/>
    <w:rsid w:val="00121BB0"/>
    <w:rsid w:val="0013090C"/>
    <w:rsid w:val="00131C5D"/>
    <w:rsid w:val="0013553F"/>
    <w:rsid w:val="00145D24"/>
    <w:rsid w:val="0014723A"/>
    <w:rsid w:val="00152564"/>
    <w:rsid w:val="00152832"/>
    <w:rsid w:val="00156E77"/>
    <w:rsid w:val="001600FC"/>
    <w:rsid w:val="001631FC"/>
    <w:rsid w:val="001658EA"/>
    <w:rsid w:val="00172007"/>
    <w:rsid w:val="0017446F"/>
    <w:rsid w:val="001834D4"/>
    <w:rsid w:val="0018684D"/>
    <w:rsid w:val="00191592"/>
    <w:rsid w:val="00192287"/>
    <w:rsid w:val="001A016C"/>
    <w:rsid w:val="001A2A81"/>
    <w:rsid w:val="001B2C0D"/>
    <w:rsid w:val="001B6017"/>
    <w:rsid w:val="001B78C6"/>
    <w:rsid w:val="001B7A0B"/>
    <w:rsid w:val="001B7EB3"/>
    <w:rsid w:val="001C1FD9"/>
    <w:rsid w:val="001C5BC2"/>
    <w:rsid w:val="001D0179"/>
    <w:rsid w:val="001E1188"/>
    <w:rsid w:val="001E3599"/>
    <w:rsid w:val="001E7925"/>
    <w:rsid w:val="001F1CB9"/>
    <w:rsid w:val="001F7501"/>
    <w:rsid w:val="00205878"/>
    <w:rsid w:val="00207415"/>
    <w:rsid w:val="00213D7B"/>
    <w:rsid w:val="00214DEC"/>
    <w:rsid w:val="0022253A"/>
    <w:rsid w:val="00224761"/>
    <w:rsid w:val="00224A3F"/>
    <w:rsid w:val="002306C7"/>
    <w:rsid w:val="00232DAF"/>
    <w:rsid w:val="0024032E"/>
    <w:rsid w:val="00241BD8"/>
    <w:rsid w:val="002434B0"/>
    <w:rsid w:val="00260BF5"/>
    <w:rsid w:val="002618E5"/>
    <w:rsid w:val="0027418E"/>
    <w:rsid w:val="0028541F"/>
    <w:rsid w:val="00290DA3"/>
    <w:rsid w:val="0029232E"/>
    <w:rsid w:val="002A7B42"/>
    <w:rsid w:val="002B00FB"/>
    <w:rsid w:val="002B0E2F"/>
    <w:rsid w:val="002C0DCF"/>
    <w:rsid w:val="002D1867"/>
    <w:rsid w:val="002D417B"/>
    <w:rsid w:val="002E7A37"/>
    <w:rsid w:val="002F120F"/>
    <w:rsid w:val="002F2009"/>
    <w:rsid w:val="002F450A"/>
    <w:rsid w:val="002F7928"/>
    <w:rsid w:val="00300924"/>
    <w:rsid w:val="003025A8"/>
    <w:rsid w:val="003129B6"/>
    <w:rsid w:val="00313552"/>
    <w:rsid w:val="00314D6E"/>
    <w:rsid w:val="00316882"/>
    <w:rsid w:val="00317C79"/>
    <w:rsid w:val="00320E57"/>
    <w:rsid w:val="003221EF"/>
    <w:rsid w:val="003248A2"/>
    <w:rsid w:val="003364C9"/>
    <w:rsid w:val="00340CBF"/>
    <w:rsid w:val="00350EE9"/>
    <w:rsid w:val="0035477B"/>
    <w:rsid w:val="00361F47"/>
    <w:rsid w:val="00367665"/>
    <w:rsid w:val="00372BEC"/>
    <w:rsid w:val="0037610E"/>
    <w:rsid w:val="00392385"/>
    <w:rsid w:val="003B108F"/>
    <w:rsid w:val="003B2CEF"/>
    <w:rsid w:val="003B3E9F"/>
    <w:rsid w:val="003C4555"/>
    <w:rsid w:val="003D6C53"/>
    <w:rsid w:val="003D7A72"/>
    <w:rsid w:val="003F2019"/>
    <w:rsid w:val="003F318C"/>
    <w:rsid w:val="00403946"/>
    <w:rsid w:val="00412270"/>
    <w:rsid w:val="00412567"/>
    <w:rsid w:val="00416262"/>
    <w:rsid w:val="004202A3"/>
    <w:rsid w:val="00424530"/>
    <w:rsid w:val="0043577F"/>
    <w:rsid w:val="00440E32"/>
    <w:rsid w:val="004419B3"/>
    <w:rsid w:val="00441F85"/>
    <w:rsid w:val="0045003F"/>
    <w:rsid w:val="0045301B"/>
    <w:rsid w:val="00455E0E"/>
    <w:rsid w:val="00464748"/>
    <w:rsid w:val="00465DEA"/>
    <w:rsid w:val="004719B4"/>
    <w:rsid w:val="00471CA1"/>
    <w:rsid w:val="00471CCE"/>
    <w:rsid w:val="00481AC4"/>
    <w:rsid w:val="00482FB6"/>
    <w:rsid w:val="004860BF"/>
    <w:rsid w:val="00487959"/>
    <w:rsid w:val="00487FF2"/>
    <w:rsid w:val="00495B96"/>
    <w:rsid w:val="004A4670"/>
    <w:rsid w:val="004A5D8B"/>
    <w:rsid w:val="004B2FC0"/>
    <w:rsid w:val="004B75E5"/>
    <w:rsid w:val="004B7784"/>
    <w:rsid w:val="004C1B19"/>
    <w:rsid w:val="004C6392"/>
    <w:rsid w:val="004D1601"/>
    <w:rsid w:val="004D1D7F"/>
    <w:rsid w:val="004D25DA"/>
    <w:rsid w:val="004D31C7"/>
    <w:rsid w:val="004D3F15"/>
    <w:rsid w:val="004E405B"/>
    <w:rsid w:val="004F0AB6"/>
    <w:rsid w:val="004F5352"/>
    <w:rsid w:val="004F63DB"/>
    <w:rsid w:val="00505C08"/>
    <w:rsid w:val="005105EF"/>
    <w:rsid w:val="00520868"/>
    <w:rsid w:val="00523895"/>
    <w:rsid w:val="00533F8F"/>
    <w:rsid w:val="005410AB"/>
    <w:rsid w:val="00552982"/>
    <w:rsid w:val="00562427"/>
    <w:rsid w:val="00565691"/>
    <w:rsid w:val="00571BB6"/>
    <w:rsid w:val="00575BA7"/>
    <w:rsid w:val="00576015"/>
    <w:rsid w:val="00577C4F"/>
    <w:rsid w:val="00582AA7"/>
    <w:rsid w:val="0058477C"/>
    <w:rsid w:val="005903A6"/>
    <w:rsid w:val="005A77F9"/>
    <w:rsid w:val="005B5C09"/>
    <w:rsid w:val="005C18B0"/>
    <w:rsid w:val="005C498B"/>
    <w:rsid w:val="005C58F8"/>
    <w:rsid w:val="005D4005"/>
    <w:rsid w:val="005D40D1"/>
    <w:rsid w:val="005F0EB4"/>
    <w:rsid w:val="005F5E9D"/>
    <w:rsid w:val="005F7EC4"/>
    <w:rsid w:val="00603BFF"/>
    <w:rsid w:val="0060554C"/>
    <w:rsid w:val="006064B8"/>
    <w:rsid w:val="00610305"/>
    <w:rsid w:val="00610419"/>
    <w:rsid w:val="00611DDB"/>
    <w:rsid w:val="00612C7B"/>
    <w:rsid w:val="006224C1"/>
    <w:rsid w:val="006269B7"/>
    <w:rsid w:val="006278F4"/>
    <w:rsid w:val="00633DC7"/>
    <w:rsid w:val="00636E1D"/>
    <w:rsid w:val="0064294A"/>
    <w:rsid w:val="0065550B"/>
    <w:rsid w:val="00663B0A"/>
    <w:rsid w:val="006641F8"/>
    <w:rsid w:val="0066571A"/>
    <w:rsid w:val="00667F69"/>
    <w:rsid w:val="00670254"/>
    <w:rsid w:val="00677D30"/>
    <w:rsid w:val="0068564C"/>
    <w:rsid w:val="006973AC"/>
    <w:rsid w:val="006A2CA5"/>
    <w:rsid w:val="006B4992"/>
    <w:rsid w:val="006C0090"/>
    <w:rsid w:val="006C186D"/>
    <w:rsid w:val="006E3C88"/>
    <w:rsid w:val="006E5C95"/>
    <w:rsid w:val="006F445D"/>
    <w:rsid w:val="00703E4E"/>
    <w:rsid w:val="007071C6"/>
    <w:rsid w:val="00711E1C"/>
    <w:rsid w:val="0072192E"/>
    <w:rsid w:val="00721FBA"/>
    <w:rsid w:val="00730352"/>
    <w:rsid w:val="00736B58"/>
    <w:rsid w:val="00742839"/>
    <w:rsid w:val="00755505"/>
    <w:rsid w:val="0076316D"/>
    <w:rsid w:val="00772993"/>
    <w:rsid w:val="00772D61"/>
    <w:rsid w:val="00774756"/>
    <w:rsid w:val="007815FB"/>
    <w:rsid w:val="00781D80"/>
    <w:rsid w:val="00787D17"/>
    <w:rsid w:val="00790FF5"/>
    <w:rsid w:val="007A0054"/>
    <w:rsid w:val="007A44A6"/>
    <w:rsid w:val="007A4DDD"/>
    <w:rsid w:val="007A5353"/>
    <w:rsid w:val="007B3D63"/>
    <w:rsid w:val="007C55D0"/>
    <w:rsid w:val="007C6A78"/>
    <w:rsid w:val="007C6BE3"/>
    <w:rsid w:val="007F4514"/>
    <w:rsid w:val="00800358"/>
    <w:rsid w:val="00813BAC"/>
    <w:rsid w:val="00813CD4"/>
    <w:rsid w:val="008144E8"/>
    <w:rsid w:val="00821B9D"/>
    <w:rsid w:val="00824236"/>
    <w:rsid w:val="00831E4C"/>
    <w:rsid w:val="00836118"/>
    <w:rsid w:val="0084468C"/>
    <w:rsid w:val="0085157E"/>
    <w:rsid w:val="008552A0"/>
    <w:rsid w:val="00857F89"/>
    <w:rsid w:val="00865492"/>
    <w:rsid w:val="0086607C"/>
    <w:rsid w:val="00867CB4"/>
    <w:rsid w:val="008708AB"/>
    <w:rsid w:val="00874ED5"/>
    <w:rsid w:val="008A35F8"/>
    <w:rsid w:val="008B0B72"/>
    <w:rsid w:val="008B3418"/>
    <w:rsid w:val="008B74A8"/>
    <w:rsid w:val="008C5B82"/>
    <w:rsid w:val="008D281E"/>
    <w:rsid w:val="008F363D"/>
    <w:rsid w:val="008F3908"/>
    <w:rsid w:val="009014B6"/>
    <w:rsid w:val="00912882"/>
    <w:rsid w:val="00912895"/>
    <w:rsid w:val="00920914"/>
    <w:rsid w:val="009210DE"/>
    <w:rsid w:val="0093156C"/>
    <w:rsid w:val="00932A98"/>
    <w:rsid w:val="0093446F"/>
    <w:rsid w:val="00935B53"/>
    <w:rsid w:val="00937450"/>
    <w:rsid w:val="00937772"/>
    <w:rsid w:val="00940247"/>
    <w:rsid w:val="00941FBA"/>
    <w:rsid w:val="00943350"/>
    <w:rsid w:val="00943B87"/>
    <w:rsid w:val="00951BBB"/>
    <w:rsid w:val="0096160F"/>
    <w:rsid w:val="00965B80"/>
    <w:rsid w:val="0096785E"/>
    <w:rsid w:val="0097346E"/>
    <w:rsid w:val="009736EA"/>
    <w:rsid w:val="00973E98"/>
    <w:rsid w:val="00992E28"/>
    <w:rsid w:val="009B1A0F"/>
    <w:rsid w:val="009C12C9"/>
    <w:rsid w:val="009C1CE7"/>
    <w:rsid w:val="009C37D3"/>
    <w:rsid w:val="009D3085"/>
    <w:rsid w:val="009D55F7"/>
    <w:rsid w:val="009D79B6"/>
    <w:rsid w:val="009E76BE"/>
    <w:rsid w:val="009E79BF"/>
    <w:rsid w:val="009F3FE6"/>
    <w:rsid w:val="009F53AF"/>
    <w:rsid w:val="00A00E34"/>
    <w:rsid w:val="00A01E42"/>
    <w:rsid w:val="00A0600E"/>
    <w:rsid w:val="00A10257"/>
    <w:rsid w:val="00A11CE8"/>
    <w:rsid w:val="00A14332"/>
    <w:rsid w:val="00A260E1"/>
    <w:rsid w:val="00A264F5"/>
    <w:rsid w:val="00A27D88"/>
    <w:rsid w:val="00A304D0"/>
    <w:rsid w:val="00A41055"/>
    <w:rsid w:val="00A42E00"/>
    <w:rsid w:val="00A4607D"/>
    <w:rsid w:val="00A53EC9"/>
    <w:rsid w:val="00A61606"/>
    <w:rsid w:val="00A6656B"/>
    <w:rsid w:val="00A6770D"/>
    <w:rsid w:val="00A75F0A"/>
    <w:rsid w:val="00A850CE"/>
    <w:rsid w:val="00A92440"/>
    <w:rsid w:val="00AA745A"/>
    <w:rsid w:val="00AB104D"/>
    <w:rsid w:val="00AD0C73"/>
    <w:rsid w:val="00AD167A"/>
    <w:rsid w:val="00AE1A2D"/>
    <w:rsid w:val="00AE3546"/>
    <w:rsid w:val="00AE5347"/>
    <w:rsid w:val="00AE55F6"/>
    <w:rsid w:val="00AE56DB"/>
    <w:rsid w:val="00B116E3"/>
    <w:rsid w:val="00B11D3C"/>
    <w:rsid w:val="00B13C87"/>
    <w:rsid w:val="00B16348"/>
    <w:rsid w:val="00B1710D"/>
    <w:rsid w:val="00B24695"/>
    <w:rsid w:val="00B32510"/>
    <w:rsid w:val="00B36D5E"/>
    <w:rsid w:val="00B43D66"/>
    <w:rsid w:val="00B4513C"/>
    <w:rsid w:val="00B526A8"/>
    <w:rsid w:val="00B55FAB"/>
    <w:rsid w:val="00B6734E"/>
    <w:rsid w:val="00B7459D"/>
    <w:rsid w:val="00B75EC2"/>
    <w:rsid w:val="00B83D9D"/>
    <w:rsid w:val="00B84529"/>
    <w:rsid w:val="00B96F7F"/>
    <w:rsid w:val="00BB1022"/>
    <w:rsid w:val="00BB2111"/>
    <w:rsid w:val="00BB48E1"/>
    <w:rsid w:val="00BC7FD2"/>
    <w:rsid w:val="00BF07E0"/>
    <w:rsid w:val="00C03AE7"/>
    <w:rsid w:val="00C05D9D"/>
    <w:rsid w:val="00C05F34"/>
    <w:rsid w:val="00C16FD4"/>
    <w:rsid w:val="00C21843"/>
    <w:rsid w:val="00C35592"/>
    <w:rsid w:val="00C356AF"/>
    <w:rsid w:val="00C41680"/>
    <w:rsid w:val="00C41927"/>
    <w:rsid w:val="00C439D6"/>
    <w:rsid w:val="00C43FD9"/>
    <w:rsid w:val="00C44EB2"/>
    <w:rsid w:val="00C47E8F"/>
    <w:rsid w:val="00C501BD"/>
    <w:rsid w:val="00C60915"/>
    <w:rsid w:val="00C964B8"/>
    <w:rsid w:val="00CA2441"/>
    <w:rsid w:val="00CB2C8E"/>
    <w:rsid w:val="00CB6B9A"/>
    <w:rsid w:val="00CB7BD7"/>
    <w:rsid w:val="00CD2932"/>
    <w:rsid w:val="00CD4333"/>
    <w:rsid w:val="00CD4340"/>
    <w:rsid w:val="00CD588A"/>
    <w:rsid w:val="00CD6770"/>
    <w:rsid w:val="00CE69CD"/>
    <w:rsid w:val="00CF2D22"/>
    <w:rsid w:val="00D00053"/>
    <w:rsid w:val="00D01670"/>
    <w:rsid w:val="00D02093"/>
    <w:rsid w:val="00D05C94"/>
    <w:rsid w:val="00D152E7"/>
    <w:rsid w:val="00D21618"/>
    <w:rsid w:val="00D21F91"/>
    <w:rsid w:val="00D23DA5"/>
    <w:rsid w:val="00D40030"/>
    <w:rsid w:val="00D44360"/>
    <w:rsid w:val="00D549B9"/>
    <w:rsid w:val="00D557EE"/>
    <w:rsid w:val="00D56058"/>
    <w:rsid w:val="00D57F4B"/>
    <w:rsid w:val="00D6125E"/>
    <w:rsid w:val="00D656AD"/>
    <w:rsid w:val="00D71F12"/>
    <w:rsid w:val="00D76E91"/>
    <w:rsid w:val="00D872D1"/>
    <w:rsid w:val="00DA4550"/>
    <w:rsid w:val="00DA666A"/>
    <w:rsid w:val="00DB4809"/>
    <w:rsid w:val="00DB5E8F"/>
    <w:rsid w:val="00DC0CE7"/>
    <w:rsid w:val="00DC5709"/>
    <w:rsid w:val="00DC7C3E"/>
    <w:rsid w:val="00DE0784"/>
    <w:rsid w:val="00DE30E0"/>
    <w:rsid w:val="00DF278A"/>
    <w:rsid w:val="00E2113D"/>
    <w:rsid w:val="00E22BCE"/>
    <w:rsid w:val="00E326FF"/>
    <w:rsid w:val="00E33701"/>
    <w:rsid w:val="00E361B0"/>
    <w:rsid w:val="00E62DB8"/>
    <w:rsid w:val="00E64F20"/>
    <w:rsid w:val="00E6525B"/>
    <w:rsid w:val="00E677EF"/>
    <w:rsid w:val="00E733F8"/>
    <w:rsid w:val="00E859DF"/>
    <w:rsid w:val="00E87041"/>
    <w:rsid w:val="00E95201"/>
    <w:rsid w:val="00EA0241"/>
    <w:rsid w:val="00EA1807"/>
    <w:rsid w:val="00EA4947"/>
    <w:rsid w:val="00EA6DF8"/>
    <w:rsid w:val="00EB2B42"/>
    <w:rsid w:val="00EB3709"/>
    <w:rsid w:val="00EB5885"/>
    <w:rsid w:val="00EB731F"/>
    <w:rsid w:val="00EC0C41"/>
    <w:rsid w:val="00EC1594"/>
    <w:rsid w:val="00EC7311"/>
    <w:rsid w:val="00EE13A1"/>
    <w:rsid w:val="00EE456B"/>
    <w:rsid w:val="00EE62A4"/>
    <w:rsid w:val="00F00C37"/>
    <w:rsid w:val="00F02CBA"/>
    <w:rsid w:val="00F034AC"/>
    <w:rsid w:val="00F0534C"/>
    <w:rsid w:val="00F064D1"/>
    <w:rsid w:val="00F160D2"/>
    <w:rsid w:val="00F35074"/>
    <w:rsid w:val="00F374A5"/>
    <w:rsid w:val="00F41C1B"/>
    <w:rsid w:val="00F447C1"/>
    <w:rsid w:val="00F4748D"/>
    <w:rsid w:val="00F612B3"/>
    <w:rsid w:val="00F7064A"/>
    <w:rsid w:val="00F7216F"/>
    <w:rsid w:val="00F747AD"/>
    <w:rsid w:val="00F85C01"/>
    <w:rsid w:val="00F864B2"/>
    <w:rsid w:val="00F942CA"/>
    <w:rsid w:val="00F9452C"/>
    <w:rsid w:val="00FB7206"/>
    <w:rsid w:val="00FC1D72"/>
    <w:rsid w:val="00FD6DE6"/>
    <w:rsid w:val="00FE5577"/>
    <w:rsid w:val="00FF34CA"/>
  </w:rsids>
  <m:mathPr>
    <m:mathFont m:val="Cambria Math"/>
    <m:brkBin m:val="before"/>
    <m:brkBinSub m:val="--"/>
    <m:smallFrac/>
    <m:dispDef/>
    <m:lMargin m:val="0"/>
    <m:rMargin m:val="0"/>
    <m:defJc m:val="centerGroup"/>
    <m:wrapRight/>
    <m:intLim m:val="subSup"/>
    <m:naryLim m:val="subSup"/>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page number" w:unhideWhenUsed="1"/>
    <w:lsdException w:name="List" w:unhideWhenUsed="1" w:qFormat="1"/>
    <w:lsdException w:name="List Bullet" w:semiHidden="0" w:uiPriority="0"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0"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D23DA5"/>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D21618"/>
    <w:pPr>
      <w:tabs>
        <w:tab w:val="left" w:pos="312"/>
        <w:tab w:val="left" w:pos="421"/>
        <w:tab w:val="right" w:pos="8771"/>
      </w:tabs>
      <w:spacing w:before="120" w:after="120"/>
      <w:jc w:val="right"/>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customStyle="1" w:styleId="LightShading1">
    <w:name w:val="Light Shading1"/>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EBAbodytext">
    <w:name w:val="EBA body text"/>
    <w:basedOn w:val="Normal"/>
    <w:uiPriority w:val="99"/>
    <w:rsid w:val="00D05C94"/>
    <w:pPr>
      <w:tabs>
        <w:tab w:val="left" w:pos="284"/>
      </w:tabs>
      <w:spacing w:after="300" w:line="300" w:lineRule="exact"/>
      <w:jc w:val="both"/>
    </w:pPr>
    <w:rPr>
      <w:rFonts w:ascii="Arial" w:eastAsia="Times New Roman" w:hAnsi="Arial" w:cs="Times New Roman"/>
      <w:color w:val="000000"/>
      <w:sz w:val="20"/>
      <w:szCs w:val="20"/>
      <w:lang w:val="en-GB"/>
    </w:rPr>
  </w:style>
  <w:style w:type="paragraph" w:styleId="ListParagraph">
    <w:name w:val="List Paragraph"/>
    <w:basedOn w:val="Normal"/>
    <w:qFormat/>
    <w:rsid w:val="00EE13A1"/>
    <w:pPr>
      <w:ind w:left="720"/>
      <w:contextualSpacing/>
    </w:pPr>
  </w:style>
  <w:style w:type="paragraph" w:customStyle="1" w:styleId="Zkladntext1">
    <w:name w:val="Základní text1"/>
    <w:basedOn w:val="Normal"/>
    <w:uiPriority w:val="99"/>
    <w:rsid w:val="00DC0CE7"/>
    <w:pPr>
      <w:tabs>
        <w:tab w:val="left" w:pos="0"/>
      </w:tabs>
      <w:spacing w:line="300" w:lineRule="exact"/>
      <w:jc w:val="both"/>
    </w:pPr>
    <w:rPr>
      <w:rFonts w:ascii="Arial" w:eastAsia="Times New Roman" w:hAnsi="Arial" w:cs="Times New Roman"/>
      <w:color w:val="000000"/>
      <w:sz w:val="20"/>
      <w:szCs w:val="20"/>
      <w:lang w:val="en-GB"/>
    </w:rPr>
  </w:style>
  <w:style w:type="character" w:styleId="CommentReference">
    <w:name w:val="annotation reference"/>
    <w:basedOn w:val="DefaultParagraphFont"/>
    <w:uiPriority w:val="99"/>
    <w:semiHidden/>
    <w:rsid w:val="00577C4F"/>
    <w:rPr>
      <w:sz w:val="16"/>
      <w:szCs w:val="16"/>
    </w:rPr>
  </w:style>
  <w:style w:type="paragraph" w:styleId="CommentText">
    <w:name w:val="annotation text"/>
    <w:basedOn w:val="Normal"/>
    <w:link w:val="CommentTextChar"/>
    <w:uiPriority w:val="99"/>
    <w:semiHidden/>
    <w:rsid w:val="00577C4F"/>
    <w:rPr>
      <w:sz w:val="20"/>
      <w:szCs w:val="20"/>
    </w:rPr>
  </w:style>
  <w:style w:type="character" w:customStyle="1" w:styleId="CommentTextChar">
    <w:name w:val="Comment Text Char"/>
    <w:basedOn w:val="DefaultParagraphFont"/>
    <w:link w:val="CommentText"/>
    <w:uiPriority w:val="99"/>
    <w:semiHidden/>
    <w:rsid w:val="00577C4F"/>
    <w:rPr>
      <w:sz w:val="20"/>
      <w:szCs w:val="20"/>
    </w:rPr>
  </w:style>
  <w:style w:type="paragraph" w:styleId="CommentSubject">
    <w:name w:val="annotation subject"/>
    <w:basedOn w:val="CommentText"/>
    <w:next w:val="CommentText"/>
    <w:link w:val="CommentSubjectChar"/>
    <w:uiPriority w:val="99"/>
    <w:semiHidden/>
    <w:rsid w:val="0097346E"/>
    <w:rPr>
      <w:b/>
      <w:bCs/>
    </w:rPr>
  </w:style>
  <w:style w:type="character" w:customStyle="1" w:styleId="CommentSubjectChar">
    <w:name w:val="Comment Subject Char"/>
    <w:basedOn w:val="CommentTextChar"/>
    <w:link w:val="CommentSubject"/>
    <w:uiPriority w:val="99"/>
    <w:semiHidden/>
    <w:rsid w:val="0097346E"/>
    <w:rPr>
      <w:b/>
      <w:bCs/>
      <w:sz w:val="20"/>
      <w:szCs w:val="20"/>
    </w:rPr>
  </w:style>
  <w:style w:type="character" w:styleId="FollowedHyperlink">
    <w:name w:val="FollowedHyperlink"/>
    <w:basedOn w:val="DefaultParagraphFont"/>
    <w:uiPriority w:val="99"/>
    <w:semiHidden/>
    <w:rsid w:val="004202A3"/>
    <w:rPr>
      <w:color w:val="800080" w:themeColor="followedHyperlink"/>
      <w:u w:val="single"/>
    </w:rPr>
  </w:style>
  <w:style w:type="paragraph" w:styleId="Revision">
    <w:name w:val="Revision"/>
    <w:hidden/>
    <w:uiPriority w:val="99"/>
    <w:semiHidden/>
    <w:rsid w:val="00F7216F"/>
    <w:rPr>
      <w:sz w:val="22"/>
    </w:rPr>
  </w:style>
  <w:style w:type="paragraph" w:customStyle="1" w:styleId="Standard">
    <w:name w:val="Standard"/>
    <w:rsid w:val="00232DAF"/>
    <w:pPr>
      <w:widowControl w:val="0"/>
      <w:suppressAutoHyphens/>
      <w:autoSpaceDN w:val="0"/>
      <w:textAlignment w:val="baseline"/>
    </w:pPr>
    <w:rPr>
      <w:rFonts w:ascii="Times New Roman" w:eastAsia="SimSun" w:hAnsi="Times New Roman" w:cs="Mangal"/>
      <w:kern w:val="3"/>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page number" w:unhideWhenUsed="1"/>
    <w:lsdException w:name="List" w:unhideWhenUsed="1" w:qFormat="1"/>
    <w:lsdException w:name="List Bullet" w:semiHidden="0" w:uiPriority="0"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0"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D23DA5"/>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D21618"/>
    <w:pPr>
      <w:tabs>
        <w:tab w:val="left" w:pos="312"/>
        <w:tab w:val="left" w:pos="421"/>
        <w:tab w:val="right" w:pos="8771"/>
      </w:tabs>
      <w:spacing w:before="120" w:after="120"/>
      <w:jc w:val="right"/>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customStyle="1" w:styleId="LightShading1">
    <w:name w:val="Light Shading1"/>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EBAbodytext">
    <w:name w:val="EBA body text"/>
    <w:basedOn w:val="Normal"/>
    <w:uiPriority w:val="99"/>
    <w:rsid w:val="00D05C94"/>
    <w:pPr>
      <w:tabs>
        <w:tab w:val="left" w:pos="284"/>
      </w:tabs>
      <w:spacing w:after="300" w:line="300" w:lineRule="exact"/>
      <w:jc w:val="both"/>
    </w:pPr>
    <w:rPr>
      <w:rFonts w:ascii="Arial" w:eastAsia="Times New Roman" w:hAnsi="Arial" w:cs="Times New Roman"/>
      <w:color w:val="000000"/>
      <w:sz w:val="20"/>
      <w:szCs w:val="20"/>
      <w:lang w:val="en-GB"/>
    </w:rPr>
  </w:style>
  <w:style w:type="paragraph" w:styleId="ListParagraph">
    <w:name w:val="List Paragraph"/>
    <w:basedOn w:val="Normal"/>
    <w:qFormat/>
    <w:rsid w:val="00EE13A1"/>
    <w:pPr>
      <w:ind w:left="720"/>
      <w:contextualSpacing/>
    </w:pPr>
  </w:style>
  <w:style w:type="paragraph" w:customStyle="1" w:styleId="Zkladntext1">
    <w:name w:val="Základní text1"/>
    <w:basedOn w:val="Normal"/>
    <w:uiPriority w:val="99"/>
    <w:rsid w:val="00DC0CE7"/>
    <w:pPr>
      <w:tabs>
        <w:tab w:val="left" w:pos="0"/>
      </w:tabs>
      <w:spacing w:line="300" w:lineRule="exact"/>
      <w:jc w:val="both"/>
    </w:pPr>
    <w:rPr>
      <w:rFonts w:ascii="Arial" w:eastAsia="Times New Roman" w:hAnsi="Arial" w:cs="Times New Roman"/>
      <w:color w:val="000000"/>
      <w:sz w:val="20"/>
      <w:szCs w:val="20"/>
      <w:lang w:val="en-GB"/>
    </w:rPr>
  </w:style>
  <w:style w:type="character" w:styleId="CommentReference">
    <w:name w:val="annotation reference"/>
    <w:basedOn w:val="DefaultParagraphFont"/>
    <w:uiPriority w:val="99"/>
    <w:semiHidden/>
    <w:rsid w:val="00577C4F"/>
    <w:rPr>
      <w:sz w:val="16"/>
      <w:szCs w:val="16"/>
    </w:rPr>
  </w:style>
  <w:style w:type="paragraph" w:styleId="CommentText">
    <w:name w:val="annotation text"/>
    <w:basedOn w:val="Normal"/>
    <w:link w:val="CommentTextChar"/>
    <w:uiPriority w:val="99"/>
    <w:semiHidden/>
    <w:rsid w:val="00577C4F"/>
    <w:rPr>
      <w:sz w:val="20"/>
      <w:szCs w:val="20"/>
    </w:rPr>
  </w:style>
  <w:style w:type="character" w:customStyle="1" w:styleId="CommentTextChar">
    <w:name w:val="Comment Text Char"/>
    <w:basedOn w:val="DefaultParagraphFont"/>
    <w:link w:val="CommentText"/>
    <w:uiPriority w:val="99"/>
    <w:semiHidden/>
    <w:rsid w:val="00577C4F"/>
    <w:rPr>
      <w:sz w:val="20"/>
      <w:szCs w:val="20"/>
    </w:rPr>
  </w:style>
  <w:style w:type="paragraph" w:styleId="CommentSubject">
    <w:name w:val="annotation subject"/>
    <w:basedOn w:val="CommentText"/>
    <w:next w:val="CommentText"/>
    <w:link w:val="CommentSubjectChar"/>
    <w:uiPriority w:val="99"/>
    <w:semiHidden/>
    <w:rsid w:val="0097346E"/>
    <w:rPr>
      <w:b/>
      <w:bCs/>
    </w:rPr>
  </w:style>
  <w:style w:type="character" w:customStyle="1" w:styleId="CommentSubjectChar">
    <w:name w:val="Comment Subject Char"/>
    <w:basedOn w:val="CommentTextChar"/>
    <w:link w:val="CommentSubject"/>
    <w:uiPriority w:val="99"/>
    <w:semiHidden/>
    <w:rsid w:val="0097346E"/>
    <w:rPr>
      <w:b/>
      <w:bCs/>
      <w:sz w:val="20"/>
      <w:szCs w:val="20"/>
    </w:rPr>
  </w:style>
  <w:style w:type="character" w:styleId="FollowedHyperlink">
    <w:name w:val="FollowedHyperlink"/>
    <w:basedOn w:val="DefaultParagraphFont"/>
    <w:uiPriority w:val="99"/>
    <w:semiHidden/>
    <w:rsid w:val="004202A3"/>
    <w:rPr>
      <w:color w:val="800080" w:themeColor="followedHyperlink"/>
      <w:u w:val="single"/>
    </w:rPr>
  </w:style>
  <w:style w:type="paragraph" w:styleId="Revision">
    <w:name w:val="Revision"/>
    <w:hidden/>
    <w:uiPriority w:val="99"/>
    <w:semiHidden/>
    <w:rsid w:val="00F7216F"/>
    <w:rPr>
      <w:sz w:val="22"/>
    </w:rPr>
  </w:style>
  <w:style w:type="paragraph" w:customStyle="1" w:styleId="Standard">
    <w:name w:val="Standard"/>
    <w:rsid w:val="00232DAF"/>
    <w:pPr>
      <w:widowControl w:val="0"/>
      <w:suppressAutoHyphens/>
      <w:autoSpaceDN w:val="0"/>
      <w:textAlignment w:val="baseline"/>
    </w:pPr>
    <w:rPr>
      <w:rFonts w:ascii="Times New Roman" w:eastAsia="SimSun" w:hAnsi="Times New Roman" w:cs="Mangal"/>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eba.europa.eu/-/eba-publishes-reports-on-liquidity" TargetMode="External"/><Relationship Id="rId1" Type="http://schemas.openxmlformats.org/officeDocument/2006/relationships/hyperlink" Target="http://eur-lex.europa.eu/legal-content/EN/TXT/PDF/?uri=OJ:L:2015:011:FULL&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C64B-24AC-406B-9862-3F884E24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8BE183F3</Template>
  <TotalTime>2</TotalTime>
  <Pages>6</Pages>
  <Words>1440</Words>
  <Characters>8212</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OP</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c:creator>
  <cp:lastModifiedBy>agoodwin</cp:lastModifiedBy>
  <cp:revision>3</cp:revision>
  <cp:lastPrinted>2013-08-26T13:25:00Z</cp:lastPrinted>
  <dcterms:created xsi:type="dcterms:W3CDTF">2015-12-15T13:00:00Z</dcterms:created>
  <dcterms:modified xsi:type="dcterms:W3CDTF">2015-12-15T13:26:00Z</dcterms:modified>
</cp:coreProperties>
</file>