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47C3" w14:textId="69E14B58" w:rsidR="005673AC" w:rsidRPr="00107FFE" w:rsidRDefault="00C122DA" w:rsidP="00C122DA">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bookmarkStart w:id="10" w:name="_GoBack"/>
      <w:bookmarkEnd w:id="10"/>
      <w:r w:rsidRPr="00107FFE">
        <w:rPr>
          <w:noProof/>
        </w:rPr>
        <w:t xml:space="preserve">ANNEX </w:t>
      </w:r>
      <w:r w:rsidR="00297132" w:rsidRPr="00107FFE">
        <w:rPr>
          <w:noProof/>
        </w:rPr>
        <w:t>VII</w:t>
      </w:r>
      <w:r w:rsidR="00BE4814" w:rsidRPr="00107FFE">
        <w:rPr>
          <w:noProof/>
        </w:rPr>
        <w:t xml:space="preserve"> </w:t>
      </w:r>
      <w:r w:rsidR="005673AC" w:rsidRPr="00107FFE">
        <w:rPr>
          <w:noProof/>
        </w:rPr>
        <w:t>–</w:t>
      </w:r>
      <w:r w:rsidRPr="00107FFE">
        <w:rPr>
          <w:noProof/>
        </w:rPr>
        <w:t xml:space="preserve"> Instructions for o</w:t>
      </w:r>
      <w:r w:rsidR="005673AC" w:rsidRPr="00107FFE">
        <w:rPr>
          <w:noProof/>
        </w:rPr>
        <w:t>wn funds</w:t>
      </w:r>
      <w:r w:rsidRPr="00107FFE">
        <w:rPr>
          <w:noProof/>
        </w:rPr>
        <w:t xml:space="preserve"> disclosure templates</w:t>
      </w:r>
    </w:p>
    <w:p w14:paraId="4943F3A0" w14:textId="4F455AF8" w:rsidR="009B5CAD" w:rsidRPr="00107FFE" w:rsidRDefault="009B5CAD" w:rsidP="009B5CAD">
      <w:pPr>
        <w:rPr>
          <w:rFonts w:ascii="Times New Roman" w:hAnsi="Times New Roman" w:cs="Times New Roman"/>
          <w:sz w:val="24"/>
          <w:lang w:val="en-GB"/>
        </w:rPr>
      </w:pPr>
    </w:p>
    <w:p w14:paraId="65A492D2" w14:textId="4E8911F7" w:rsidR="001F2493" w:rsidRPr="00107FFE" w:rsidRDefault="001F2493" w:rsidP="00267DE1">
      <w:pPr>
        <w:rPr>
          <w:rFonts w:ascii="Times New Roman" w:hAnsi="Times New Roman" w:cs="Times New Roman"/>
          <w:b/>
          <w:bCs/>
          <w:sz w:val="24"/>
        </w:rPr>
      </w:pPr>
      <w:r w:rsidRPr="00107FFE">
        <w:rPr>
          <w:rFonts w:ascii="Times New Roman" w:hAnsi="Times New Roman" w:cs="Times New Roman"/>
          <w:b/>
          <w:bCs/>
          <w:sz w:val="24"/>
        </w:rPr>
        <w:t>Template EU IF CC1.01</w:t>
      </w:r>
      <w:r w:rsidR="00970F84">
        <w:rPr>
          <w:rFonts w:ascii="Times New Roman" w:hAnsi="Times New Roman" w:cs="Times New Roman"/>
          <w:b/>
          <w:bCs/>
          <w:sz w:val="24"/>
        </w:rPr>
        <w:t xml:space="preserve">, </w:t>
      </w:r>
      <w:r w:rsidRPr="00107FFE">
        <w:rPr>
          <w:rFonts w:ascii="Times New Roman" w:hAnsi="Times New Roman" w:cs="Times New Roman"/>
          <w:b/>
          <w:bCs/>
          <w:sz w:val="24"/>
        </w:rPr>
        <w:t>EU IF CC1.02</w:t>
      </w:r>
      <w:r w:rsidR="00970F84">
        <w:rPr>
          <w:rFonts w:ascii="Times New Roman" w:hAnsi="Times New Roman" w:cs="Times New Roman"/>
          <w:b/>
          <w:bCs/>
          <w:sz w:val="24"/>
        </w:rPr>
        <w:t xml:space="preserve"> </w:t>
      </w:r>
      <w:proofErr w:type="gramStart"/>
      <w:r w:rsidR="00970F84">
        <w:rPr>
          <w:rFonts w:ascii="Times New Roman" w:hAnsi="Times New Roman" w:cs="Times New Roman"/>
          <w:b/>
          <w:bCs/>
          <w:sz w:val="24"/>
        </w:rPr>
        <w:t xml:space="preserve">and </w:t>
      </w:r>
      <w:r w:rsidRPr="00107FFE">
        <w:rPr>
          <w:rFonts w:ascii="Times New Roman" w:hAnsi="Times New Roman" w:cs="Times New Roman"/>
          <w:b/>
          <w:bCs/>
          <w:sz w:val="24"/>
        </w:rPr>
        <w:t xml:space="preserve"> </w:t>
      </w:r>
      <w:r w:rsidR="00970F84">
        <w:rPr>
          <w:rFonts w:ascii="Times New Roman" w:hAnsi="Times New Roman" w:cs="Times New Roman"/>
          <w:b/>
          <w:bCs/>
          <w:sz w:val="24"/>
        </w:rPr>
        <w:t>EU</w:t>
      </w:r>
      <w:proofErr w:type="gramEnd"/>
      <w:r w:rsidR="00970F84">
        <w:rPr>
          <w:rFonts w:ascii="Times New Roman" w:hAnsi="Times New Roman" w:cs="Times New Roman"/>
          <w:b/>
          <w:bCs/>
          <w:sz w:val="24"/>
        </w:rPr>
        <w:t xml:space="preserve"> IF CC1.03 </w:t>
      </w:r>
      <w:r w:rsidRPr="00107FFE">
        <w:rPr>
          <w:rFonts w:ascii="Times New Roman" w:hAnsi="Times New Roman" w:cs="Times New Roman"/>
          <w:b/>
          <w:bCs/>
          <w:sz w:val="24"/>
        </w:rPr>
        <w:t>- Composition of regulatory own funds</w:t>
      </w:r>
    </w:p>
    <w:p w14:paraId="43E4F12C" w14:textId="56C9E270" w:rsidR="001F2493" w:rsidRPr="00107FFE" w:rsidRDefault="001F2493" w:rsidP="00267DE1">
      <w:pPr>
        <w:rPr>
          <w:rFonts w:ascii="Times New Roman" w:hAnsi="Times New Roman" w:cs="Times New Roman"/>
          <w:noProof/>
          <w:sz w:val="24"/>
        </w:rPr>
      </w:pPr>
    </w:p>
    <w:p w14:paraId="3F82D784" w14:textId="41F68C15" w:rsidR="001F2493" w:rsidRPr="00107FFE" w:rsidRDefault="001F2493" w:rsidP="00464493">
      <w:pPr>
        <w:numPr>
          <w:ilvl w:val="0"/>
          <w:numId w:val="11"/>
        </w:numPr>
        <w:spacing w:before="120" w:after="120"/>
        <w:jc w:val="both"/>
        <w:rPr>
          <w:rFonts w:ascii="Times New Roman" w:hAnsi="Times New Roman" w:cs="Times New Roman"/>
          <w:bCs/>
          <w:sz w:val="24"/>
        </w:rPr>
      </w:pPr>
      <w:r w:rsidRPr="00107FFE">
        <w:rPr>
          <w:rFonts w:ascii="Times New Roman" w:hAnsi="Times New Roman" w:cs="Times New Roman"/>
          <w:bCs/>
          <w:sz w:val="24"/>
        </w:rPr>
        <w:t xml:space="preserve">Investment firms shall apply the instructions provided in this Annex in order to complete template EU IF CC1 as presented in Annex </w:t>
      </w:r>
      <w:r w:rsidR="00297132" w:rsidRPr="00107FFE">
        <w:rPr>
          <w:rFonts w:ascii="Times New Roman" w:hAnsi="Times New Roman" w:cs="Times New Roman"/>
          <w:bCs/>
          <w:sz w:val="24"/>
        </w:rPr>
        <w:t>VI</w:t>
      </w:r>
      <w:r w:rsidRPr="00107FFE">
        <w:rPr>
          <w:rFonts w:ascii="Times New Roman" w:hAnsi="Times New Roman" w:cs="Times New Roman"/>
          <w:bCs/>
          <w:sz w:val="24"/>
        </w:rPr>
        <w:t xml:space="preserve"> according to Article 49 (a) and (c) of</w:t>
      </w:r>
      <w:r w:rsidR="00464493" w:rsidRPr="00107FFE">
        <w:rPr>
          <w:rFonts w:ascii="Times New Roman" w:hAnsi="Times New Roman" w:cs="Times New Roman"/>
          <w:bCs/>
          <w:sz w:val="24"/>
        </w:rPr>
        <w:t xml:space="preserve"> Regulation (EU) No 2019/2033 on the prudential requirements of investment firms(</w:t>
      </w:r>
      <w:r w:rsidRPr="00107FFE">
        <w:rPr>
          <w:rFonts w:ascii="Times New Roman" w:hAnsi="Times New Roman" w:cs="Times New Roman"/>
          <w:bCs/>
          <w:sz w:val="24"/>
        </w:rPr>
        <w:t>IFR</w:t>
      </w:r>
      <w:r w:rsidR="00464493" w:rsidRPr="00107FFE">
        <w:rPr>
          <w:rFonts w:ascii="Times New Roman" w:hAnsi="Times New Roman" w:cs="Times New Roman"/>
          <w:bCs/>
          <w:sz w:val="24"/>
        </w:rPr>
        <w:t>)</w:t>
      </w:r>
      <w:r w:rsidRPr="00107FFE">
        <w:rPr>
          <w:rFonts w:ascii="Times New Roman" w:hAnsi="Times New Roman" w:cs="Times New Roman"/>
          <w:bCs/>
          <w:sz w:val="24"/>
        </w:rPr>
        <w:t>.</w:t>
      </w:r>
    </w:p>
    <w:p w14:paraId="2F78315D" w14:textId="725F5926" w:rsidR="001F2493" w:rsidRPr="00107FFE" w:rsidRDefault="001F2493" w:rsidP="001F2493">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 xml:space="preserve">Investment firms </w:t>
      </w:r>
      <w:r w:rsidR="00D841FF" w:rsidRPr="00107FFE">
        <w:rPr>
          <w:rFonts w:ascii="Times New Roman" w:hAnsi="Times New Roman" w:cs="Times New Roman"/>
          <w:bCs/>
          <w:sz w:val="24"/>
        </w:rPr>
        <w:t>shall</w:t>
      </w:r>
      <w:r w:rsidRPr="00107FFE">
        <w:rPr>
          <w:rFonts w:ascii="Times New Roman" w:hAnsi="Times New Roman" w:cs="Times New Roman"/>
          <w:bCs/>
          <w:sz w:val="24"/>
        </w:rPr>
        <w:t xml:space="preserve"> complete column (b) to </w:t>
      </w:r>
      <w:r w:rsidR="00464493" w:rsidRPr="00107FFE">
        <w:rPr>
          <w:rFonts w:ascii="Times New Roman" w:hAnsi="Times New Roman" w:cs="Times New Roman"/>
          <w:bCs/>
          <w:sz w:val="24"/>
        </w:rPr>
        <w:t xml:space="preserve">explain </w:t>
      </w:r>
      <w:r w:rsidRPr="00107FFE">
        <w:rPr>
          <w:rFonts w:ascii="Times New Roman" w:hAnsi="Times New Roman" w:cs="Times New Roman"/>
          <w:bCs/>
          <w:sz w:val="24"/>
        </w:rPr>
        <w:t xml:space="preserve">the source of every major input, which is to </w:t>
      </w:r>
      <w:proofErr w:type="gramStart"/>
      <w:r w:rsidRPr="00107FFE">
        <w:rPr>
          <w:rFonts w:ascii="Times New Roman" w:hAnsi="Times New Roman" w:cs="Times New Roman"/>
          <w:bCs/>
          <w:sz w:val="24"/>
        </w:rPr>
        <w:t>be cross-referenced</w:t>
      </w:r>
      <w:proofErr w:type="gramEnd"/>
      <w:r w:rsidRPr="00107FFE">
        <w:rPr>
          <w:rFonts w:ascii="Times New Roman" w:hAnsi="Times New Roman" w:cs="Times New Roman"/>
          <w:bCs/>
          <w:sz w:val="24"/>
        </w:rPr>
        <w:t xml:space="preserve"> to the corresponding rows in Template EU </w:t>
      </w:r>
      <w:r w:rsidR="00464493" w:rsidRPr="00107FFE">
        <w:rPr>
          <w:rFonts w:ascii="Times New Roman" w:hAnsi="Times New Roman" w:cs="Times New Roman"/>
          <w:bCs/>
          <w:sz w:val="24"/>
        </w:rPr>
        <w:t xml:space="preserve">IF </w:t>
      </w:r>
      <w:r w:rsidRPr="00107FFE">
        <w:rPr>
          <w:rFonts w:ascii="Times New Roman" w:hAnsi="Times New Roman" w:cs="Times New Roman"/>
          <w:bCs/>
          <w:sz w:val="24"/>
        </w:rPr>
        <w:t>CC2.</w:t>
      </w:r>
    </w:p>
    <w:p w14:paraId="310A96ED" w14:textId="3392F3D9" w:rsidR="001F2493" w:rsidRPr="00107FFE" w:rsidRDefault="001F2493" w:rsidP="001F2493">
      <w:pPr>
        <w:numPr>
          <w:ilvl w:val="0"/>
          <w:numId w:val="11"/>
        </w:numPr>
        <w:spacing w:before="120" w:after="120"/>
        <w:jc w:val="both"/>
        <w:rPr>
          <w:rFonts w:ascii="Times New Roman" w:hAnsi="Times New Roman" w:cs="Times New Roman"/>
          <w:bCs/>
          <w:sz w:val="24"/>
        </w:rPr>
      </w:pPr>
      <w:r w:rsidRPr="00107FFE">
        <w:rPr>
          <w:rFonts w:ascii="Times New Roman" w:hAnsi="Times New Roman" w:cs="Times New Roman"/>
          <w:bCs/>
          <w:sz w:val="24"/>
        </w:rPr>
        <w:t xml:space="preserve">Investment firms shall include in the narrative accompanying the template a description of all restrictions applied to the calculation of own funds in accordance with </w:t>
      </w:r>
      <w:r w:rsidR="00464493" w:rsidRPr="00107FFE">
        <w:rPr>
          <w:rFonts w:ascii="Times New Roman" w:hAnsi="Times New Roman" w:cs="Times New Roman"/>
          <w:bCs/>
          <w:sz w:val="24"/>
        </w:rPr>
        <w:t xml:space="preserve">Article 49 (1) (c) </w:t>
      </w:r>
      <w:r w:rsidR="00B829D2">
        <w:rPr>
          <w:rFonts w:ascii="Times New Roman" w:hAnsi="Times New Roman" w:cs="Times New Roman"/>
          <w:bCs/>
          <w:sz w:val="24"/>
        </w:rPr>
        <w:t>IFR</w:t>
      </w:r>
      <w:r w:rsidRPr="00107FFE">
        <w:rPr>
          <w:rFonts w:ascii="Times New Roman" w:hAnsi="Times New Roman" w:cs="Times New Roman"/>
          <w:bCs/>
          <w:sz w:val="24"/>
        </w:rPr>
        <w:t xml:space="preserve"> and the instruments and deductions to which those restrictions apply. They shall also explain the main changes in the </w:t>
      </w:r>
      <w:r w:rsidR="00464493" w:rsidRPr="00107FFE">
        <w:rPr>
          <w:rFonts w:ascii="Times New Roman" w:hAnsi="Times New Roman" w:cs="Times New Roman"/>
          <w:bCs/>
          <w:sz w:val="24"/>
        </w:rPr>
        <w:t xml:space="preserve">amounts </w:t>
      </w:r>
      <w:r w:rsidRPr="00107FFE">
        <w:rPr>
          <w:rFonts w:ascii="Times New Roman" w:hAnsi="Times New Roman" w:cs="Times New Roman"/>
          <w:bCs/>
          <w:sz w:val="24"/>
        </w:rPr>
        <w:t>disclosed compared with previous disclosure periods.</w:t>
      </w:r>
    </w:p>
    <w:p w14:paraId="680D774B" w14:textId="1AC9EC93" w:rsidR="001F2493" w:rsidRPr="00107FFE" w:rsidRDefault="001F2493" w:rsidP="001F2493">
      <w:pPr>
        <w:numPr>
          <w:ilvl w:val="0"/>
          <w:numId w:val="11"/>
        </w:numPr>
        <w:spacing w:before="120" w:after="120"/>
        <w:jc w:val="both"/>
        <w:rPr>
          <w:rFonts w:ascii="Times New Roman" w:hAnsi="Times New Roman" w:cs="Times New Roman"/>
          <w:bCs/>
          <w:sz w:val="24"/>
        </w:rPr>
      </w:pPr>
      <w:r w:rsidRPr="00107FFE">
        <w:rPr>
          <w:rFonts w:ascii="Times New Roman" w:hAnsi="Times New Roman" w:cs="Times New Roman"/>
          <w:bCs/>
          <w:sz w:val="24"/>
        </w:rPr>
        <w:t xml:space="preserve">This template is fixed, </w:t>
      </w:r>
      <w:r w:rsidR="00464493" w:rsidRPr="00107FFE">
        <w:rPr>
          <w:rFonts w:ascii="Times New Roman" w:hAnsi="Times New Roman" w:cs="Times New Roman"/>
          <w:bCs/>
          <w:sz w:val="24"/>
        </w:rPr>
        <w:t>and</w:t>
      </w:r>
      <w:r w:rsidRPr="00107FFE">
        <w:rPr>
          <w:rFonts w:ascii="Times New Roman" w:hAnsi="Times New Roman" w:cs="Times New Roman"/>
          <w:bCs/>
          <w:sz w:val="24"/>
        </w:rPr>
        <w:t xml:space="preserve"> investment firms shall disclose it with exactly the same format provided in Anne</w:t>
      </w:r>
      <w:r w:rsidR="00C601DB" w:rsidRPr="00107FFE">
        <w:rPr>
          <w:rFonts w:ascii="Times New Roman" w:hAnsi="Times New Roman" w:cs="Times New Roman"/>
          <w:bCs/>
          <w:sz w:val="24"/>
        </w:rPr>
        <w:t>x</w:t>
      </w:r>
      <w:r w:rsidRPr="00107FFE">
        <w:rPr>
          <w:rFonts w:ascii="Times New Roman" w:hAnsi="Times New Roman" w:cs="Times New Roman"/>
          <w:bCs/>
          <w:sz w:val="24"/>
        </w:rPr>
        <w:t xml:space="preserve"> </w:t>
      </w:r>
      <w:r w:rsidR="00464493" w:rsidRPr="00107FFE">
        <w:rPr>
          <w:rFonts w:ascii="Times New Roman" w:hAnsi="Times New Roman" w:cs="Times New Roman"/>
          <w:bCs/>
          <w:sz w:val="24"/>
        </w:rPr>
        <w:t>VI</w:t>
      </w:r>
      <w:r w:rsidRPr="00107FFE">
        <w:rPr>
          <w:rFonts w:ascii="Times New Roman" w:hAnsi="Times New Roman" w:cs="Times New Roman"/>
          <w:bCs/>
          <w:sz w:val="24"/>
        </w:rPr>
        <w:t>.</w:t>
      </w:r>
    </w:p>
    <w:p w14:paraId="6E6CA5BC" w14:textId="6770ACBF" w:rsidR="001F2493" w:rsidRPr="00107FFE" w:rsidRDefault="00970F84" w:rsidP="001F2493">
      <w:pPr>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I</w:t>
      </w:r>
      <w:r w:rsidR="001F2493" w:rsidRPr="00107FFE">
        <w:rPr>
          <w:rFonts w:ascii="Times New Roman" w:hAnsi="Times New Roman" w:cs="Times New Roman"/>
          <w:bCs/>
          <w:sz w:val="24"/>
        </w:rPr>
        <w:t xml:space="preserve">nvestment firms </w:t>
      </w:r>
      <w:r>
        <w:rPr>
          <w:rFonts w:ascii="Times New Roman" w:hAnsi="Times New Roman" w:cs="Times New Roman"/>
          <w:bCs/>
          <w:sz w:val="24"/>
        </w:rPr>
        <w:t xml:space="preserve">other than small and non-interconnected </w:t>
      </w:r>
      <w:r w:rsidR="001F2493" w:rsidRPr="00107FFE">
        <w:rPr>
          <w:rFonts w:ascii="Times New Roman" w:hAnsi="Times New Roman" w:cs="Times New Roman"/>
          <w:bCs/>
          <w:sz w:val="24"/>
        </w:rPr>
        <w:t>shall disclose the information on composition of own funds in accordance with Template EU IF CC1.01 in Annex V</w:t>
      </w:r>
      <w:r w:rsidR="00464493" w:rsidRPr="00107FFE">
        <w:rPr>
          <w:rFonts w:ascii="Times New Roman" w:hAnsi="Times New Roman" w:cs="Times New Roman"/>
          <w:bCs/>
          <w:sz w:val="24"/>
        </w:rPr>
        <w:t>I</w:t>
      </w:r>
      <w:r w:rsidR="001F2493" w:rsidRPr="00107FFE">
        <w:rPr>
          <w:rFonts w:ascii="Times New Roman" w:hAnsi="Times New Roman" w:cs="Times New Roman"/>
          <w:bCs/>
          <w:sz w:val="24"/>
        </w:rPr>
        <w:t xml:space="preserve">. </w:t>
      </w:r>
      <w:r>
        <w:rPr>
          <w:rFonts w:ascii="Times New Roman" w:hAnsi="Times New Roman" w:cs="Times New Roman"/>
          <w:bCs/>
          <w:sz w:val="24"/>
        </w:rPr>
        <w:t>Small and non-interconnected</w:t>
      </w:r>
      <w:r w:rsidR="001F2493" w:rsidRPr="00107FFE">
        <w:rPr>
          <w:rFonts w:ascii="Times New Roman" w:hAnsi="Times New Roman" w:cs="Times New Roman"/>
          <w:bCs/>
          <w:sz w:val="24"/>
        </w:rPr>
        <w:t xml:space="preserve"> </w:t>
      </w:r>
      <w:r w:rsidR="00683CA4">
        <w:rPr>
          <w:rFonts w:ascii="Times New Roman" w:hAnsi="Times New Roman" w:cs="Times New Roman"/>
          <w:bCs/>
          <w:sz w:val="24"/>
        </w:rPr>
        <w:t>investment firms</w:t>
      </w:r>
      <w:r w:rsidR="00683CA4" w:rsidRPr="00107FFE">
        <w:rPr>
          <w:rFonts w:ascii="Times New Roman" w:hAnsi="Times New Roman" w:cs="Times New Roman"/>
          <w:bCs/>
          <w:sz w:val="24"/>
        </w:rPr>
        <w:t xml:space="preserve"> </w:t>
      </w:r>
      <w:r w:rsidR="001F2493" w:rsidRPr="00107FFE">
        <w:rPr>
          <w:rFonts w:ascii="Times New Roman" w:hAnsi="Times New Roman" w:cs="Times New Roman"/>
          <w:bCs/>
          <w:sz w:val="24"/>
        </w:rPr>
        <w:t>with Additional Tier 1 instruments issuances shall disclose the information on composition of own funds in accordance with Template EU IF CC1.02 also in Annex V</w:t>
      </w:r>
      <w:r w:rsidR="00CE5E92">
        <w:rPr>
          <w:rFonts w:ascii="Times New Roman" w:hAnsi="Times New Roman" w:cs="Times New Roman"/>
          <w:bCs/>
          <w:sz w:val="24"/>
        </w:rPr>
        <w:t>I</w:t>
      </w:r>
      <w:r w:rsidR="001F2493" w:rsidRPr="00107FFE">
        <w:rPr>
          <w:rFonts w:ascii="Times New Roman" w:hAnsi="Times New Roman" w:cs="Times New Roman"/>
          <w:bCs/>
          <w:sz w:val="24"/>
        </w:rPr>
        <w:t>.</w:t>
      </w:r>
    </w:p>
    <w:p w14:paraId="47B06C4C" w14:textId="55BD0A4C" w:rsidR="00E2207A" w:rsidRPr="00107FFE" w:rsidRDefault="00E2207A" w:rsidP="00E2207A">
      <w:pPr>
        <w:ind w:left="360"/>
        <w:rPr>
          <w:rFonts w:ascii="Times New Roman" w:hAnsi="Times New Roman" w:cs="Times New Roman"/>
          <w:b/>
          <w:bCs/>
          <w:sz w:val="24"/>
        </w:rPr>
      </w:pPr>
      <w:r w:rsidRPr="00107FFE">
        <w:rPr>
          <w:rFonts w:ascii="Times New Roman" w:hAnsi="Times New Roman" w:cs="Times New Roman"/>
          <w:b/>
          <w:bCs/>
          <w:sz w:val="24"/>
        </w:rPr>
        <w:t>Template EU IF CC1.01 - Composition of regulatory own funds (</w:t>
      </w:r>
      <w:r w:rsidR="00970F84">
        <w:rPr>
          <w:rFonts w:ascii="Times New Roman" w:hAnsi="Times New Roman" w:cs="Times New Roman"/>
          <w:bCs/>
          <w:sz w:val="24"/>
        </w:rPr>
        <w:t>I</w:t>
      </w:r>
      <w:r w:rsidR="00970F84" w:rsidRPr="00107FFE">
        <w:rPr>
          <w:rFonts w:ascii="Times New Roman" w:hAnsi="Times New Roman" w:cs="Times New Roman"/>
          <w:bCs/>
          <w:sz w:val="24"/>
        </w:rPr>
        <w:t xml:space="preserve">nvestment firms </w:t>
      </w:r>
      <w:r w:rsidR="00970F84">
        <w:rPr>
          <w:rFonts w:ascii="Times New Roman" w:hAnsi="Times New Roman" w:cs="Times New Roman"/>
          <w:bCs/>
          <w:sz w:val="24"/>
        </w:rPr>
        <w:t>other than small and non-interconnected</w:t>
      </w:r>
      <w:r w:rsidRPr="00107FFE">
        <w:rPr>
          <w:rFonts w:ascii="Times New Roman" w:hAnsi="Times New Roman" w:cs="Times New Roman"/>
          <w:b/>
          <w:bCs/>
          <w:sz w:val="24"/>
        </w:rPr>
        <w:t>)</w:t>
      </w:r>
    </w:p>
    <w:p w14:paraId="0DD9EF07" w14:textId="77777777" w:rsidR="001F2493" w:rsidRPr="00107FFE" w:rsidRDefault="001F2493" w:rsidP="001F2493">
      <w:pPr>
        <w:spacing w:before="120" w:after="120"/>
        <w:jc w:val="both"/>
        <w:rPr>
          <w:rFonts w:ascii="Times New Roman" w:hAnsi="Times New Roman" w:cs="Times New Roman"/>
          <w:bCs/>
          <w:sz w:val="24"/>
        </w:rPr>
      </w:pPr>
    </w:p>
    <w:tbl>
      <w:tblPr>
        <w:tblW w:w="881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683"/>
      </w:tblGrid>
      <w:tr w:rsidR="001F2493" w:rsidRPr="00107FFE" w14:paraId="2B97059E" w14:textId="77777777" w:rsidTr="001F2493">
        <w:trPr>
          <w:trHeight w:val="395"/>
        </w:trPr>
        <w:tc>
          <w:tcPr>
            <w:tcW w:w="8812" w:type="dxa"/>
            <w:gridSpan w:val="2"/>
            <w:shd w:val="clear" w:color="auto" w:fill="D9D9D9" w:themeFill="background1" w:themeFillShade="D9"/>
          </w:tcPr>
          <w:p w14:paraId="6B620CEE" w14:textId="77777777" w:rsidR="001F2493" w:rsidRPr="00107FFE" w:rsidRDefault="001F2493" w:rsidP="00AF1B12">
            <w:pPr>
              <w:pStyle w:val="TableTitle"/>
              <w:spacing w:before="0" w:after="0"/>
              <w:jc w:val="left"/>
              <w:rPr>
                <w:rFonts w:ascii="Times New Roman" w:hAnsi="Times New Roman"/>
                <w:sz w:val="24"/>
                <w:szCs w:val="24"/>
              </w:rPr>
            </w:pPr>
            <w:r w:rsidRPr="00107FFE">
              <w:rPr>
                <w:rFonts w:ascii="Times New Roman" w:hAnsi="Times New Roman"/>
                <w:sz w:val="24"/>
                <w:szCs w:val="24"/>
              </w:rPr>
              <w:t>Legal references and instructions</w:t>
            </w:r>
          </w:p>
        </w:tc>
      </w:tr>
      <w:tr w:rsidR="001F2493" w:rsidRPr="00107FFE" w14:paraId="39430749" w14:textId="77777777" w:rsidTr="001F2493">
        <w:tblPrEx>
          <w:tblLook w:val="00A0" w:firstRow="1" w:lastRow="0" w:firstColumn="1" w:lastColumn="0" w:noHBand="0" w:noVBand="0"/>
        </w:tblPrEx>
        <w:tc>
          <w:tcPr>
            <w:tcW w:w="1129" w:type="dxa"/>
            <w:tcBorders>
              <w:bottom w:val="single" w:sz="4" w:space="0" w:color="auto"/>
            </w:tcBorders>
            <w:shd w:val="clear" w:color="auto" w:fill="D9D9D9"/>
          </w:tcPr>
          <w:p w14:paraId="109E2090" w14:textId="77777777" w:rsidR="001F2493" w:rsidRPr="00107FFE" w:rsidRDefault="001F2493" w:rsidP="00AF1B12">
            <w:pPr>
              <w:spacing w:after="120"/>
              <w:jc w:val="both"/>
              <w:rPr>
                <w:rFonts w:ascii="Times New Roman" w:eastAsia="Times New Roman" w:hAnsi="Times New Roman" w:cs="Times New Roman"/>
                <w:bCs/>
                <w:sz w:val="24"/>
              </w:rPr>
            </w:pPr>
            <w:r w:rsidRPr="00107FFE">
              <w:rPr>
                <w:rFonts w:ascii="Times New Roman" w:eastAsia="Times New Roman" w:hAnsi="Times New Roman" w:cs="Times New Roman"/>
                <w:sz w:val="24"/>
                <w:lang w:eastAsia="de-DE"/>
              </w:rPr>
              <w:t>Row</w:t>
            </w:r>
          </w:p>
        </w:tc>
        <w:tc>
          <w:tcPr>
            <w:tcW w:w="7683" w:type="dxa"/>
            <w:tcBorders>
              <w:bottom w:val="single" w:sz="4" w:space="0" w:color="auto"/>
            </w:tcBorders>
            <w:shd w:val="clear" w:color="auto" w:fill="D9D9D9"/>
          </w:tcPr>
          <w:p w14:paraId="1D53F74D" w14:textId="77777777" w:rsidR="001F2493" w:rsidRPr="00107FFE" w:rsidRDefault="001F2493" w:rsidP="00AF1B12">
            <w:pPr>
              <w:spacing w:after="120"/>
              <w:jc w:val="both"/>
              <w:rPr>
                <w:rFonts w:ascii="Times New Roman" w:eastAsia="Times New Roman" w:hAnsi="Times New Roman" w:cs="Times New Roman"/>
                <w:bCs/>
                <w:sz w:val="24"/>
              </w:rPr>
            </w:pPr>
            <w:r w:rsidRPr="00107FFE">
              <w:rPr>
                <w:rFonts w:ascii="Times New Roman" w:eastAsia="Times New Roman" w:hAnsi="Times New Roman" w:cs="Times New Roman"/>
                <w:sz w:val="24"/>
                <w:lang w:eastAsia="de-DE"/>
              </w:rPr>
              <w:t>Legal references and instructions</w:t>
            </w:r>
          </w:p>
        </w:tc>
      </w:tr>
      <w:tr w:rsidR="00A01899" w:rsidRPr="00107FFE" w14:paraId="1F122B06" w14:textId="77777777" w:rsidTr="00AF1B12">
        <w:tblPrEx>
          <w:tblLook w:val="00A0" w:firstRow="1" w:lastRow="0" w:firstColumn="1" w:lastColumn="0" w:noHBand="0" w:noVBand="0"/>
        </w:tblPrEx>
        <w:tc>
          <w:tcPr>
            <w:tcW w:w="1129" w:type="dxa"/>
            <w:shd w:val="clear" w:color="auto" w:fill="auto"/>
            <w:vAlign w:val="center"/>
          </w:tcPr>
          <w:p w14:paraId="5B7B4BD7" w14:textId="04651811"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b/>
                <w:bCs/>
                <w:color w:val="000000"/>
                <w:sz w:val="24"/>
              </w:rPr>
              <w:t>1</w:t>
            </w:r>
          </w:p>
        </w:tc>
        <w:tc>
          <w:tcPr>
            <w:tcW w:w="7683" w:type="dxa"/>
            <w:shd w:val="clear" w:color="auto" w:fill="auto"/>
          </w:tcPr>
          <w:p w14:paraId="24196C85"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Own funds</w:t>
            </w:r>
          </w:p>
          <w:p w14:paraId="7E64F5FE" w14:textId="1768E617"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Article 9 (1) IFR</w:t>
            </w:r>
          </w:p>
          <w:p w14:paraId="3F9E76D6" w14:textId="67D13E11" w:rsidR="00A01899" w:rsidRDefault="00A01899" w:rsidP="00A01899">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The own funds of an investment firm shall consist of the sum of its Common equity Tier 1 Capital, Additional Tier 1 Capital and Tier 2 Capital.</w:t>
            </w:r>
          </w:p>
          <w:p w14:paraId="023DFCA6" w14:textId="31A2CF66" w:rsidR="00A01899" w:rsidRPr="009E2F32" w:rsidRDefault="00A01899" w:rsidP="00A01899">
            <w:pPr>
              <w:spacing w:after="120"/>
              <w:jc w:val="both"/>
              <w:rPr>
                <w:rFonts w:ascii="Times New Roman" w:eastAsia="Times New Roman" w:hAnsi="Times New Roman" w:cs="Times New Roman"/>
                <w:bCs/>
                <w:sz w:val="24"/>
                <w:u w:val="single"/>
                <w:lang w:eastAsia="de-DE"/>
              </w:rPr>
            </w:pPr>
            <w:r w:rsidRPr="009E2F32">
              <w:rPr>
                <w:rFonts w:ascii="Times New Roman" w:eastAsia="Times New Roman" w:hAnsi="Times New Roman" w:cs="Times New Roman"/>
                <w:bCs/>
                <w:sz w:val="24"/>
                <w:u w:val="single"/>
                <w:lang w:eastAsia="de-DE"/>
              </w:rPr>
              <w:t>This row is the sum of rows 2, Tier 1 capital, and 3</w:t>
            </w:r>
            <w:r w:rsidR="00825F5D">
              <w:rPr>
                <w:rFonts w:ascii="Times New Roman" w:eastAsia="Times New Roman" w:hAnsi="Times New Roman" w:cs="Times New Roman"/>
                <w:bCs/>
                <w:sz w:val="24"/>
                <w:u w:val="single"/>
                <w:lang w:eastAsia="de-DE"/>
              </w:rPr>
              <w:t>6</w:t>
            </w:r>
            <w:r w:rsidRPr="009E2F32">
              <w:rPr>
                <w:rFonts w:ascii="Times New Roman" w:eastAsia="Times New Roman" w:hAnsi="Times New Roman" w:cs="Times New Roman"/>
                <w:bCs/>
                <w:sz w:val="24"/>
                <w:u w:val="single"/>
                <w:lang w:eastAsia="de-DE"/>
              </w:rPr>
              <w:t>, Tier 2 capital</w:t>
            </w:r>
          </w:p>
        </w:tc>
      </w:tr>
      <w:tr w:rsidR="00A01899" w:rsidRPr="00107FFE" w14:paraId="0698E6C4" w14:textId="77777777" w:rsidTr="00AF1B12">
        <w:tblPrEx>
          <w:tblLook w:val="00A0" w:firstRow="1" w:lastRow="0" w:firstColumn="1" w:lastColumn="0" w:noHBand="0" w:noVBand="0"/>
        </w:tblPrEx>
        <w:tc>
          <w:tcPr>
            <w:tcW w:w="1129" w:type="dxa"/>
            <w:shd w:val="clear" w:color="auto" w:fill="auto"/>
            <w:vAlign w:val="center"/>
          </w:tcPr>
          <w:p w14:paraId="170939EF" w14:textId="12EFB13C"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b/>
                <w:bCs/>
                <w:color w:val="000000"/>
                <w:sz w:val="24"/>
              </w:rPr>
              <w:t>2</w:t>
            </w:r>
          </w:p>
        </w:tc>
        <w:tc>
          <w:tcPr>
            <w:tcW w:w="7683" w:type="dxa"/>
            <w:shd w:val="clear" w:color="auto" w:fill="auto"/>
          </w:tcPr>
          <w:p w14:paraId="58004B82"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Tier 1 capital</w:t>
            </w:r>
          </w:p>
          <w:p w14:paraId="277867FF" w14:textId="77777777" w:rsidR="00A01899" w:rsidRDefault="00A01899" w:rsidP="00A01899">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The Tier 1 capital is the sum of Common Equity Tier 1 Capital and Additional Tier 1 capital</w:t>
            </w:r>
          </w:p>
          <w:p w14:paraId="1E5D9138" w14:textId="4DFB4C27" w:rsidR="00A01899" w:rsidRPr="00E85018" w:rsidRDefault="00A01899" w:rsidP="00825F5D">
            <w:pPr>
              <w:spacing w:after="120"/>
              <w:jc w:val="both"/>
              <w:rPr>
                <w:rFonts w:ascii="Times New Roman" w:eastAsia="Times New Roman" w:hAnsi="Times New Roman" w:cs="Times New Roman"/>
                <w:b/>
                <w:bCs/>
                <w:sz w:val="24"/>
                <w:lang w:eastAsia="de-DE"/>
              </w:rPr>
            </w:pPr>
            <w:r w:rsidRPr="00E85018">
              <w:rPr>
                <w:rFonts w:ascii="Times New Roman" w:eastAsia="Times New Roman" w:hAnsi="Times New Roman" w:cs="Times New Roman"/>
                <w:bCs/>
                <w:sz w:val="24"/>
                <w:lang w:eastAsia="de-DE"/>
              </w:rPr>
              <w:t>This row is the sum of rows 3, CET 1 capital, and 2</w:t>
            </w:r>
            <w:r w:rsidR="00825F5D" w:rsidRPr="00E85018">
              <w:rPr>
                <w:rFonts w:ascii="Times New Roman" w:eastAsia="Times New Roman" w:hAnsi="Times New Roman" w:cs="Times New Roman"/>
                <w:bCs/>
                <w:sz w:val="24"/>
                <w:lang w:eastAsia="de-DE"/>
              </w:rPr>
              <w:t>6</w:t>
            </w:r>
            <w:r w:rsidRPr="00E85018">
              <w:rPr>
                <w:rFonts w:ascii="Times New Roman" w:eastAsia="Times New Roman" w:hAnsi="Times New Roman" w:cs="Times New Roman"/>
                <w:bCs/>
                <w:sz w:val="24"/>
                <w:lang w:eastAsia="de-DE"/>
              </w:rPr>
              <w:t>, AT1 capital</w:t>
            </w:r>
          </w:p>
        </w:tc>
      </w:tr>
      <w:tr w:rsidR="00A01899" w:rsidRPr="00107FFE" w14:paraId="5F04C809" w14:textId="77777777" w:rsidTr="00AF1B12">
        <w:tblPrEx>
          <w:tblLook w:val="00A0" w:firstRow="1" w:lastRow="0" w:firstColumn="1" w:lastColumn="0" w:noHBand="0" w:noVBand="0"/>
        </w:tblPrEx>
        <w:tc>
          <w:tcPr>
            <w:tcW w:w="1129" w:type="dxa"/>
            <w:shd w:val="clear" w:color="auto" w:fill="auto"/>
            <w:vAlign w:val="center"/>
          </w:tcPr>
          <w:p w14:paraId="32D9A361" w14:textId="0A04056C"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b/>
                <w:bCs/>
                <w:color w:val="000000"/>
                <w:sz w:val="24"/>
              </w:rPr>
              <w:t>3</w:t>
            </w:r>
          </w:p>
        </w:tc>
        <w:tc>
          <w:tcPr>
            <w:tcW w:w="7683" w:type="dxa"/>
            <w:shd w:val="clear" w:color="auto" w:fill="auto"/>
          </w:tcPr>
          <w:p w14:paraId="625D803A"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Style w:val="InstructionsTabelleberschrift"/>
                <w:rFonts w:ascii="Times New Roman" w:hAnsi="Times New Roman"/>
                <w:sz w:val="24"/>
              </w:rPr>
              <w:t>Common Equity Tier 1 capital</w:t>
            </w:r>
            <w:r w:rsidRPr="00107FFE">
              <w:rPr>
                <w:rFonts w:ascii="Times New Roman" w:eastAsia="Times New Roman" w:hAnsi="Times New Roman" w:cs="Times New Roman"/>
                <w:b/>
                <w:bCs/>
                <w:sz w:val="24"/>
                <w:u w:val="single"/>
                <w:lang w:eastAsia="de-DE"/>
              </w:rPr>
              <w:t xml:space="preserve"> </w:t>
            </w:r>
          </w:p>
          <w:p w14:paraId="2F168D6A" w14:textId="77777777"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Article 9 (1) IFR</w:t>
            </w:r>
          </w:p>
          <w:p w14:paraId="5A67EC00" w14:textId="77777777" w:rsidR="00A01899" w:rsidRDefault="00A01899" w:rsidP="00A01899">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lastRenderedPageBreak/>
              <w:t>Article 50 CRR</w:t>
            </w:r>
          </w:p>
          <w:p w14:paraId="681A964C" w14:textId="3CA554AD"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4</w:t>
            </w:r>
            <w:r w:rsidRPr="00107FFE">
              <w:rPr>
                <w:rFonts w:ascii="Times New Roman" w:eastAsia="Times New Roman" w:hAnsi="Times New Roman" w:cs="Times New Roman"/>
                <w:bCs/>
                <w:sz w:val="24"/>
                <w:lang w:eastAsia="de-DE"/>
              </w:rPr>
              <w:t xml:space="preserve"> </w:t>
            </w:r>
            <w:r>
              <w:rPr>
                <w:rFonts w:ascii="Times New Roman" w:eastAsia="Times New Roman" w:hAnsi="Times New Roman" w:cs="Times New Roman"/>
                <w:bCs/>
                <w:sz w:val="24"/>
                <w:lang w:eastAsia="de-DE"/>
              </w:rPr>
              <w:t>to 1</w:t>
            </w:r>
            <w:r w:rsidR="00825F5D">
              <w:rPr>
                <w:rFonts w:ascii="Times New Roman" w:eastAsia="Times New Roman" w:hAnsi="Times New Roman" w:cs="Times New Roman"/>
                <w:bCs/>
                <w:sz w:val="24"/>
                <w:lang w:eastAsia="de-DE"/>
              </w:rPr>
              <w:t>1</w:t>
            </w:r>
            <w:r w:rsidRPr="00107FFE">
              <w:rPr>
                <w:rFonts w:ascii="Times New Roman" w:eastAsia="Times New Roman" w:hAnsi="Times New Roman" w:cs="Times New Roman"/>
                <w:bCs/>
                <w:sz w:val="24"/>
                <w:lang w:eastAsia="de-DE"/>
              </w:rPr>
              <w:t xml:space="preserve"> shall be disclosed</w:t>
            </w:r>
          </w:p>
        </w:tc>
      </w:tr>
      <w:tr w:rsidR="00A01899" w:rsidRPr="00107FFE" w14:paraId="46718DBA" w14:textId="77777777" w:rsidTr="00AF1B12">
        <w:tblPrEx>
          <w:tblLook w:val="00A0" w:firstRow="1" w:lastRow="0" w:firstColumn="1" w:lastColumn="0" w:noHBand="0" w:noVBand="0"/>
        </w:tblPrEx>
        <w:tc>
          <w:tcPr>
            <w:tcW w:w="1129" w:type="dxa"/>
            <w:shd w:val="clear" w:color="auto" w:fill="auto"/>
            <w:vAlign w:val="center"/>
          </w:tcPr>
          <w:p w14:paraId="557AE6B9" w14:textId="51706C25"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lastRenderedPageBreak/>
              <w:t>4</w:t>
            </w:r>
          </w:p>
        </w:tc>
        <w:tc>
          <w:tcPr>
            <w:tcW w:w="7683" w:type="dxa"/>
            <w:shd w:val="clear" w:color="auto" w:fill="auto"/>
          </w:tcPr>
          <w:p w14:paraId="66F21ECC"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Paid up capital instruments</w:t>
            </w:r>
          </w:p>
          <w:p w14:paraId="71945EE9" w14:textId="497D533B"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6409F293" w14:textId="77777777" w:rsidR="00A01899" w:rsidRPr="00107FFE" w:rsidRDefault="00A01899"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(a) of Article 26(1) and Articles 27 to 31 CRR</w:t>
            </w:r>
          </w:p>
          <w:p w14:paraId="6CABDAD3" w14:textId="77777777" w:rsidR="00A01899" w:rsidRPr="00107FFE" w:rsidRDefault="00A01899"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Capital instruments of mutual, cooperative societies or similar institutions (Articles 27 and 29 CRR) shall be included.</w:t>
            </w:r>
          </w:p>
          <w:p w14:paraId="17F6C04C" w14:textId="77777777" w:rsidR="00A01899" w:rsidRPr="00107FFE" w:rsidRDefault="00A01899" w:rsidP="002B149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The share premium related to the instruments shall not be included.</w:t>
            </w:r>
          </w:p>
          <w:p w14:paraId="703BEFF5" w14:textId="77777777" w:rsidR="00A01899" w:rsidRPr="00107FFE" w:rsidRDefault="00A01899" w:rsidP="002B149A">
            <w:pPr>
              <w:pStyle w:val="InstructionsText"/>
            </w:pPr>
            <w:r w:rsidRPr="00107FFE">
              <w:rPr>
                <w:rStyle w:val="FormatvorlageInstructionsTabelleText"/>
                <w:rFonts w:ascii="Times New Roman" w:hAnsi="Times New Roman"/>
                <w:sz w:val="24"/>
              </w:rPr>
              <w:t xml:space="preserve">Capital instruments subscribed by public authorities in </w:t>
            </w:r>
            <w:proofErr w:type="gramStart"/>
            <w:r w:rsidRPr="00107FFE">
              <w:rPr>
                <w:rStyle w:val="FormatvorlageInstructionsTabelleText"/>
                <w:rFonts w:ascii="Times New Roman" w:hAnsi="Times New Roman"/>
                <w:sz w:val="24"/>
              </w:rPr>
              <w:t>emergency situations</w:t>
            </w:r>
            <w:proofErr w:type="gramEnd"/>
            <w:r w:rsidRPr="00107FFE">
              <w:rPr>
                <w:rStyle w:val="FormatvorlageInstructionsTabelleText"/>
                <w:rFonts w:ascii="Times New Roman" w:hAnsi="Times New Roman"/>
                <w:sz w:val="24"/>
              </w:rPr>
              <w:t xml:space="preserve"> shall be included if all conditions of Article 31 CRR are fulfilled.</w:t>
            </w:r>
          </w:p>
        </w:tc>
      </w:tr>
      <w:tr w:rsidR="00A01899" w:rsidRPr="00107FFE" w14:paraId="00711E74" w14:textId="77777777" w:rsidTr="00AF1B12">
        <w:tblPrEx>
          <w:tblLook w:val="00A0" w:firstRow="1" w:lastRow="0" w:firstColumn="1" w:lastColumn="0" w:noHBand="0" w:noVBand="0"/>
        </w:tblPrEx>
        <w:tc>
          <w:tcPr>
            <w:tcW w:w="1129" w:type="dxa"/>
            <w:shd w:val="clear" w:color="auto" w:fill="auto"/>
            <w:vAlign w:val="center"/>
          </w:tcPr>
          <w:p w14:paraId="0D56FF00" w14:textId="481E97C0"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5</w:t>
            </w:r>
          </w:p>
        </w:tc>
        <w:tc>
          <w:tcPr>
            <w:tcW w:w="7683" w:type="dxa"/>
            <w:shd w:val="clear" w:color="auto" w:fill="auto"/>
          </w:tcPr>
          <w:p w14:paraId="3586AD13"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Share premium </w:t>
            </w:r>
          </w:p>
          <w:p w14:paraId="6F3420AA" w14:textId="63C53D7E"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68E1A1B7" w14:textId="0ED98CA3" w:rsidR="00A01899" w:rsidRPr="00107FFE" w:rsidRDefault="00A01899" w:rsidP="00A01899">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26 (1) CRR</w:t>
            </w:r>
          </w:p>
          <w:p w14:paraId="3305CB6A" w14:textId="77777777" w:rsidR="00A01899" w:rsidRPr="00107FFE" w:rsidRDefault="00A01899"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Share premium has the same meaning as under the applicable accounting standard. </w:t>
            </w:r>
          </w:p>
          <w:p w14:paraId="0059647F" w14:textId="1FA69565"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 xml:space="preserve">The amount to </w:t>
            </w:r>
            <w:proofErr w:type="gramStart"/>
            <w:r w:rsidRPr="00107FFE">
              <w:rPr>
                <w:rStyle w:val="FormatvorlageInstructionsTabelleText"/>
                <w:rFonts w:ascii="Times New Roman" w:hAnsi="Times New Roman"/>
                <w:sz w:val="24"/>
              </w:rPr>
              <w:t>be disclosed</w:t>
            </w:r>
            <w:proofErr w:type="gramEnd"/>
            <w:r w:rsidRPr="00107FFE">
              <w:rPr>
                <w:rStyle w:val="FormatvorlageInstructionsTabelleText"/>
                <w:rFonts w:ascii="Times New Roman" w:hAnsi="Times New Roman"/>
                <w:sz w:val="24"/>
              </w:rPr>
              <w:t xml:space="preserve"> in this item shall be the part related to the "Paid up capital instruments".</w:t>
            </w:r>
          </w:p>
        </w:tc>
      </w:tr>
      <w:tr w:rsidR="00A01899" w:rsidRPr="00107FFE" w14:paraId="379E4D9C" w14:textId="77777777" w:rsidTr="00AF1B12">
        <w:tblPrEx>
          <w:tblLook w:val="00A0" w:firstRow="1" w:lastRow="0" w:firstColumn="1" w:lastColumn="0" w:noHBand="0" w:noVBand="0"/>
        </w:tblPrEx>
        <w:tc>
          <w:tcPr>
            <w:tcW w:w="1129" w:type="dxa"/>
            <w:shd w:val="clear" w:color="auto" w:fill="auto"/>
            <w:vAlign w:val="center"/>
          </w:tcPr>
          <w:p w14:paraId="0EA9F21B" w14:textId="6AE60758"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6</w:t>
            </w:r>
          </w:p>
        </w:tc>
        <w:tc>
          <w:tcPr>
            <w:tcW w:w="7683" w:type="dxa"/>
            <w:shd w:val="clear" w:color="auto" w:fill="auto"/>
          </w:tcPr>
          <w:p w14:paraId="28B9ACDF"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Retained earnings</w:t>
            </w:r>
          </w:p>
          <w:p w14:paraId="32790170" w14:textId="77777777"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364C113F" w14:textId="77777777"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Style w:val="FormatvorlageInstructionsTabelleText"/>
                <w:rFonts w:ascii="Times New Roman" w:hAnsi="Times New Roman"/>
                <w:sz w:val="24"/>
              </w:rPr>
              <w:t>Point (c) of Article 26(1) CRR</w:t>
            </w:r>
          </w:p>
          <w:p w14:paraId="1F3E6466" w14:textId="163590BD"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Retained earnings shall include the previous year retained earnings plus the eligible interim or year-end profits</w:t>
            </w:r>
          </w:p>
        </w:tc>
      </w:tr>
      <w:tr w:rsidR="00A01899" w:rsidRPr="00107FFE" w14:paraId="5AEC318F" w14:textId="77777777" w:rsidTr="00AF1B12">
        <w:tblPrEx>
          <w:tblLook w:val="00A0" w:firstRow="1" w:lastRow="0" w:firstColumn="1" w:lastColumn="0" w:noHBand="0" w:noVBand="0"/>
        </w:tblPrEx>
        <w:tc>
          <w:tcPr>
            <w:tcW w:w="1129" w:type="dxa"/>
            <w:shd w:val="clear" w:color="auto" w:fill="auto"/>
            <w:vAlign w:val="center"/>
          </w:tcPr>
          <w:p w14:paraId="4F14281F" w14:textId="5DB14857"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7</w:t>
            </w:r>
          </w:p>
        </w:tc>
        <w:tc>
          <w:tcPr>
            <w:tcW w:w="7683" w:type="dxa"/>
            <w:shd w:val="clear" w:color="auto" w:fill="auto"/>
          </w:tcPr>
          <w:p w14:paraId="53540DEB"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Accumulated other comprehensive income</w:t>
            </w:r>
          </w:p>
          <w:p w14:paraId="3B53B17D" w14:textId="77777777"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4D79F656" w14:textId="77777777" w:rsidR="00A01899" w:rsidRPr="00107FFE" w:rsidRDefault="00A01899" w:rsidP="00A01899">
            <w:pPr>
              <w:spacing w:after="120"/>
              <w:jc w:val="both"/>
              <w:rPr>
                <w:rFonts w:ascii="Times New Roman" w:hAnsi="Times New Roman" w:cs="Times New Roman"/>
                <w:bCs/>
                <w:sz w:val="24"/>
              </w:rPr>
            </w:pPr>
            <w:r w:rsidRPr="00107FFE">
              <w:rPr>
                <w:rStyle w:val="FormatvorlageInstructionsTabelleText"/>
                <w:rFonts w:ascii="Times New Roman" w:hAnsi="Times New Roman"/>
                <w:sz w:val="24"/>
              </w:rPr>
              <w:t>Point (d) of Article 26(1) CRR</w:t>
            </w:r>
          </w:p>
        </w:tc>
      </w:tr>
      <w:tr w:rsidR="00A01899" w:rsidRPr="00107FFE" w14:paraId="6D1CEBA2" w14:textId="77777777" w:rsidTr="00AF1B12">
        <w:tblPrEx>
          <w:tblLook w:val="00A0" w:firstRow="1" w:lastRow="0" w:firstColumn="1" w:lastColumn="0" w:noHBand="0" w:noVBand="0"/>
        </w:tblPrEx>
        <w:tc>
          <w:tcPr>
            <w:tcW w:w="1129" w:type="dxa"/>
            <w:shd w:val="clear" w:color="auto" w:fill="auto"/>
            <w:vAlign w:val="center"/>
          </w:tcPr>
          <w:p w14:paraId="32361F81" w14:textId="3ABBC09E"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8</w:t>
            </w:r>
          </w:p>
        </w:tc>
        <w:tc>
          <w:tcPr>
            <w:tcW w:w="7683" w:type="dxa"/>
            <w:tcBorders>
              <w:bottom w:val="single" w:sz="4" w:space="0" w:color="auto"/>
            </w:tcBorders>
            <w:shd w:val="clear" w:color="auto" w:fill="auto"/>
          </w:tcPr>
          <w:p w14:paraId="6163688F"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Other reserves</w:t>
            </w:r>
          </w:p>
          <w:p w14:paraId="36CDE0FA" w14:textId="77777777"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0398408C" w14:textId="77777777" w:rsidR="00A01899" w:rsidRPr="00107FFE" w:rsidRDefault="00A01899" w:rsidP="00A01899">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Point (117) of Article 4(1) and point (e) of Article 26(1) CRR</w:t>
            </w:r>
          </w:p>
          <w:p w14:paraId="02F0DB62" w14:textId="1C009543"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 xml:space="preserve">The amount to be disclosed shall be net of any tax charge foreseeable </w:t>
            </w:r>
            <w:proofErr w:type="gramStart"/>
            <w:r w:rsidRPr="00107FFE">
              <w:rPr>
                <w:rStyle w:val="FormatvorlageInstructionsTabelleText"/>
                <w:rFonts w:ascii="Times New Roman" w:hAnsi="Times New Roman"/>
                <w:sz w:val="24"/>
              </w:rPr>
              <w:t>at the moment</w:t>
            </w:r>
            <w:proofErr w:type="gramEnd"/>
            <w:r w:rsidRPr="00107FFE">
              <w:rPr>
                <w:rStyle w:val="FormatvorlageInstructionsTabelleText"/>
                <w:rFonts w:ascii="Times New Roman" w:hAnsi="Times New Roman"/>
                <w:sz w:val="24"/>
              </w:rPr>
              <w:t xml:space="preserve"> of the calculation.</w:t>
            </w:r>
          </w:p>
        </w:tc>
      </w:tr>
      <w:tr w:rsidR="00A01899" w:rsidRPr="00107FFE" w14:paraId="798B099D" w14:textId="77777777" w:rsidTr="00AF1B12">
        <w:tblPrEx>
          <w:tblLook w:val="00A0" w:firstRow="1" w:lastRow="0" w:firstColumn="1" w:lastColumn="0" w:noHBand="0" w:noVBand="0"/>
        </w:tblPrEx>
        <w:tc>
          <w:tcPr>
            <w:tcW w:w="1129" w:type="dxa"/>
            <w:shd w:val="clear" w:color="auto" w:fill="auto"/>
            <w:vAlign w:val="center"/>
          </w:tcPr>
          <w:p w14:paraId="09888611" w14:textId="446094CD"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9</w:t>
            </w:r>
          </w:p>
        </w:tc>
        <w:tc>
          <w:tcPr>
            <w:tcW w:w="7683" w:type="dxa"/>
            <w:shd w:val="clear" w:color="auto" w:fill="auto"/>
          </w:tcPr>
          <w:p w14:paraId="558BE70F"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Minority interest given recognition in CET1 capital</w:t>
            </w:r>
          </w:p>
          <w:p w14:paraId="732BFCB8" w14:textId="6D31A40D"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Sum of all the amounts of minority interests of subsidiaries included in consolidated CET1.</w:t>
            </w:r>
          </w:p>
        </w:tc>
      </w:tr>
      <w:tr w:rsidR="00825F5D" w:rsidRPr="00107FFE" w14:paraId="2FE30535" w14:textId="77777777" w:rsidTr="00AF1B12">
        <w:tblPrEx>
          <w:tblLook w:val="00A0" w:firstRow="1" w:lastRow="0" w:firstColumn="1" w:lastColumn="0" w:noHBand="0" w:noVBand="0"/>
        </w:tblPrEx>
        <w:tc>
          <w:tcPr>
            <w:tcW w:w="1129" w:type="dxa"/>
            <w:shd w:val="clear" w:color="auto" w:fill="auto"/>
            <w:vAlign w:val="center"/>
          </w:tcPr>
          <w:p w14:paraId="52D8A685" w14:textId="011B5644" w:rsidR="00825F5D" w:rsidRPr="009E2F32" w:rsidRDefault="00825F5D" w:rsidP="00A01899">
            <w:pPr>
              <w:spacing w:after="120"/>
              <w:jc w:val="both"/>
              <w:rPr>
                <w:rFonts w:ascii="Times New Roman" w:hAnsi="Times New Roman" w:cs="Times New Roman"/>
                <w:color w:val="000000"/>
                <w:sz w:val="24"/>
              </w:rPr>
            </w:pPr>
            <w:r>
              <w:rPr>
                <w:rFonts w:ascii="Times New Roman" w:hAnsi="Times New Roman" w:cs="Times New Roman"/>
                <w:color w:val="000000"/>
                <w:sz w:val="24"/>
              </w:rPr>
              <w:t>10</w:t>
            </w:r>
          </w:p>
        </w:tc>
        <w:tc>
          <w:tcPr>
            <w:tcW w:w="7683" w:type="dxa"/>
            <w:shd w:val="clear" w:color="auto" w:fill="auto"/>
          </w:tcPr>
          <w:p w14:paraId="5970690B"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 </w:t>
            </w:r>
            <w:r>
              <w:rPr>
                <w:rFonts w:ascii="Times New Roman" w:eastAsia="Times New Roman" w:hAnsi="Times New Roman" w:cs="Times New Roman"/>
                <w:b/>
                <w:bCs/>
                <w:sz w:val="24"/>
                <w:u w:val="single"/>
                <w:lang w:eastAsia="de-DE"/>
              </w:rPr>
              <w:t>Other funds</w:t>
            </w:r>
          </w:p>
          <w:p w14:paraId="5C792DE8" w14:textId="487AB93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995DA7">
              <w:rPr>
                <w:rFonts w:ascii="Times New Roman" w:eastAsia="Times New Roman" w:hAnsi="Times New Roman" w:cs="Times New Roman"/>
                <w:bCs/>
                <w:lang w:eastAsia="de-DE"/>
              </w:rPr>
              <w:t>Article 9(4) IFR</w:t>
            </w:r>
          </w:p>
        </w:tc>
      </w:tr>
      <w:tr w:rsidR="00A01899" w:rsidRPr="00107FFE" w14:paraId="1AE64072" w14:textId="77777777" w:rsidTr="00AF1B12">
        <w:tblPrEx>
          <w:tblLook w:val="00A0" w:firstRow="1" w:lastRow="0" w:firstColumn="1" w:lastColumn="0" w:noHBand="0" w:noVBand="0"/>
        </w:tblPrEx>
        <w:tc>
          <w:tcPr>
            <w:tcW w:w="1129" w:type="dxa"/>
            <w:shd w:val="clear" w:color="auto" w:fill="auto"/>
            <w:vAlign w:val="center"/>
          </w:tcPr>
          <w:p w14:paraId="65C89A0E" w14:textId="2DAE48E4"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w:t>
            </w:r>
            <w:r w:rsidR="00825F5D">
              <w:rPr>
                <w:rFonts w:ascii="Times New Roman" w:hAnsi="Times New Roman" w:cs="Times New Roman"/>
                <w:color w:val="000000"/>
                <w:sz w:val="24"/>
              </w:rPr>
              <w:t>1</w:t>
            </w:r>
          </w:p>
        </w:tc>
        <w:tc>
          <w:tcPr>
            <w:tcW w:w="7683" w:type="dxa"/>
            <w:shd w:val="clear" w:color="auto" w:fill="auto"/>
          </w:tcPr>
          <w:p w14:paraId="5BCAEB71"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(-)TOTAL DEDUCTIONS FROM COMMON EQUITY TIER 1</w:t>
            </w:r>
          </w:p>
          <w:p w14:paraId="12B73E85" w14:textId="338733B0" w:rsidR="00A01899" w:rsidRPr="00107FFE" w:rsidRDefault="00A01899" w:rsidP="00F94AE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The total sum of rows 1</w:t>
            </w:r>
            <w:r w:rsidR="007B2049">
              <w:rPr>
                <w:rFonts w:ascii="Times New Roman" w:eastAsia="Times New Roman" w:hAnsi="Times New Roman" w:cs="Times New Roman"/>
                <w:bCs/>
                <w:sz w:val="24"/>
                <w:lang w:eastAsia="de-DE"/>
              </w:rPr>
              <w:t xml:space="preserve">2 and </w:t>
            </w:r>
            <w:proofErr w:type="spellStart"/>
            <w:r w:rsidR="007B2049">
              <w:rPr>
                <w:rFonts w:ascii="Times New Roman" w:eastAsia="Times New Roman" w:hAnsi="Times New Roman" w:cs="Times New Roman"/>
                <w:bCs/>
                <w:sz w:val="24"/>
                <w:lang w:eastAsia="de-DE"/>
              </w:rPr>
              <w:t>rows</w:t>
            </w:r>
            <w:proofErr w:type="spellEnd"/>
            <w:r w:rsidR="007B2049">
              <w:rPr>
                <w:rFonts w:ascii="Times New Roman" w:eastAsia="Times New Roman" w:hAnsi="Times New Roman" w:cs="Times New Roman"/>
                <w:bCs/>
                <w:sz w:val="24"/>
                <w:lang w:eastAsia="de-DE"/>
              </w:rPr>
              <w:t xml:space="preserve"> 16</w:t>
            </w:r>
            <w:r w:rsidRPr="00107FFE">
              <w:rPr>
                <w:rFonts w:ascii="Times New Roman" w:eastAsia="Times New Roman" w:hAnsi="Times New Roman" w:cs="Times New Roman"/>
                <w:bCs/>
                <w:sz w:val="24"/>
                <w:lang w:eastAsia="de-DE"/>
              </w:rPr>
              <w:t xml:space="preserve"> to 2</w:t>
            </w:r>
            <w:r w:rsidR="007B2049">
              <w:rPr>
                <w:rFonts w:ascii="Times New Roman" w:eastAsia="Times New Roman" w:hAnsi="Times New Roman" w:cs="Times New Roman"/>
                <w:bCs/>
                <w:sz w:val="24"/>
                <w:lang w:eastAsia="de-DE"/>
              </w:rPr>
              <w:t>5</w:t>
            </w:r>
            <w:r w:rsidRPr="00107FFE">
              <w:rPr>
                <w:rFonts w:ascii="Times New Roman" w:eastAsia="Times New Roman" w:hAnsi="Times New Roman" w:cs="Times New Roman"/>
                <w:bCs/>
                <w:sz w:val="24"/>
                <w:lang w:eastAsia="de-DE"/>
              </w:rPr>
              <w:t xml:space="preserve"> shall be disclosed</w:t>
            </w:r>
          </w:p>
        </w:tc>
      </w:tr>
      <w:tr w:rsidR="00A01899" w:rsidRPr="00107FFE" w14:paraId="2B1FE724" w14:textId="77777777" w:rsidTr="00AF1B12">
        <w:tblPrEx>
          <w:tblLook w:val="00A0" w:firstRow="1" w:lastRow="0" w:firstColumn="1" w:lastColumn="0" w:noHBand="0" w:noVBand="0"/>
        </w:tblPrEx>
        <w:tc>
          <w:tcPr>
            <w:tcW w:w="1129" w:type="dxa"/>
            <w:shd w:val="clear" w:color="auto" w:fill="auto"/>
            <w:vAlign w:val="center"/>
          </w:tcPr>
          <w:p w14:paraId="0E431DE0" w14:textId="64D6AC2B" w:rsidR="00A01899" w:rsidRPr="00A01899" w:rsidRDefault="00A01899" w:rsidP="00A01899">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lastRenderedPageBreak/>
              <w:t>1</w:t>
            </w:r>
            <w:r w:rsidR="00825F5D">
              <w:rPr>
                <w:rFonts w:ascii="Times New Roman" w:hAnsi="Times New Roman" w:cs="Times New Roman"/>
                <w:color w:val="000000"/>
                <w:sz w:val="24"/>
              </w:rPr>
              <w:t>2</w:t>
            </w:r>
          </w:p>
        </w:tc>
        <w:tc>
          <w:tcPr>
            <w:tcW w:w="7683" w:type="dxa"/>
            <w:shd w:val="clear" w:color="auto" w:fill="auto"/>
          </w:tcPr>
          <w:p w14:paraId="3FDDC04A" w14:textId="77777777" w:rsidR="00A01899" w:rsidRPr="00107FFE" w:rsidRDefault="00A01899" w:rsidP="00A01899">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Own CET1 instruments</w:t>
            </w:r>
          </w:p>
          <w:p w14:paraId="42A4ED3B" w14:textId="77777777" w:rsidR="00A01899" w:rsidRPr="00107FFE" w:rsidRDefault="00A01899" w:rsidP="00A01899">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1BD240D5" w14:textId="77777777" w:rsidR="00A01899" w:rsidRPr="00107FFE" w:rsidRDefault="00A01899"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(f) of Article 36(1) and Article 42 CRR</w:t>
            </w:r>
          </w:p>
          <w:p w14:paraId="6C0DDC28" w14:textId="77777777" w:rsidR="00A01899" w:rsidRPr="00107FFE" w:rsidRDefault="00A01899"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Own CET1 held by the reporting institution or group at the reporting date. Subject to exceptions in Article 42 CRR.</w:t>
            </w:r>
          </w:p>
          <w:p w14:paraId="6AC3CDE2" w14:textId="497F70E5" w:rsidR="00A01899" w:rsidRPr="00107FFE" w:rsidRDefault="00A01899" w:rsidP="002B149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Holdings on shares included as "Capital instruments not eligible" </w:t>
            </w:r>
            <w:proofErr w:type="gramStart"/>
            <w:r w:rsidRPr="00107FFE">
              <w:rPr>
                <w:rStyle w:val="FormatvorlageInstructionsTabelleText"/>
                <w:rFonts w:ascii="Times New Roman" w:hAnsi="Times New Roman"/>
                <w:sz w:val="24"/>
              </w:rPr>
              <w:t>shall not be disclosed</w:t>
            </w:r>
            <w:proofErr w:type="gramEnd"/>
            <w:r w:rsidRPr="00107FFE">
              <w:rPr>
                <w:rStyle w:val="FormatvorlageInstructionsTabelleText"/>
                <w:rFonts w:ascii="Times New Roman" w:hAnsi="Times New Roman"/>
                <w:sz w:val="24"/>
              </w:rPr>
              <w:t xml:space="preserve"> in this row.</w:t>
            </w:r>
          </w:p>
          <w:p w14:paraId="74BE51E8" w14:textId="7812D259" w:rsidR="00A01899" w:rsidRPr="00107FFE" w:rsidRDefault="00A01899" w:rsidP="002B149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The amount to be disclosed shall include the share premium related to the own shares.</w:t>
            </w:r>
          </w:p>
          <w:p w14:paraId="44592652" w14:textId="77777777" w:rsidR="00A01899" w:rsidRPr="00107FFE" w:rsidRDefault="00A01899" w:rsidP="002B149A">
            <w:pPr>
              <w:pStyle w:val="InstructionsText"/>
            </w:pPr>
          </w:p>
        </w:tc>
      </w:tr>
      <w:tr w:rsidR="00825F5D" w:rsidRPr="00107FFE" w14:paraId="40914BA1" w14:textId="77777777" w:rsidTr="00AF1B12">
        <w:tblPrEx>
          <w:tblLook w:val="00A0" w:firstRow="1" w:lastRow="0" w:firstColumn="1" w:lastColumn="0" w:noHBand="0" w:noVBand="0"/>
        </w:tblPrEx>
        <w:tc>
          <w:tcPr>
            <w:tcW w:w="1129" w:type="dxa"/>
            <w:shd w:val="clear" w:color="auto" w:fill="auto"/>
            <w:vAlign w:val="center"/>
          </w:tcPr>
          <w:p w14:paraId="01F31145" w14:textId="1A97E788"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13</w:t>
            </w:r>
          </w:p>
        </w:tc>
        <w:tc>
          <w:tcPr>
            <w:tcW w:w="7683" w:type="dxa"/>
            <w:shd w:val="clear" w:color="auto" w:fill="auto"/>
          </w:tcPr>
          <w:p w14:paraId="64EA3897"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Direct holdings of CET1 instruments</w:t>
            </w:r>
          </w:p>
          <w:p w14:paraId="4E89517B" w14:textId="7777777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2C4AA97C" w14:textId="77777777" w:rsidR="00825F5D" w:rsidRPr="00107FFE" w:rsidRDefault="00825F5D" w:rsidP="00825F5D">
            <w:pPr>
              <w:pStyle w:val="InstructionsText"/>
              <w:rPr>
                <w:rStyle w:val="FormatvorlageInstructionsTabelleText"/>
                <w:rFonts w:ascii="Times New Roman" w:eastAsiaTheme="minorHAnsi" w:hAnsi="Times New Roman"/>
                <w:bCs/>
                <w:sz w:val="24"/>
                <w:lang w:eastAsia="en-US"/>
              </w:rPr>
            </w:pPr>
            <w:r w:rsidRPr="00107FFE">
              <w:rPr>
                <w:rStyle w:val="FormatvorlageInstructionsTabelleText"/>
                <w:rFonts w:ascii="Times New Roman" w:hAnsi="Times New Roman"/>
                <w:sz w:val="24"/>
              </w:rPr>
              <w:t>Point (f) of Article 36(1) and Article 42 CRR</w:t>
            </w:r>
          </w:p>
          <w:p w14:paraId="4754C473"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Common Equity Tier 1 instruments held by the investment firm  </w:t>
            </w:r>
          </w:p>
          <w:p w14:paraId="1A0157C8"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p>
        </w:tc>
      </w:tr>
      <w:tr w:rsidR="00825F5D" w:rsidRPr="00107FFE" w14:paraId="76D061FF" w14:textId="77777777" w:rsidTr="00AF1B12">
        <w:tblPrEx>
          <w:tblLook w:val="00A0" w:firstRow="1" w:lastRow="0" w:firstColumn="1" w:lastColumn="0" w:noHBand="0" w:noVBand="0"/>
        </w:tblPrEx>
        <w:tc>
          <w:tcPr>
            <w:tcW w:w="1129" w:type="dxa"/>
            <w:shd w:val="clear" w:color="auto" w:fill="auto"/>
            <w:vAlign w:val="center"/>
          </w:tcPr>
          <w:p w14:paraId="1E40A0DE" w14:textId="509A1430"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14</w:t>
            </w:r>
          </w:p>
        </w:tc>
        <w:tc>
          <w:tcPr>
            <w:tcW w:w="7683" w:type="dxa"/>
            <w:shd w:val="clear" w:color="auto" w:fill="auto"/>
          </w:tcPr>
          <w:p w14:paraId="3068156E" w14:textId="0DB3FA2A"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Indirect holdings of CET1 instruments</w:t>
            </w:r>
          </w:p>
          <w:p w14:paraId="2EC5A69B" w14:textId="7777777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700EB9FF" w14:textId="77777777" w:rsidR="00825F5D" w:rsidRPr="00107FFE" w:rsidRDefault="00825F5D" w:rsidP="00825F5D">
            <w:pPr>
              <w:pStyle w:val="InstructionsText"/>
              <w:rPr>
                <w:rStyle w:val="FormatvorlageInstructionsTabelleText"/>
                <w:rFonts w:ascii="Times New Roman" w:eastAsiaTheme="minorHAnsi" w:hAnsi="Times New Roman"/>
                <w:bCs/>
                <w:sz w:val="24"/>
                <w:lang w:eastAsia="en-US"/>
              </w:rPr>
            </w:pPr>
            <w:r w:rsidRPr="00107FFE">
              <w:rPr>
                <w:rStyle w:val="FormatvorlageInstructionsTabelleText"/>
                <w:rFonts w:ascii="Times New Roman" w:hAnsi="Times New Roman"/>
                <w:sz w:val="24"/>
              </w:rPr>
              <w:t>Point (f) of Article 36(1) and Article 42 CRR</w:t>
            </w:r>
          </w:p>
          <w:p w14:paraId="00026BD8"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Common Equity Tier 1 instruments held by the investment firm  </w:t>
            </w:r>
          </w:p>
          <w:p w14:paraId="2C66978A" w14:textId="77777777" w:rsidR="00825F5D" w:rsidRPr="00107FFE" w:rsidRDefault="00825F5D" w:rsidP="00825F5D">
            <w:pPr>
              <w:pStyle w:val="InstructionsText"/>
            </w:pPr>
          </w:p>
        </w:tc>
      </w:tr>
      <w:tr w:rsidR="00825F5D" w:rsidRPr="00107FFE" w14:paraId="472B75DE" w14:textId="77777777" w:rsidTr="00AF1B12">
        <w:tblPrEx>
          <w:tblLook w:val="00A0" w:firstRow="1" w:lastRow="0" w:firstColumn="1" w:lastColumn="0" w:noHBand="0" w:noVBand="0"/>
        </w:tblPrEx>
        <w:tc>
          <w:tcPr>
            <w:tcW w:w="1129" w:type="dxa"/>
            <w:shd w:val="clear" w:color="auto" w:fill="auto"/>
            <w:vAlign w:val="center"/>
          </w:tcPr>
          <w:p w14:paraId="210F2D44" w14:textId="42054FBA"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15</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5E485202"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Synthetic holdings of CET1 instruments</w:t>
            </w:r>
          </w:p>
          <w:p w14:paraId="49AFBC63" w14:textId="7777777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7D808998"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Point (114) of Article 4(1), point (f) of Article 36(1) and Article 42 CRR</w:t>
            </w:r>
          </w:p>
        </w:tc>
      </w:tr>
      <w:tr w:rsidR="00825F5D" w:rsidRPr="00107FFE" w14:paraId="5F5CCD35"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6955A3FB" w14:textId="60D067B0"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16</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center"/>
          </w:tcPr>
          <w:p w14:paraId="1580C853"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Losses for the current financial year</w:t>
            </w:r>
          </w:p>
          <w:p w14:paraId="0891E076"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Article 36(1) point (a) of CRR</w:t>
            </w:r>
          </w:p>
        </w:tc>
      </w:tr>
      <w:tr w:rsidR="00825F5D" w:rsidRPr="00107FFE" w14:paraId="36B065E8"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063948E4" w14:textId="3626B1F7"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17</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5EAE161D"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 Goodwill </w:t>
            </w:r>
          </w:p>
          <w:p w14:paraId="579334B8" w14:textId="16FF453E"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455A5D0C"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Point (113) of Article 4(1), point (b) of Article 36(1) and Article 37 CRR</w:t>
            </w:r>
          </w:p>
        </w:tc>
      </w:tr>
      <w:tr w:rsidR="00825F5D" w:rsidRPr="00107FFE" w14:paraId="28D94113"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2842593D" w14:textId="05862135"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18</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1466387A"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Other intangible assets</w:t>
            </w:r>
          </w:p>
          <w:p w14:paraId="1D50D22E" w14:textId="7777777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55144A94" w14:textId="77777777" w:rsidR="00825F5D" w:rsidRPr="00107FFE" w:rsidRDefault="00825F5D" w:rsidP="00825F5D">
            <w:pPr>
              <w:pStyle w:val="InstructionsText"/>
              <w:rPr>
                <w:rStyle w:val="FormatvorlageInstructionsTabelleText"/>
                <w:rFonts w:ascii="Times New Roman" w:eastAsiaTheme="minorHAnsi" w:hAnsi="Times New Roman"/>
                <w:bCs/>
                <w:sz w:val="24"/>
                <w:lang w:eastAsia="en-US"/>
              </w:rPr>
            </w:pPr>
            <w:r w:rsidRPr="00107FFE">
              <w:rPr>
                <w:rStyle w:val="FormatvorlageInstructionsTabelleText"/>
                <w:rFonts w:ascii="Times New Roman" w:hAnsi="Times New Roman"/>
                <w:sz w:val="24"/>
              </w:rPr>
              <w:t>Point (115) of Article 4(1), point (b) of Article 36(1) and point (a) of Article 37 CRR</w:t>
            </w:r>
          </w:p>
          <w:p w14:paraId="067DF2D3" w14:textId="6EE3174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Other intangible assets shall include intangibles assets under the applicable accounting standard, minus the goodwill, also according to the applicable accounting standard.</w:t>
            </w:r>
          </w:p>
        </w:tc>
      </w:tr>
      <w:tr w:rsidR="00825F5D" w:rsidRPr="00107FFE" w14:paraId="206C1B62"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31A24720" w14:textId="05B4A4E1"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19</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398F6C92"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Deferred tax assets that rely on future profitability and do not arise from temporary differences net of associated tax liabilities</w:t>
            </w:r>
          </w:p>
          <w:p w14:paraId="4E44DDA0" w14:textId="26467433"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(a) of Article 9 (2) </w:t>
            </w:r>
            <w:r>
              <w:rPr>
                <w:rFonts w:ascii="Times New Roman" w:eastAsia="Times New Roman" w:hAnsi="Times New Roman" w:cs="Times New Roman"/>
                <w:bCs/>
                <w:sz w:val="24"/>
                <w:lang w:eastAsia="de-DE"/>
              </w:rPr>
              <w:t>IFR</w:t>
            </w:r>
          </w:p>
          <w:p w14:paraId="42F732FE" w14:textId="15B23FC1"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lastRenderedPageBreak/>
              <w:t>Point (c) of Article 36 (1) of CRR</w:t>
            </w:r>
          </w:p>
        </w:tc>
      </w:tr>
      <w:tr w:rsidR="00825F5D" w:rsidRPr="00107FFE" w14:paraId="4C815395" w14:textId="77777777" w:rsidTr="00970F84">
        <w:tblPrEx>
          <w:tblLook w:val="00A0" w:firstRow="1" w:lastRow="0" w:firstColumn="1" w:lastColumn="0" w:noHBand="0" w:noVBand="0"/>
        </w:tblPrEx>
        <w:tc>
          <w:tcPr>
            <w:tcW w:w="1129" w:type="dxa"/>
            <w:tcBorders>
              <w:top w:val="single" w:sz="4" w:space="0" w:color="auto"/>
            </w:tcBorders>
            <w:shd w:val="clear" w:color="auto" w:fill="auto"/>
            <w:vAlign w:val="center"/>
          </w:tcPr>
          <w:p w14:paraId="0EE43F83" w14:textId="7E260F2C"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lastRenderedPageBreak/>
              <w:t>20</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center"/>
          </w:tcPr>
          <w:p w14:paraId="65653930" w14:textId="31CB2090"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B829D2">
              <w:rPr>
                <w:rFonts w:ascii="Times New Roman" w:eastAsia="Times New Roman" w:hAnsi="Times New Roman" w:cs="Times New Roman"/>
                <w:b/>
                <w:bCs/>
                <w:sz w:val="24"/>
                <w:u w:val="single"/>
                <w:lang w:eastAsia="de-DE"/>
              </w:rPr>
              <w:t>(-) Qualifying holding outside the financial sector which exceeds 15% of own funds</w:t>
            </w:r>
          </w:p>
          <w:p w14:paraId="774FD3E8" w14:textId="2A779475"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B829D2">
              <w:rPr>
                <w:rFonts w:ascii="Times New Roman" w:eastAsia="Times New Roman" w:hAnsi="Times New Roman" w:cs="Times New Roman"/>
                <w:bCs/>
                <w:sz w:val="24"/>
                <w:lang w:eastAsia="de-DE"/>
              </w:rPr>
              <w:t>Point (a) of Article 10(1) IFR</w:t>
            </w:r>
          </w:p>
        </w:tc>
      </w:tr>
      <w:tr w:rsidR="00825F5D" w:rsidRPr="00107FFE" w14:paraId="17D1ABFD"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6E6341A9" w14:textId="1520F71C"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21</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center"/>
          </w:tcPr>
          <w:p w14:paraId="40713045" w14:textId="77777777" w:rsidR="00825F5D" w:rsidRDefault="00825F5D" w:rsidP="00825F5D">
            <w:pPr>
              <w:spacing w:after="120"/>
              <w:jc w:val="both"/>
              <w:rPr>
                <w:rFonts w:ascii="Times New Roman" w:eastAsia="Times New Roman" w:hAnsi="Times New Roman" w:cs="Times New Roman"/>
                <w:b/>
                <w:bCs/>
                <w:sz w:val="24"/>
                <w:u w:val="single"/>
                <w:lang w:eastAsia="de-DE"/>
              </w:rPr>
            </w:pPr>
            <w:r w:rsidRPr="00B829D2">
              <w:rPr>
                <w:rFonts w:ascii="Times New Roman" w:eastAsia="Times New Roman" w:hAnsi="Times New Roman" w:cs="Times New Roman"/>
                <w:b/>
                <w:bCs/>
                <w:sz w:val="24"/>
                <w:u w:val="single"/>
                <w:lang w:eastAsia="de-DE"/>
              </w:rPr>
              <w:t>(-) Total qualifying holdings in undertaking other than financial sector entities which exceeds 60% of its own funds</w:t>
            </w:r>
          </w:p>
          <w:p w14:paraId="70DAE009" w14:textId="79F17DBA"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B829D2">
              <w:rPr>
                <w:rFonts w:ascii="Times New Roman" w:eastAsia="Times New Roman" w:hAnsi="Times New Roman" w:cs="Times New Roman"/>
                <w:bCs/>
                <w:sz w:val="24"/>
                <w:lang w:eastAsia="de-DE"/>
              </w:rPr>
              <w:t>Point (b) of Article 10(1) IFR</w:t>
            </w:r>
          </w:p>
        </w:tc>
      </w:tr>
      <w:tr w:rsidR="00825F5D" w:rsidRPr="00107FFE" w14:paraId="56B1523C"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61BFBFFB" w14:textId="2CB4A4D8"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22</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1434ED6F"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CET1 instruments of financial sector entities where the institution does not have a significant investment</w:t>
            </w:r>
          </w:p>
          <w:p w14:paraId="4D85685B" w14:textId="7E100091"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(c) of Article 9 (2) </w:t>
            </w:r>
            <w:r>
              <w:rPr>
                <w:rFonts w:ascii="Times New Roman" w:eastAsia="Times New Roman" w:hAnsi="Times New Roman" w:cs="Times New Roman"/>
                <w:bCs/>
                <w:sz w:val="24"/>
                <w:lang w:eastAsia="de-DE"/>
              </w:rPr>
              <w:t>IFR</w:t>
            </w:r>
          </w:p>
          <w:p w14:paraId="12014B45" w14:textId="703AE944"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(h) of Article 36 (1) of CRR</w:t>
            </w:r>
          </w:p>
        </w:tc>
      </w:tr>
      <w:tr w:rsidR="00825F5D" w:rsidRPr="00107FFE" w14:paraId="5595D9BA"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6BAC9C2A" w14:textId="2924CABC"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23</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57EFE554"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CET1 instruments of financial sector entities where the institution has a significant investment</w:t>
            </w:r>
          </w:p>
          <w:p w14:paraId="293D9AEA" w14:textId="73F8769B"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(d) of Article 9(2) </w:t>
            </w:r>
            <w:r>
              <w:rPr>
                <w:rFonts w:ascii="Times New Roman" w:eastAsia="Times New Roman" w:hAnsi="Times New Roman" w:cs="Times New Roman"/>
                <w:bCs/>
                <w:sz w:val="24"/>
                <w:lang w:eastAsia="de-DE"/>
              </w:rPr>
              <w:t>IFR</w:t>
            </w:r>
          </w:p>
          <w:p w14:paraId="3B6CBCDA"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(i) of Article 36(1) of CRR</w:t>
            </w:r>
          </w:p>
        </w:tc>
      </w:tr>
      <w:tr w:rsidR="00825F5D" w:rsidRPr="00107FFE" w14:paraId="384BD160"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70CE88F0" w14:textId="03826717"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24</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3E684D42"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(-)Defined benefit pension fund assets</w:t>
            </w:r>
          </w:p>
          <w:p w14:paraId="4268B05F" w14:textId="7E38AE3D"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(b) of Article 9(2) </w:t>
            </w:r>
            <w:r>
              <w:rPr>
                <w:rFonts w:ascii="Times New Roman" w:eastAsia="Times New Roman" w:hAnsi="Times New Roman" w:cs="Times New Roman"/>
                <w:bCs/>
                <w:sz w:val="24"/>
                <w:lang w:eastAsia="de-DE"/>
              </w:rPr>
              <w:t>IFR</w:t>
            </w:r>
          </w:p>
          <w:p w14:paraId="45430CB8"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(e) of Article 36(1) of CRR</w:t>
            </w:r>
          </w:p>
        </w:tc>
      </w:tr>
      <w:tr w:rsidR="00825F5D" w:rsidRPr="00107FFE" w14:paraId="6A33255F" w14:textId="77777777" w:rsidTr="00AF1B12">
        <w:tblPrEx>
          <w:tblLook w:val="00A0" w:firstRow="1" w:lastRow="0" w:firstColumn="1" w:lastColumn="0" w:noHBand="0" w:noVBand="0"/>
        </w:tblPrEx>
        <w:tc>
          <w:tcPr>
            <w:tcW w:w="1129" w:type="dxa"/>
            <w:vAlign w:val="center"/>
          </w:tcPr>
          <w:p w14:paraId="4FAC243E" w14:textId="3CB99A33"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25</w:t>
            </w:r>
          </w:p>
        </w:tc>
        <w:tc>
          <w:tcPr>
            <w:tcW w:w="7683" w:type="dxa"/>
            <w:tcBorders>
              <w:top w:val="nil"/>
              <w:left w:val="single" w:sz="4" w:space="0" w:color="auto"/>
              <w:bottom w:val="single" w:sz="4" w:space="0" w:color="auto"/>
              <w:right w:val="single" w:sz="4" w:space="0" w:color="auto"/>
            </w:tcBorders>
            <w:shd w:val="clear" w:color="auto" w:fill="auto"/>
            <w:vAlign w:val="bottom"/>
          </w:tcPr>
          <w:p w14:paraId="19F74C99"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Other deductions</w:t>
            </w:r>
          </w:p>
          <w:p w14:paraId="3F42368A"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The sum of any other deductions listed in Article 36(1) of CRR.</w:t>
            </w:r>
          </w:p>
        </w:tc>
      </w:tr>
      <w:tr w:rsidR="00825F5D" w:rsidRPr="00107FFE" w14:paraId="03A4E147" w14:textId="77777777" w:rsidTr="00AF1B12">
        <w:tblPrEx>
          <w:tblLook w:val="00A0" w:firstRow="1" w:lastRow="0" w:firstColumn="1" w:lastColumn="0" w:noHBand="0" w:noVBand="0"/>
        </w:tblPrEx>
        <w:tc>
          <w:tcPr>
            <w:tcW w:w="1129" w:type="dxa"/>
            <w:vAlign w:val="center"/>
          </w:tcPr>
          <w:p w14:paraId="472D942A" w14:textId="375D5CE3"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26</w:t>
            </w:r>
          </w:p>
        </w:tc>
        <w:tc>
          <w:tcPr>
            <w:tcW w:w="7683" w:type="dxa"/>
            <w:tcBorders>
              <w:top w:val="single" w:sz="8" w:space="0" w:color="auto"/>
              <w:left w:val="single" w:sz="4" w:space="0" w:color="auto"/>
              <w:bottom w:val="single" w:sz="4" w:space="0" w:color="auto"/>
              <w:right w:val="single" w:sz="4" w:space="0" w:color="auto"/>
            </w:tcBorders>
            <w:shd w:val="clear" w:color="auto" w:fill="auto"/>
            <w:vAlign w:val="bottom"/>
          </w:tcPr>
          <w:p w14:paraId="3A99E341"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ADDITIONAL TIER 1 CAPITAL</w:t>
            </w:r>
          </w:p>
          <w:p w14:paraId="3CAFFFD8" w14:textId="7777777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(1) Article 9 IFR</w:t>
            </w:r>
          </w:p>
          <w:p w14:paraId="12842BD0" w14:textId="77777777" w:rsidR="00825F5D"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Article 61 of CRR</w:t>
            </w:r>
          </w:p>
          <w:p w14:paraId="46F6C308" w14:textId="76C5A11A"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2</w:t>
            </w:r>
            <w:r w:rsidR="007B2049">
              <w:rPr>
                <w:rFonts w:ascii="Times New Roman" w:eastAsia="Times New Roman" w:hAnsi="Times New Roman" w:cs="Times New Roman"/>
                <w:bCs/>
                <w:sz w:val="24"/>
                <w:lang w:eastAsia="de-DE"/>
              </w:rPr>
              <w:t>7</w:t>
            </w:r>
            <w:r w:rsidRPr="00107FFE">
              <w:rPr>
                <w:rFonts w:ascii="Times New Roman" w:eastAsia="Times New Roman" w:hAnsi="Times New Roman" w:cs="Times New Roman"/>
                <w:bCs/>
                <w:sz w:val="24"/>
                <w:lang w:eastAsia="de-DE"/>
              </w:rPr>
              <w:t xml:space="preserve"> </w:t>
            </w:r>
            <w:r>
              <w:rPr>
                <w:rFonts w:ascii="Times New Roman" w:eastAsia="Times New Roman" w:hAnsi="Times New Roman" w:cs="Times New Roman"/>
                <w:bCs/>
                <w:sz w:val="24"/>
                <w:lang w:eastAsia="de-DE"/>
              </w:rPr>
              <w:t>to 2</w:t>
            </w:r>
            <w:r w:rsidR="007B2049">
              <w:rPr>
                <w:rFonts w:ascii="Times New Roman" w:eastAsia="Times New Roman" w:hAnsi="Times New Roman" w:cs="Times New Roman"/>
                <w:bCs/>
                <w:sz w:val="24"/>
                <w:lang w:eastAsia="de-DE"/>
              </w:rPr>
              <w:t>9</w:t>
            </w:r>
            <w:r w:rsidRPr="00107FFE">
              <w:rPr>
                <w:rFonts w:ascii="Times New Roman" w:eastAsia="Times New Roman" w:hAnsi="Times New Roman" w:cs="Times New Roman"/>
                <w:bCs/>
                <w:sz w:val="24"/>
                <w:lang w:eastAsia="de-DE"/>
              </w:rPr>
              <w:t xml:space="preserve"> </w:t>
            </w:r>
            <w:proofErr w:type="gramStart"/>
            <w:r w:rsidRPr="00107FFE">
              <w:rPr>
                <w:rFonts w:ascii="Times New Roman" w:eastAsia="Times New Roman" w:hAnsi="Times New Roman" w:cs="Times New Roman"/>
                <w:bCs/>
                <w:sz w:val="24"/>
                <w:lang w:eastAsia="de-DE"/>
              </w:rPr>
              <w:t>shall be disclosed</w:t>
            </w:r>
            <w:proofErr w:type="gramEnd"/>
            <w:r>
              <w:rPr>
                <w:rFonts w:ascii="Times New Roman" w:eastAsia="Times New Roman" w:hAnsi="Times New Roman" w:cs="Times New Roman"/>
                <w:bCs/>
                <w:sz w:val="24"/>
                <w:lang w:eastAsia="de-DE"/>
              </w:rPr>
              <w:t>.</w:t>
            </w:r>
          </w:p>
        </w:tc>
      </w:tr>
      <w:tr w:rsidR="00825F5D" w:rsidRPr="00107FFE" w14:paraId="288C708B" w14:textId="77777777" w:rsidTr="00AF1B12">
        <w:tblPrEx>
          <w:tblLook w:val="00A0" w:firstRow="1" w:lastRow="0" w:firstColumn="1" w:lastColumn="0" w:noHBand="0" w:noVBand="0"/>
        </w:tblPrEx>
        <w:tc>
          <w:tcPr>
            <w:tcW w:w="1129" w:type="dxa"/>
            <w:vAlign w:val="center"/>
          </w:tcPr>
          <w:p w14:paraId="67630C53" w14:textId="16C268B8"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27</w:t>
            </w:r>
          </w:p>
        </w:tc>
        <w:tc>
          <w:tcPr>
            <w:tcW w:w="7683" w:type="dxa"/>
            <w:tcBorders>
              <w:top w:val="nil"/>
              <w:left w:val="single" w:sz="4" w:space="0" w:color="auto"/>
              <w:bottom w:val="single" w:sz="4" w:space="0" w:color="auto"/>
              <w:right w:val="single" w:sz="4" w:space="0" w:color="auto"/>
            </w:tcBorders>
            <w:shd w:val="clear" w:color="auto" w:fill="auto"/>
            <w:vAlign w:val="bottom"/>
          </w:tcPr>
          <w:p w14:paraId="5DDCBA72"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Paid up capital instruments</w:t>
            </w:r>
          </w:p>
          <w:p w14:paraId="5E322E9C" w14:textId="7777777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Point (i) of Article 9 (1) IFR</w:t>
            </w:r>
          </w:p>
          <w:p w14:paraId="56385374"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(a) of Article 51 and Articles 52, 53 and 54 CRR</w:t>
            </w:r>
          </w:p>
          <w:p w14:paraId="49E67111" w14:textId="00F2812E"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The amount to be disclosed shall not include the share premium related to the instruments</w:t>
            </w:r>
          </w:p>
        </w:tc>
      </w:tr>
      <w:tr w:rsidR="00825F5D" w:rsidRPr="00107FFE" w14:paraId="7DEE8E45" w14:textId="77777777" w:rsidTr="00AF1B12">
        <w:tblPrEx>
          <w:tblLook w:val="00A0" w:firstRow="1" w:lastRow="0" w:firstColumn="1" w:lastColumn="0" w:noHBand="0" w:noVBand="0"/>
        </w:tblPrEx>
        <w:tc>
          <w:tcPr>
            <w:tcW w:w="1129" w:type="dxa"/>
            <w:vAlign w:val="center"/>
          </w:tcPr>
          <w:p w14:paraId="2EC65665" w14:textId="3B382180" w:rsidR="00825F5D" w:rsidRPr="009E2F32" w:rsidRDefault="00825F5D" w:rsidP="00825F5D">
            <w:pPr>
              <w:spacing w:after="120"/>
              <w:jc w:val="both"/>
              <w:rPr>
                <w:rFonts w:ascii="Times New Roman" w:hAnsi="Times New Roman" w:cs="Times New Roman"/>
                <w:color w:val="000000"/>
                <w:sz w:val="24"/>
              </w:rPr>
            </w:pPr>
            <w:r w:rsidRPr="009E2F32">
              <w:rPr>
                <w:rFonts w:ascii="Times New Roman" w:hAnsi="Times New Roman" w:cs="Times New Roman"/>
                <w:color w:val="000000"/>
                <w:sz w:val="24"/>
              </w:rPr>
              <w:t>28</w:t>
            </w:r>
          </w:p>
        </w:tc>
        <w:tc>
          <w:tcPr>
            <w:tcW w:w="7683" w:type="dxa"/>
            <w:tcBorders>
              <w:top w:val="nil"/>
              <w:left w:val="single" w:sz="4" w:space="0" w:color="auto"/>
              <w:bottom w:val="single" w:sz="4" w:space="0" w:color="auto"/>
              <w:right w:val="single" w:sz="4" w:space="0" w:color="auto"/>
            </w:tcBorders>
            <w:shd w:val="clear" w:color="auto" w:fill="auto"/>
            <w:vAlign w:val="bottom"/>
          </w:tcPr>
          <w:p w14:paraId="09ED28A0"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Share premium </w:t>
            </w:r>
          </w:p>
          <w:p w14:paraId="469F1431"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25090DCA"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51 CRR</w:t>
            </w:r>
          </w:p>
          <w:p w14:paraId="6762BFCB"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Share premium has the same meaning as under the applicable accounting standard.</w:t>
            </w:r>
          </w:p>
          <w:p w14:paraId="5264BE8A" w14:textId="2815E9A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 xml:space="preserve">The amount to </w:t>
            </w:r>
            <w:proofErr w:type="gramStart"/>
            <w:r w:rsidRPr="00107FFE">
              <w:rPr>
                <w:rStyle w:val="FormatvorlageInstructionsTabelleText"/>
                <w:rFonts w:ascii="Times New Roman" w:hAnsi="Times New Roman"/>
                <w:sz w:val="24"/>
              </w:rPr>
              <w:t>be disclosed</w:t>
            </w:r>
            <w:proofErr w:type="gramEnd"/>
            <w:r w:rsidRPr="00107FFE">
              <w:rPr>
                <w:rStyle w:val="FormatvorlageInstructionsTabelleText"/>
                <w:rFonts w:ascii="Times New Roman" w:hAnsi="Times New Roman"/>
                <w:sz w:val="24"/>
              </w:rPr>
              <w:t xml:space="preserve"> in this item shall be the part related to the "Paid up capital instruments".</w:t>
            </w:r>
          </w:p>
        </w:tc>
      </w:tr>
      <w:tr w:rsidR="00825F5D" w:rsidRPr="00107FFE" w14:paraId="03E7EC8F" w14:textId="77777777" w:rsidTr="00AF1B12">
        <w:tblPrEx>
          <w:tblLook w:val="00A0" w:firstRow="1" w:lastRow="0" w:firstColumn="1" w:lastColumn="0" w:noHBand="0" w:noVBand="0"/>
        </w:tblPrEx>
        <w:tc>
          <w:tcPr>
            <w:tcW w:w="1129" w:type="dxa"/>
            <w:tcBorders>
              <w:bottom w:val="single" w:sz="4" w:space="0" w:color="auto"/>
            </w:tcBorders>
            <w:vAlign w:val="center"/>
          </w:tcPr>
          <w:p w14:paraId="43D4DA9D" w14:textId="736A105A"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lastRenderedPageBreak/>
              <w:t>29</w:t>
            </w:r>
          </w:p>
        </w:tc>
        <w:tc>
          <w:tcPr>
            <w:tcW w:w="7683" w:type="dxa"/>
            <w:tcBorders>
              <w:top w:val="nil"/>
              <w:left w:val="single" w:sz="4" w:space="0" w:color="auto"/>
              <w:bottom w:val="single" w:sz="4" w:space="0" w:color="auto"/>
              <w:right w:val="single" w:sz="4" w:space="0" w:color="auto"/>
            </w:tcBorders>
            <w:shd w:val="clear" w:color="auto" w:fill="auto"/>
            <w:vAlign w:val="bottom"/>
          </w:tcPr>
          <w:p w14:paraId="57D38217"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TOTAL DEDUCTIONS FROM ADDITIONAL TIER 1</w:t>
            </w:r>
          </w:p>
          <w:p w14:paraId="68328A04" w14:textId="77777777" w:rsidR="00825F5D" w:rsidRPr="00107FFE" w:rsidRDefault="00825F5D" w:rsidP="00825F5D">
            <w:pPr>
              <w:spacing w:before="60" w:after="60"/>
              <w:rPr>
                <w:rFonts w:ascii="Times New Roman" w:hAnsi="Times New Roman" w:cs="Times New Roman"/>
                <w:sz w:val="24"/>
              </w:rPr>
            </w:pPr>
            <w:r w:rsidRPr="00107FFE">
              <w:rPr>
                <w:rFonts w:ascii="Times New Roman" w:hAnsi="Times New Roman" w:cs="Times New Roman"/>
                <w:sz w:val="24"/>
              </w:rPr>
              <w:t>Article 56 of CRR</w:t>
            </w:r>
          </w:p>
          <w:p w14:paraId="75E5973D" w14:textId="47023944" w:rsidR="00825F5D" w:rsidRPr="00E85018" w:rsidRDefault="00825F5D" w:rsidP="00373588">
            <w:pPr>
              <w:spacing w:after="120"/>
              <w:jc w:val="both"/>
              <w:rPr>
                <w:rFonts w:ascii="Times New Roman" w:eastAsia="Times New Roman" w:hAnsi="Times New Roman" w:cs="Times New Roman"/>
                <w:bCs/>
                <w:sz w:val="24"/>
                <w:lang w:eastAsia="de-DE"/>
              </w:rPr>
            </w:pPr>
            <w:r w:rsidRPr="00E85018">
              <w:rPr>
                <w:rFonts w:ascii="Times New Roman" w:eastAsia="Times New Roman" w:hAnsi="Times New Roman" w:cs="Times New Roman"/>
                <w:bCs/>
                <w:sz w:val="24"/>
                <w:lang w:eastAsia="de-DE"/>
              </w:rPr>
              <w:t xml:space="preserve">The total sum of rows </w:t>
            </w:r>
            <w:r w:rsidR="007B2049">
              <w:rPr>
                <w:rFonts w:ascii="Times New Roman" w:eastAsia="Times New Roman" w:hAnsi="Times New Roman" w:cs="Times New Roman"/>
                <w:bCs/>
                <w:sz w:val="24"/>
                <w:lang w:eastAsia="de-DE"/>
              </w:rPr>
              <w:t>30, 34, 35</w:t>
            </w:r>
            <w:r w:rsidRPr="00E85018">
              <w:rPr>
                <w:rFonts w:ascii="Times New Roman" w:eastAsia="Times New Roman" w:hAnsi="Times New Roman" w:cs="Times New Roman"/>
                <w:bCs/>
                <w:sz w:val="24"/>
                <w:lang w:eastAsia="de-DE"/>
              </w:rPr>
              <w:t xml:space="preserve"> shall be disclosed</w:t>
            </w:r>
          </w:p>
        </w:tc>
      </w:tr>
      <w:tr w:rsidR="00825F5D" w:rsidRPr="00107FFE" w14:paraId="48BB765C"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736AE4EA" w14:textId="3B5BC72F"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30</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66DCE356"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Own AT1 instruments</w:t>
            </w:r>
          </w:p>
          <w:p w14:paraId="443A4908"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7AECCABE" w14:textId="77777777" w:rsidR="00825F5D" w:rsidRPr="00107FFE" w:rsidRDefault="00825F5D" w:rsidP="00825F5D">
            <w:pPr>
              <w:pStyle w:val="InstructionsText"/>
              <w:rPr>
                <w:rStyle w:val="FormatvorlageInstructionsTabelleText"/>
                <w:rFonts w:ascii="Times New Roman" w:eastAsiaTheme="minorHAnsi" w:hAnsi="Times New Roman"/>
                <w:bCs/>
                <w:sz w:val="24"/>
                <w:lang w:eastAsia="en-US"/>
              </w:rPr>
            </w:pPr>
            <w:r w:rsidRPr="00107FFE">
              <w:rPr>
                <w:rStyle w:val="FormatvorlageInstructionsTabelleText"/>
                <w:rFonts w:ascii="Times New Roman" w:hAnsi="Times New Roman"/>
                <w:sz w:val="24"/>
              </w:rPr>
              <w:t>Point (b) of Article 52(1), point (a) of Article 56 and Article 57 CRR</w:t>
            </w:r>
          </w:p>
          <w:p w14:paraId="692AE45D"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Own AT1 instruments held by the investment firm at the reporting date. Subject to exceptions in Article 57 CRR.</w:t>
            </w:r>
          </w:p>
          <w:p w14:paraId="2D87C20A" w14:textId="18085994"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The amount to be disclosed shall include the share premium related to the own shares.</w:t>
            </w:r>
          </w:p>
          <w:p w14:paraId="4C2BD5F2"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p>
        </w:tc>
      </w:tr>
      <w:tr w:rsidR="00825F5D" w:rsidRPr="00107FFE" w14:paraId="5F76C428" w14:textId="77777777" w:rsidTr="00AF1B12">
        <w:tblPrEx>
          <w:tblLook w:val="00A0" w:firstRow="1" w:lastRow="0" w:firstColumn="1" w:lastColumn="0" w:noHBand="0" w:noVBand="0"/>
        </w:tblPrEx>
        <w:tc>
          <w:tcPr>
            <w:tcW w:w="1129" w:type="dxa"/>
            <w:shd w:val="clear" w:color="auto" w:fill="auto"/>
            <w:vAlign w:val="center"/>
          </w:tcPr>
          <w:p w14:paraId="5AB89245" w14:textId="4AF53BFA"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31</w:t>
            </w:r>
          </w:p>
        </w:tc>
        <w:tc>
          <w:tcPr>
            <w:tcW w:w="7683" w:type="dxa"/>
            <w:tcBorders>
              <w:top w:val="nil"/>
              <w:left w:val="single" w:sz="4" w:space="0" w:color="auto"/>
              <w:bottom w:val="single" w:sz="4" w:space="0" w:color="auto"/>
              <w:right w:val="single" w:sz="4" w:space="0" w:color="auto"/>
            </w:tcBorders>
            <w:shd w:val="clear" w:color="auto" w:fill="auto"/>
            <w:vAlign w:val="bottom"/>
          </w:tcPr>
          <w:p w14:paraId="75D03BA7"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Direct holdings of AT1 instruments</w:t>
            </w:r>
          </w:p>
          <w:p w14:paraId="508D66A9" w14:textId="64BCE021"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(c) of Article 9(2) </w:t>
            </w:r>
            <w:r>
              <w:rPr>
                <w:rFonts w:ascii="Times New Roman" w:eastAsia="Times New Roman" w:hAnsi="Times New Roman" w:cs="Times New Roman"/>
                <w:bCs/>
                <w:sz w:val="24"/>
                <w:lang w:eastAsia="de-DE"/>
              </w:rPr>
              <w:t>IFR</w:t>
            </w:r>
          </w:p>
          <w:p w14:paraId="5BA837EF" w14:textId="6C0F2399" w:rsidR="00825F5D" w:rsidRPr="00107FFE" w:rsidRDefault="00825F5D" w:rsidP="00CE5E92">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w:t>
            </w:r>
            <w:r w:rsidR="00CE5E92">
              <w:rPr>
                <w:rFonts w:ascii="Times New Roman" w:eastAsia="Times New Roman" w:hAnsi="Times New Roman" w:cs="Times New Roman"/>
                <w:bCs/>
                <w:sz w:val="24"/>
                <w:lang w:eastAsia="de-DE"/>
              </w:rPr>
              <w:t>a</w:t>
            </w:r>
            <w:r w:rsidRPr="00107FFE">
              <w:rPr>
                <w:rFonts w:ascii="Times New Roman" w:eastAsia="Times New Roman" w:hAnsi="Times New Roman" w:cs="Times New Roman"/>
                <w:bCs/>
                <w:sz w:val="24"/>
                <w:lang w:eastAsia="de-DE"/>
              </w:rPr>
              <w:t xml:space="preserve">) of Article </w:t>
            </w:r>
            <w:r>
              <w:rPr>
                <w:rFonts w:ascii="Times New Roman" w:eastAsia="Times New Roman" w:hAnsi="Times New Roman" w:cs="Times New Roman"/>
                <w:bCs/>
                <w:sz w:val="24"/>
                <w:lang w:eastAsia="de-DE"/>
              </w:rPr>
              <w:t>5</w:t>
            </w:r>
            <w:r w:rsidRPr="00107FFE">
              <w:rPr>
                <w:rFonts w:ascii="Times New Roman" w:eastAsia="Times New Roman" w:hAnsi="Times New Roman" w:cs="Times New Roman"/>
                <w:bCs/>
                <w:sz w:val="24"/>
                <w:lang w:eastAsia="de-DE"/>
              </w:rPr>
              <w:t>6</w:t>
            </w:r>
            <w:r w:rsidR="00CE5E92">
              <w:rPr>
                <w:rFonts w:ascii="Times New Roman" w:eastAsia="Times New Roman" w:hAnsi="Times New Roman" w:cs="Times New Roman"/>
                <w:bCs/>
                <w:sz w:val="24"/>
                <w:lang w:eastAsia="de-DE"/>
              </w:rPr>
              <w:t xml:space="preserve"> </w:t>
            </w:r>
            <w:r w:rsidRPr="00107FFE">
              <w:rPr>
                <w:rFonts w:ascii="Times New Roman" w:eastAsia="Times New Roman" w:hAnsi="Times New Roman" w:cs="Times New Roman"/>
                <w:bCs/>
                <w:sz w:val="24"/>
                <w:lang w:eastAsia="de-DE"/>
              </w:rPr>
              <w:t>CRR</w:t>
            </w:r>
          </w:p>
        </w:tc>
      </w:tr>
      <w:tr w:rsidR="00825F5D" w:rsidRPr="00107FFE" w14:paraId="3DFC8A4F" w14:textId="77777777" w:rsidTr="00AF1B12">
        <w:tblPrEx>
          <w:tblLook w:val="00A0" w:firstRow="1" w:lastRow="0" w:firstColumn="1" w:lastColumn="0" w:noHBand="0" w:noVBand="0"/>
        </w:tblPrEx>
        <w:tc>
          <w:tcPr>
            <w:tcW w:w="1129" w:type="dxa"/>
            <w:shd w:val="clear" w:color="auto" w:fill="auto"/>
            <w:vAlign w:val="center"/>
          </w:tcPr>
          <w:p w14:paraId="6A5027CB" w14:textId="3D0AC0DC"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32</w:t>
            </w:r>
          </w:p>
        </w:tc>
        <w:tc>
          <w:tcPr>
            <w:tcW w:w="7683" w:type="dxa"/>
            <w:tcBorders>
              <w:top w:val="nil"/>
              <w:left w:val="single" w:sz="4" w:space="0" w:color="auto"/>
              <w:bottom w:val="single" w:sz="4" w:space="0" w:color="auto"/>
              <w:right w:val="single" w:sz="4" w:space="0" w:color="auto"/>
            </w:tcBorders>
            <w:shd w:val="clear" w:color="auto" w:fill="auto"/>
            <w:vAlign w:val="bottom"/>
          </w:tcPr>
          <w:p w14:paraId="20137ADA"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Indirect holdings of AT1 instruments</w:t>
            </w:r>
          </w:p>
          <w:p w14:paraId="265CCA73" w14:textId="562C7C83"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(c) of Article 9(2) </w:t>
            </w:r>
            <w:r>
              <w:rPr>
                <w:rFonts w:ascii="Times New Roman" w:eastAsia="Times New Roman" w:hAnsi="Times New Roman" w:cs="Times New Roman"/>
                <w:bCs/>
                <w:sz w:val="24"/>
                <w:lang w:eastAsia="de-DE"/>
              </w:rPr>
              <w:t>IFR</w:t>
            </w:r>
          </w:p>
          <w:p w14:paraId="50CF5BAB" w14:textId="6DC948A5" w:rsidR="00825F5D" w:rsidRPr="00107FFE" w:rsidRDefault="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w:t>
            </w:r>
            <w:r w:rsidR="00CE5E92">
              <w:rPr>
                <w:rFonts w:ascii="Times New Roman" w:eastAsia="Times New Roman" w:hAnsi="Times New Roman" w:cs="Times New Roman"/>
                <w:bCs/>
                <w:sz w:val="24"/>
                <w:lang w:eastAsia="de-DE"/>
              </w:rPr>
              <w:t>a</w:t>
            </w:r>
            <w:r w:rsidRPr="00107FFE">
              <w:rPr>
                <w:rFonts w:ascii="Times New Roman" w:eastAsia="Times New Roman" w:hAnsi="Times New Roman" w:cs="Times New Roman"/>
                <w:bCs/>
                <w:sz w:val="24"/>
                <w:lang w:eastAsia="de-DE"/>
              </w:rPr>
              <w:t xml:space="preserve">) of Article </w:t>
            </w:r>
            <w:r>
              <w:rPr>
                <w:rFonts w:ascii="Times New Roman" w:eastAsia="Times New Roman" w:hAnsi="Times New Roman" w:cs="Times New Roman"/>
                <w:bCs/>
                <w:sz w:val="24"/>
                <w:lang w:eastAsia="de-DE"/>
              </w:rPr>
              <w:t>5</w:t>
            </w:r>
            <w:r w:rsidRPr="00107FFE">
              <w:rPr>
                <w:rFonts w:ascii="Times New Roman" w:eastAsia="Times New Roman" w:hAnsi="Times New Roman" w:cs="Times New Roman"/>
                <w:bCs/>
                <w:sz w:val="24"/>
                <w:lang w:eastAsia="de-DE"/>
              </w:rPr>
              <w:t>6 CRR</w:t>
            </w:r>
          </w:p>
        </w:tc>
      </w:tr>
      <w:tr w:rsidR="00825F5D" w:rsidRPr="00107FFE" w14:paraId="59201D23" w14:textId="77777777" w:rsidTr="00AF1B12">
        <w:tblPrEx>
          <w:tblLook w:val="00A0" w:firstRow="1" w:lastRow="0" w:firstColumn="1" w:lastColumn="0" w:noHBand="0" w:noVBand="0"/>
        </w:tblPrEx>
        <w:tc>
          <w:tcPr>
            <w:tcW w:w="1129" w:type="dxa"/>
            <w:shd w:val="clear" w:color="auto" w:fill="auto"/>
            <w:vAlign w:val="center"/>
          </w:tcPr>
          <w:p w14:paraId="1C52D4B7" w14:textId="609585FF"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33</w:t>
            </w:r>
          </w:p>
        </w:tc>
        <w:tc>
          <w:tcPr>
            <w:tcW w:w="7683" w:type="dxa"/>
            <w:tcBorders>
              <w:top w:val="nil"/>
              <w:left w:val="single" w:sz="4" w:space="0" w:color="auto"/>
              <w:bottom w:val="single" w:sz="4" w:space="0" w:color="auto"/>
              <w:right w:val="single" w:sz="4" w:space="0" w:color="auto"/>
            </w:tcBorders>
            <w:shd w:val="clear" w:color="auto" w:fill="auto"/>
            <w:vAlign w:val="bottom"/>
          </w:tcPr>
          <w:p w14:paraId="30B7260E"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Synthetic holdings of AT1 instruments</w:t>
            </w:r>
          </w:p>
          <w:p w14:paraId="7D3BBC0D" w14:textId="7C310D8E"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(c) of Article 9(2) </w:t>
            </w:r>
            <w:r>
              <w:rPr>
                <w:rFonts w:ascii="Times New Roman" w:eastAsia="Times New Roman" w:hAnsi="Times New Roman" w:cs="Times New Roman"/>
                <w:bCs/>
                <w:sz w:val="24"/>
                <w:lang w:eastAsia="de-DE"/>
              </w:rPr>
              <w:t>IFR</w:t>
            </w:r>
          </w:p>
          <w:p w14:paraId="77AA3E2C" w14:textId="611FC8ED" w:rsidR="00825F5D" w:rsidRPr="00107FFE" w:rsidRDefault="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w:t>
            </w:r>
            <w:r w:rsidR="00CE5E92">
              <w:rPr>
                <w:rFonts w:ascii="Times New Roman" w:eastAsia="Times New Roman" w:hAnsi="Times New Roman" w:cs="Times New Roman"/>
                <w:bCs/>
                <w:sz w:val="24"/>
                <w:lang w:eastAsia="de-DE"/>
              </w:rPr>
              <w:t>a</w:t>
            </w:r>
            <w:r w:rsidRPr="00107FFE">
              <w:rPr>
                <w:rFonts w:ascii="Times New Roman" w:eastAsia="Times New Roman" w:hAnsi="Times New Roman" w:cs="Times New Roman"/>
                <w:bCs/>
                <w:sz w:val="24"/>
                <w:lang w:eastAsia="de-DE"/>
              </w:rPr>
              <w:t xml:space="preserve">) of Article </w:t>
            </w:r>
            <w:r>
              <w:rPr>
                <w:rFonts w:ascii="Times New Roman" w:eastAsia="Times New Roman" w:hAnsi="Times New Roman" w:cs="Times New Roman"/>
                <w:bCs/>
                <w:sz w:val="24"/>
                <w:lang w:eastAsia="de-DE"/>
              </w:rPr>
              <w:t>5</w:t>
            </w:r>
            <w:r w:rsidRPr="00107FFE">
              <w:rPr>
                <w:rFonts w:ascii="Times New Roman" w:eastAsia="Times New Roman" w:hAnsi="Times New Roman" w:cs="Times New Roman"/>
                <w:bCs/>
                <w:sz w:val="24"/>
                <w:lang w:eastAsia="de-DE"/>
              </w:rPr>
              <w:t>6</w:t>
            </w:r>
            <w:r w:rsidR="00CE5E92">
              <w:rPr>
                <w:rFonts w:ascii="Times New Roman" w:eastAsia="Times New Roman" w:hAnsi="Times New Roman" w:cs="Times New Roman"/>
                <w:bCs/>
                <w:sz w:val="24"/>
                <w:lang w:eastAsia="de-DE"/>
              </w:rPr>
              <w:t xml:space="preserve"> </w:t>
            </w:r>
            <w:r w:rsidRPr="00107FFE">
              <w:rPr>
                <w:rFonts w:ascii="Times New Roman" w:eastAsia="Times New Roman" w:hAnsi="Times New Roman" w:cs="Times New Roman"/>
                <w:bCs/>
                <w:sz w:val="24"/>
                <w:lang w:eastAsia="de-DE"/>
              </w:rPr>
              <w:t>CRR</w:t>
            </w:r>
          </w:p>
        </w:tc>
      </w:tr>
      <w:tr w:rsidR="00825F5D" w:rsidRPr="00107FFE" w14:paraId="3BEF35FE" w14:textId="77777777" w:rsidTr="00AF1B12">
        <w:tblPrEx>
          <w:tblLook w:val="00A0" w:firstRow="1" w:lastRow="0" w:firstColumn="1" w:lastColumn="0" w:noHBand="0" w:noVBand="0"/>
        </w:tblPrEx>
        <w:tc>
          <w:tcPr>
            <w:tcW w:w="1129" w:type="dxa"/>
            <w:shd w:val="clear" w:color="auto" w:fill="auto"/>
            <w:vAlign w:val="center"/>
          </w:tcPr>
          <w:p w14:paraId="400AAAFF" w14:textId="63426BD0"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34</w:t>
            </w:r>
          </w:p>
        </w:tc>
        <w:tc>
          <w:tcPr>
            <w:tcW w:w="7683" w:type="dxa"/>
            <w:tcBorders>
              <w:top w:val="nil"/>
              <w:left w:val="single" w:sz="4" w:space="0" w:color="auto"/>
              <w:bottom w:val="single" w:sz="4" w:space="0" w:color="auto"/>
              <w:right w:val="single" w:sz="4" w:space="0" w:color="auto"/>
            </w:tcBorders>
            <w:shd w:val="clear" w:color="auto" w:fill="auto"/>
            <w:vAlign w:val="bottom"/>
          </w:tcPr>
          <w:p w14:paraId="744EC5F6"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AT1 instruments of financial sector entities where the institution does not have a significant investment</w:t>
            </w:r>
          </w:p>
          <w:p w14:paraId="0D0D5998" w14:textId="1A08A2D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(c) of Article 9(2) </w:t>
            </w:r>
            <w:r>
              <w:rPr>
                <w:rFonts w:ascii="Times New Roman" w:eastAsia="Times New Roman" w:hAnsi="Times New Roman" w:cs="Times New Roman"/>
                <w:bCs/>
                <w:sz w:val="24"/>
                <w:lang w:eastAsia="de-DE"/>
              </w:rPr>
              <w:t>IFR</w:t>
            </w:r>
          </w:p>
          <w:p w14:paraId="5432CCFF" w14:textId="1B6C1F44" w:rsidR="00825F5D" w:rsidRPr="00107FFE" w:rsidRDefault="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(c) of Article 56 CRR</w:t>
            </w:r>
          </w:p>
        </w:tc>
      </w:tr>
      <w:tr w:rsidR="00825F5D" w:rsidRPr="00107FFE" w14:paraId="1E18EB12" w14:textId="77777777" w:rsidTr="00AF1B12">
        <w:tblPrEx>
          <w:tblLook w:val="00A0" w:firstRow="1" w:lastRow="0" w:firstColumn="1" w:lastColumn="0" w:noHBand="0" w:noVBand="0"/>
        </w:tblPrEx>
        <w:tc>
          <w:tcPr>
            <w:tcW w:w="1129" w:type="dxa"/>
            <w:shd w:val="clear" w:color="auto" w:fill="auto"/>
            <w:vAlign w:val="center"/>
          </w:tcPr>
          <w:p w14:paraId="62F72591" w14:textId="062F0526"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35</w:t>
            </w:r>
          </w:p>
        </w:tc>
        <w:tc>
          <w:tcPr>
            <w:tcW w:w="7683" w:type="dxa"/>
            <w:tcBorders>
              <w:top w:val="nil"/>
              <w:left w:val="single" w:sz="4" w:space="0" w:color="auto"/>
              <w:bottom w:val="single" w:sz="4" w:space="0" w:color="auto"/>
              <w:right w:val="single" w:sz="4" w:space="0" w:color="auto"/>
            </w:tcBorders>
            <w:shd w:val="clear" w:color="auto" w:fill="auto"/>
            <w:vAlign w:val="bottom"/>
          </w:tcPr>
          <w:p w14:paraId="3E6912C7"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AT1 instruments of financial sector entities where the institution has a significant investment</w:t>
            </w:r>
          </w:p>
          <w:p w14:paraId="600233BC" w14:textId="4DF6FEC3"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(c) of Article 9(2) </w:t>
            </w:r>
            <w:r>
              <w:rPr>
                <w:rFonts w:ascii="Times New Roman" w:eastAsia="Times New Roman" w:hAnsi="Times New Roman" w:cs="Times New Roman"/>
                <w:bCs/>
                <w:sz w:val="24"/>
                <w:lang w:eastAsia="de-DE"/>
              </w:rPr>
              <w:t>IFR</w:t>
            </w:r>
          </w:p>
          <w:p w14:paraId="4F878C29" w14:textId="1DF82E26" w:rsidR="00825F5D" w:rsidRPr="00107FFE" w:rsidRDefault="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(d) of Article 56 CRR</w:t>
            </w:r>
          </w:p>
        </w:tc>
      </w:tr>
      <w:tr w:rsidR="00825F5D" w:rsidRPr="00107FFE" w14:paraId="09DD7EA9" w14:textId="77777777" w:rsidTr="00AF1B12">
        <w:tblPrEx>
          <w:tblLook w:val="00A0" w:firstRow="1" w:lastRow="0" w:firstColumn="1" w:lastColumn="0" w:noHBand="0" w:noVBand="0"/>
        </w:tblPrEx>
        <w:tc>
          <w:tcPr>
            <w:tcW w:w="1129" w:type="dxa"/>
            <w:shd w:val="clear" w:color="auto" w:fill="auto"/>
            <w:vAlign w:val="center"/>
          </w:tcPr>
          <w:p w14:paraId="3CFED3C7" w14:textId="54E53C93"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36</w:t>
            </w:r>
          </w:p>
        </w:tc>
        <w:tc>
          <w:tcPr>
            <w:tcW w:w="7683" w:type="dxa"/>
            <w:tcBorders>
              <w:top w:val="single" w:sz="8" w:space="0" w:color="auto"/>
              <w:left w:val="single" w:sz="4" w:space="0" w:color="auto"/>
              <w:bottom w:val="single" w:sz="4" w:space="0" w:color="auto"/>
              <w:right w:val="single" w:sz="4" w:space="0" w:color="auto"/>
            </w:tcBorders>
            <w:shd w:val="clear" w:color="auto" w:fill="auto"/>
            <w:vAlign w:val="bottom"/>
          </w:tcPr>
          <w:p w14:paraId="170F42A7" w14:textId="77777777" w:rsidR="00825F5D" w:rsidRPr="00BC5CCC" w:rsidRDefault="00825F5D" w:rsidP="00825F5D">
            <w:pPr>
              <w:spacing w:after="120"/>
              <w:jc w:val="both"/>
              <w:rPr>
                <w:rFonts w:ascii="Times New Roman" w:eastAsia="Times New Roman" w:hAnsi="Times New Roman" w:cs="Times New Roman"/>
                <w:b/>
                <w:bCs/>
                <w:sz w:val="24"/>
                <w:u w:val="single"/>
                <w:lang w:val="fr-FR" w:eastAsia="de-DE"/>
              </w:rPr>
            </w:pPr>
            <w:r w:rsidRPr="00BC5CCC">
              <w:rPr>
                <w:rFonts w:ascii="Times New Roman" w:eastAsia="Times New Roman" w:hAnsi="Times New Roman" w:cs="Times New Roman"/>
                <w:b/>
                <w:bCs/>
                <w:sz w:val="24"/>
                <w:u w:val="single"/>
                <w:lang w:val="fr-FR" w:eastAsia="de-DE"/>
              </w:rPr>
              <w:t>TIER 2 CAPITAL</w:t>
            </w:r>
          </w:p>
          <w:p w14:paraId="3F7CAD7A" w14:textId="7B395E73" w:rsidR="00825F5D" w:rsidRPr="00BC5CCC" w:rsidRDefault="00825F5D" w:rsidP="00825F5D">
            <w:pPr>
              <w:spacing w:after="120"/>
              <w:jc w:val="both"/>
              <w:rPr>
                <w:rFonts w:ascii="Times New Roman" w:eastAsia="Times New Roman" w:hAnsi="Times New Roman" w:cs="Times New Roman"/>
                <w:bCs/>
                <w:sz w:val="24"/>
                <w:lang w:val="fr-FR" w:eastAsia="de-DE"/>
              </w:rPr>
            </w:pPr>
            <w:r w:rsidRPr="00BC5CCC">
              <w:rPr>
                <w:rFonts w:ascii="Times New Roman" w:eastAsia="Times New Roman" w:hAnsi="Times New Roman" w:cs="Times New Roman"/>
                <w:bCs/>
                <w:sz w:val="24"/>
                <w:lang w:val="fr-FR" w:eastAsia="de-DE"/>
              </w:rPr>
              <w:t>Article 9 (2) IFR</w:t>
            </w:r>
          </w:p>
          <w:p w14:paraId="19042ECB" w14:textId="77777777" w:rsidR="00825F5D" w:rsidRPr="00BC5CCC" w:rsidRDefault="00825F5D" w:rsidP="00825F5D">
            <w:pPr>
              <w:spacing w:after="120"/>
              <w:jc w:val="both"/>
              <w:rPr>
                <w:rStyle w:val="FormatvorlageInstructionsTabelleText"/>
                <w:rFonts w:ascii="Times New Roman" w:hAnsi="Times New Roman"/>
                <w:sz w:val="24"/>
                <w:lang w:val="fr-FR"/>
              </w:rPr>
            </w:pPr>
            <w:r w:rsidRPr="00BC5CCC">
              <w:rPr>
                <w:rStyle w:val="FormatvorlageInstructionsTabelleText"/>
                <w:rFonts w:ascii="Times New Roman" w:hAnsi="Times New Roman"/>
                <w:sz w:val="24"/>
                <w:lang w:val="fr-FR"/>
              </w:rPr>
              <w:t>Article 71 CRR</w:t>
            </w:r>
          </w:p>
          <w:p w14:paraId="2D17ECA0" w14:textId="4DB21238"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3</w:t>
            </w:r>
            <w:r w:rsidR="007B2049">
              <w:rPr>
                <w:rFonts w:ascii="Times New Roman" w:eastAsia="Times New Roman" w:hAnsi="Times New Roman" w:cs="Times New Roman"/>
                <w:bCs/>
                <w:sz w:val="24"/>
                <w:lang w:eastAsia="de-DE"/>
              </w:rPr>
              <w:t>7</w:t>
            </w:r>
            <w:r w:rsidRPr="00107FFE">
              <w:rPr>
                <w:rFonts w:ascii="Times New Roman" w:eastAsia="Times New Roman" w:hAnsi="Times New Roman" w:cs="Times New Roman"/>
                <w:bCs/>
                <w:sz w:val="24"/>
                <w:lang w:eastAsia="de-DE"/>
              </w:rPr>
              <w:t xml:space="preserve"> </w:t>
            </w:r>
            <w:r>
              <w:rPr>
                <w:rFonts w:ascii="Times New Roman" w:eastAsia="Times New Roman" w:hAnsi="Times New Roman" w:cs="Times New Roman"/>
                <w:bCs/>
                <w:sz w:val="24"/>
                <w:lang w:eastAsia="de-DE"/>
              </w:rPr>
              <w:t xml:space="preserve">to </w:t>
            </w:r>
            <w:r w:rsidR="007B2049">
              <w:rPr>
                <w:rFonts w:ascii="Times New Roman" w:eastAsia="Times New Roman" w:hAnsi="Times New Roman" w:cs="Times New Roman"/>
                <w:bCs/>
                <w:sz w:val="24"/>
                <w:lang w:eastAsia="de-DE"/>
              </w:rPr>
              <w:t>40</w:t>
            </w:r>
            <w:r w:rsidRPr="00107FFE">
              <w:rPr>
                <w:rFonts w:ascii="Times New Roman" w:eastAsia="Times New Roman" w:hAnsi="Times New Roman" w:cs="Times New Roman"/>
                <w:bCs/>
                <w:sz w:val="24"/>
                <w:lang w:eastAsia="de-DE"/>
              </w:rPr>
              <w:t xml:space="preserve"> </w:t>
            </w:r>
            <w:proofErr w:type="gramStart"/>
            <w:r w:rsidRPr="00107FFE">
              <w:rPr>
                <w:rFonts w:ascii="Times New Roman" w:eastAsia="Times New Roman" w:hAnsi="Times New Roman" w:cs="Times New Roman"/>
                <w:bCs/>
                <w:sz w:val="24"/>
                <w:lang w:eastAsia="de-DE"/>
              </w:rPr>
              <w:t>shall be disclosed</w:t>
            </w:r>
            <w:proofErr w:type="gramEnd"/>
            <w:r>
              <w:rPr>
                <w:rFonts w:ascii="Times New Roman" w:eastAsia="Times New Roman" w:hAnsi="Times New Roman" w:cs="Times New Roman"/>
                <w:bCs/>
                <w:sz w:val="24"/>
                <w:lang w:eastAsia="de-DE"/>
              </w:rPr>
              <w:t>.</w:t>
            </w:r>
          </w:p>
        </w:tc>
      </w:tr>
      <w:tr w:rsidR="00825F5D" w:rsidRPr="00107FFE" w14:paraId="370863C3" w14:textId="77777777" w:rsidTr="00AF1B12">
        <w:tblPrEx>
          <w:tblLook w:val="00A0" w:firstRow="1" w:lastRow="0" w:firstColumn="1" w:lastColumn="0" w:noHBand="0" w:noVBand="0"/>
        </w:tblPrEx>
        <w:tc>
          <w:tcPr>
            <w:tcW w:w="1129" w:type="dxa"/>
            <w:shd w:val="clear" w:color="auto" w:fill="auto"/>
            <w:vAlign w:val="center"/>
          </w:tcPr>
          <w:p w14:paraId="1150C648" w14:textId="4371DC1D"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37</w:t>
            </w:r>
          </w:p>
        </w:tc>
        <w:tc>
          <w:tcPr>
            <w:tcW w:w="7683" w:type="dxa"/>
            <w:tcBorders>
              <w:top w:val="nil"/>
              <w:left w:val="single" w:sz="4" w:space="0" w:color="auto"/>
              <w:bottom w:val="single" w:sz="4" w:space="0" w:color="auto"/>
              <w:right w:val="single" w:sz="4" w:space="0" w:color="auto"/>
            </w:tcBorders>
            <w:shd w:val="clear" w:color="auto" w:fill="auto"/>
            <w:vAlign w:val="bottom"/>
          </w:tcPr>
          <w:p w14:paraId="62D36410"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Paid up capital instruments</w:t>
            </w:r>
          </w:p>
          <w:p w14:paraId="0038D068"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7A60E21C" w14:textId="77777777" w:rsidR="00825F5D" w:rsidRPr="00107FFE" w:rsidRDefault="00825F5D" w:rsidP="00825F5D">
            <w:pPr>
              <w:pStyle w:val="InstructionsText"/>
              <w:rPr>
                <w:rStyle w:val="FormatvorlageInstructionsTabelleText"/>
                <w:rFonts w:ascii="Times New Roman" w:eastAsiaTheme="minorHAnsi" w:hAnsi="Times New Roman"/>
                <w:bCs/>
                <w:sz w:val="24"/>
                <w:lang w:eastAsia="en-US"/>
              </w:rPr>
            </w:pPr>
            <w:r w:rsidRPr="00107FFE">
              <w:rPr>
                <w:rStyle w:val="FormatvorlageInstructionsTabelleText"/>
                <w:rFonts w:ascii="Times New Roman" w:hAnsi="Times New Roman"/>
                <w:sz w:val="24"/>
              </w:rPr>
              <w:t>Point (a) of Article 62, Articles 63 and 65 CRR</w:t>
            </w:r>
          </w:p>
          <w:p w14:paraId="71CF4148" w14:textId="23A67034"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lastRenderedPageBreak/>
              <w:t>The amount to be disclosed shall not include the share premium related to the instruments</w:t>
            </w:r>
          </w:p>
        </w:tc>
      </w:tr>
      <w:tr w:rsidR="00825F5D" w:rsidRPr="00107FFE" w14:paraId="4AF6B000" w14:textId="77777777" w:rsidTr="00AF1B12">
        <w:tblPrEx>
          <w:tblLook w:val="00A0" w:firstRow="1" w:lastRow="0" w:firstColumn="1" w:lastColumn="0" w:noHBand="0" w:noVBand="0"/>
        </w:tblPrEx>
        <w:tc>
          <w:tcPr>
            <w:tcW w:w="1129" w:type="dxa"/>
            <w:shd w:val="clear" w:color="auto" w:fill="auto"/>
            <w:vAlign w:val="center"/>
          </w:tcPr>
          <w:p w14:paraId="57E80C60" w14:textId="02162259"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lastRenderedPageBreak/>
              <w:t>38</w:t>
            </w:r>
          </w:p>
        </w:tc>
        <w:tc>
          <w:tcPr>
            <w:tcW w:w="7683" w:type="dxa"/>
            <w:tcBorders>
              <w:top w:val="nil"/>
              <w:left w:val="single" w:sz="4" w:space="0" w:color="auto"/>
              <w:bottom w:val="single" w:sz="4" w:space="0" w:color="auto"/>
              <w:right w:val="single" w:sz="4" w:space="0" w:color="auto"/>
            </w:tcBorders>
            <w:shd w:val="clear" w:color="auto" w:fill="auto"/>
            <w:vAlign w:val="bottom"/>
          </w:tcPr>
          <w:p w14:paraId="7C2FA539"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Share premium </w:t>
            </w:r>
          </w:p>
          <w:p w14:paraId="3C511ADB"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6E6AA35F"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62 and Article 65 CRR</w:t>
            </w:r>
          </w:p>
          <w:p w14:paraId="0C0A60E9"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Share premium has the same meaning as under the applicable accounting standard. </w:t>
            </w:r>
          </w:p>
          <w:p w14:paraId="0534859E" w14:textId="0613DFD9" w:rsidR="00825F5D" w:rsidRPr="00107FFE" w:rsidRDefault="00825F5D" w:rsidP="00825F5D">
            <w:pPr>
              <w:pStyle w:val="InstructionsText"/>
            </w:pPr>
            <w:r w:rsidRPr="00107FFE">
              <w:rPr>
                <w:rStyle w:val="FormatvorlageInstructionsTabelleText"/>
                <w:rFonts w:ascii="Times New Roman" w:hAnsi="Times New Roman"/>
                <w:sz w:val="24"/>
              </w:rPr>
              <w:t xml:space="preserve">The amount to </w:t>
            </w:r>
            <w:proofErr w:type="gramStart"/>
            <w:r w:rsidRPr="00107FFE">
              <w:rPr>
                <w:rStyle w:val="FormatvorlageInstructionsTabelleText"/>
                <w:rFonts w:ascii="Times New Roman" w:hAnsi="Times New Roman"/>
                <w:sz w:val="24"/>
              </w:rPr>
              <w:t>be disclosed</w:t>
            </w:r>
            <w:proofErr w:type="gramEnd"/>
            <w:r w:rsidRPr="00107FFE">
              <w:rPr>
                <w:rStyle w:val="FormatvorlageInstructionsTabelleText"/>
                <w:rFonts w:ascii="Times New Roman" w:hAnsi="Times New Roman"/>
                <w:sz w:val="24"/>
              </w:rPr>
              <w:t xml:space="preserve"> in this item shall be the part related to the "Paid up capital instruments".</w:t>
            </w:r>
          </w:p>
        </w:tc>
      </w:tr>
      <w:tr w:rsidR="00825F5D" w:rsidRPr="00107FFE" w14:paraId="22A298B9" w14:textId="77777777" w:rsidTr="00AF1B12">
        <w:tblPrEx>
          <w:tblLook w:val="00A0" w:firstRow="1" w:lastRow="0" w:firstColumn="1" w:lastColumn="0" w:noHBand="0" w:noVBand="0"/>
        </w:tblPrEx>
        <w:tc>
          <w:tcPr>
            <w:tcW w:w="1129" w:type="dxa"/>
            <w:shd w:val="clear" w:color="auto" w:fill="auto"/>
            <w:vAlign w:val="center"/>
          </w:tcPr>
          <w:p w14:paraId="74CAD347" w14:textId="263073B2"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39</w:t>
            </w:r>
          </w:p>
        </w:tc>
        <w:tc>
          <w:tcPr>
            <w:tcW w:w="7683" w:type="dxa"/>
            <w:tcBorders>
              <w:top w:val="nil"/>
              <w:left w:val="single" w:sz="4" w:space="0" w:color="auto"/>
              <w:bottom w:val="single" w:sz="4" w:space="0" w:color="auto"/>
              <w:right w:val="single" w:sz="4" w:space="0" w:color="auto"/>
            </w:tcBorders>
            <w:shd w:val="clear" w:color="auto" w:fill="auto"/>
            <w:vAlign w:val="bottom"/>
          </w:tcPr>
          <w:p w14:paraId="24183E7C"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Subordinated loans </w:t>
            </w:r>
          </w:p>
          <w:p w14:paraId="5121DFE8"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62 and Article 63 CRR</w:t>
            </w:r>
          </w:p>
          <w:p w14:paraId="1B979E5A"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p>
        </w:tc>
      </w:tr>
      <w:tr w:rsidR="00825F5D" w:rsidRPr="00107FFE" w14:paraId="2FA62E8F" w14:textId="77777777" w:rsidTr="00AF1B12">
        <w:tblPrEx>
          <w:tblLook w:val="00A0" w:firstRow="1" w:lastRow="0" w:firstColumn="1" w:lastColumn="0" w:noHBand="0" w:noVBand="0"/>
        </w:tblPrEx>
        <w:tc>
          <w:tcPr>
            <w:tcW w:w="1129" w:type="dxa"/>
            <w:shd w:val="clear" w:color="auto" w:fill="auto"/>
            <w:vAlign w:val="center"/>
          </w:tcPr>
          <w:p w14:paraId="52C9A342" w14:textId="2BD33275" w:rsidR="00825F5D" w:rsidRPr="00A0189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40</w:t>
            </w:r>
          </w:p>
        </w:tc>
        <w:tc>
          <w:tcPr>
            <w:tcW w:w="7683" w:type="dxa"/>
            <w:tcBorders>
              <w:top w:val="nil"/>
              <w:left w:val="single" w:sz="4" w:space="0" w:color="auto"/>
              <w:bottom w:val="single" w:sz="4" w:space="0" w:color="auto"/>
              <w:right w:val="single" w:sz="4" w:space="0" w:color="auto"/>
            </w:tcBorders>
            <w:shd w:val="clear" w:color="auto" w:fill="auto"/>
            <w:vAlign w:val="bottom"/>
          </w:tcPr>
          <w:p w14:paraId="1C8901B5"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TOTAL DEDUCTIONS FROM TIER 2</w:t>
            </w:r>
          </w:p>
          <w:p w14:paraId="4F13315A" w14:textId="77777777" w:rsidR="00825F5D" w:rsidRPr="00107FFE" w:rsidRDefault="00825F5D" w:rsidP="00825F5D">
            <w:pPr>
              <w:spacing w:after="120"/>
              <w:jc w:val="both"/>
              <w:rPr>
                <w:rFonts w:ascii="Times New Roman" w:hAnsi="Times New Roman" w:cs="Times New Roman"/>
                <w:sz w:val="24"/>
              </w:rPr>
            </w:pPr>
            <w:r w:rsidRPr="00107FFE">
              <w:rPr>
                <w:rFonts w:ascii="Times New Roman" w:hAnsi="Times New Roman" w:cs="Times New Roman"/>
                <w:sz w:val="24"/>
              </w:rPr>
              <w:t>Article 66 of CRR</w:t>
            </w:r>
          </w:p>
          <w:p w14:paraId="2E59372B" w14:textId="60438539" w:rsidR="00825F5D" w:rsidRPr="009E2F32" w:rsidRDefault="00825F5D" w:rsidP="00373588">
            <w:pPr>
              <w:spacing w:after="120"/>
              <w:jc w:val="both"/>
              <w:rPr>
                <w:rFonts w:ascii="Times New Roman" w:eastAsia="Times New Roman" w:hAnsi="Times New Roman" w:cs="Times New Roman"/>
                <w:bCs/>
                <w:sz w:val="24"/>
                <w:lang w:eastAsia="de-DE"/>
              </w:rPr>
            </w:pPr>
            <w:r w:rsidRPr="009E2F32">
              <w:rPr>
                <w:rFonts w:ascii="Times New Roman" w:eastAsia="Times New Roman" w:hAnsi="Times New Roman" w:cs="Times New Roman"/>
                <w:bCs/>
                <w:sz w:val="24"/>
                <w:lang w:eastAsia="de-DE"/>
              </w:rPr>
              <w:t>The total sum of rows 41</w:t>
            </w:r>
            <w:r w:rsidR="007B2049">
              <w:rPr>
                <w:rFonts w:ascii="Times New Roman" w:eastAsia="Times New Roman" w:hAnsi="Times New Roman" w:cs="Times New Roman"/>
                <w:bCs/>
                <w:sz w:val="24"/>
                <w:lang w:eastAsia="de-DE"/>
              </w:rPr>
              <w:t>,45,46</w:t>
            </w:r>
            <w:r w:rsidRPr="009E2F32">
              <w:rPr>
                <w:rFonts w:ascii="Times New Roman" w:eastAsia="Times New Roman" w:hAnsi="Times New Roman" w:cs="Times New Roman"/>
                <w:bCs/>
                <w:sz w:val="24"/>
                <w:lang w:eastAsia="de-DE"/>
              </w:rPr>
              <w:t xml:space="preserve"> shall be disclosed</w:t>
            </w:r>
          </w:p>
        </w:tc>
      </w:tr>
      <w:tr w:rsidR="00825F5D" w:rsidRPr="00107FFE" w14:paraId="24F52280" w14:textId="77777777" w:rsidTr="00AF1B12">
        <w:tblPrEx>
          <w:tblLook w:val="00A0" w:firstRow="1" w:lastRow="0" w:firstColumn="1" w:lastColumn="0" w:noHBand="0" w:noVBand="0"/>
        </w:tblPrEx>
        <w:tc>
          <w:tcPr>
            <w:tcW w:w="1129" w:type="dxa"/>
            <w:shd w:val="clear" w:color="auto" w:fill="auto"/>
            <w:vAlign w:val="center"/>
          </w:tcPr>
          <w:p w14:paraId="1554F7CC" w14:textId="195AC9EE"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41</w:t>
            </w:r>
          </w:p>
        </w:tc>
        <w:tc>
          <w:tcPr>
            <w:tcW w:w="7683" w:type="dxa"/>
            <w:tcBorders>
              <w:top w:val="nil"/>
              <w:left w:val="single" w:sz="4" w:space="0" w:color="auto"/>
              <w:bottom w:val="single" w:sz="4" w:space="0" w:color="auto"/>
              <w:right w:val="single" w:sz="4" w:space="0" w:color="auto"/>
            </w:tcBorders>
            <w:shd w:val="clear" w:color="auto" w:fill="auto"/>
            <w:vAlign w:val="bottom"/>
          </w:tcPr>
          <w:p w14:paraId="77B30A66"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Own T2 instruments</w:t>
            </w:r>
          </w:p>
          <w:p w14:paraId="03949A7A"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44C0F066"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(b)(i) of Article 63, point (a) of Article 66, and Article 67 CRR</w:t>
            </w:r>
          </w:p>
          <w:p w14:paraId="38D358F7"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Own T2 instruments held by the reporting institution or group at the reporting date. Subject to exceptions in Article 67 CRR.</w:t>
            </w:r>
          </w:p>
          <w:p w14:paraId="1F08C264" w14:textId="7227B9E6"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Holdings on shares included as "Capital instruments not eligible" </w:t>
            </w:r>
            <w:proofErr w:type="gramStart"/>
            <w:r w:rsidRPr="00107FFE">
              <w:rPr>
                <w:rStyle w:val="FormatvorlageInstructionsTabelleText"/>
                <w:rFonts w:ascii="Times New Roman" w:hAnsi="Times New Roman"/>
                <w:sz w:val="24"/>
              </w:rPr>
              <w:t>shall not be disclosed</w:t>
            </w:r>
            <w:proofErr w:type="gramEnd"/>
            <w:r w:rsidRPr="00107FFE">
              <w:rPr>
                <w:rStyle w:val="FormatvorlageInstructionsTabelleText"/>
                <w:rFonts w:ascii="Times New Roman" w:hAnsi="Times New Roman"/>
                <w:sz w:val="24"/>
              </w:rPr>
              <w:t xml:space="preserve"> in this row.</w:t>
            </w:r>
          </w:p>
          <w:p w14:paraId="2E1634D2" w14:textId="420FE26C" w:rsidR="00825F5D" w:rsidRPr="00107FFE" w:rsidRDefault="00825F5D" w:rsidP="00825F5D">
            <w:pPr>
              <w:pStyle w:val="InstructionsText"/>
            </w:pPr>
            <w:r w:rsidRPr="00107FFE">
              <w:rPr>
                <w:rStyle w:val="FormatvorlageInstructionsTabelleText"/>
                <w:rFonts w:ascii="Times New Roman" w:hAnsi="Times New Roman"/>
                <w:sz w:val="24"/>
              </w:rPr>
              <w:t>The amount to be disclosed shall include the share premium related to the own shares.</w:t>
            </w:r>
          </w:p>
        </w:tc>
      </w:tr>
      <w:tr w:rsidR="00825F5D" w:rsidRPr="00107FFE" w14:paraId="292B3DF6" w14:textId="77777777" w:rsidTr="00AF1B12">
        <w:tblPrEx>
          <w:tblLook w:val="00A0" w:firstRow="1" w:lastRow="0" w:firstColumn="1" w:lastColumn="0" w:noHBand="0" w:noVBand="0"/>
        </w:tblPrEx>
        <w:tc>
          <w:tcPr>
            <w:tcW w:w="1129" w:type="dxa"/>
            <w:shd w:val="clear" w:color="auto" w:fill="auto"/>
            <w:vAlign w:val="center"/>
          </w:tcPr>
          <w:p w14:paraId="6B39438B" w14:textId="4B016A5B"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42</w:t>
            </w:r>
          </w:p>
        </w:tc>
        <w:tc>
          <w:tcPr>
            <w:tcW w:w="7683" w:type="dxa"/>
            <w:tcBorders>
              <w:top w:val="nil"/>
              <w:left w:val="single" w:sz="4" w:space="0" w:color="auto"/>
              <w:bottom w:val="single" w:sz="4" w:space="0" w:color="auto"/>
              <w:right w:val="single" w:sz="4" w:space="0" w:color="auto"/>
            </w:tcBorders>
            <w:shd w:val="clear" w:color="auto" w:fill="auto"/>
            <w:vAlign w:val="bottom"/>
          </w:tcPr>
          <w:p w14:paraId="0EE10A6F"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Direct holdings of T2 instruments</w:t>
            </w:r>
          </w:p>
          <w:p w14:paraId="6A59FD31"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63, point (a) of Article 66 and Article 67 CRR</w:t>
            </w:r>
          </w:p>
          <w:p w14:paraId="19533BD6"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p>
        </w:tc>
      </w:tr>
      <w:tr w:rsidR="00825F5D" w:rsidRPr="00107FFE" w14:paraId="5F4CB641" w14:textId="77777777" w:rsidTr="00AF1B12">
        <w:tblPrEx>
          <w:tblLook w:val="00A0" w:firstRow="1" w:lastRow="0" w:firstColumn="1" w:lastColumn="0" w:noHBand="0" w:noVBand="0"/>
        </w:tblPrEx>
        <w:tc>
          <w:tcPr>
            <w:tcW w:w="1129" w:type="dxa"/>
            <w:shd w:val="clear" w:color="auto" w:fill="auto"/>
            <w:vAlign w:val="center"/>
          </w:tcPr>
          <w:p w14:paraId="7AF4C933" w14:textId="1059F60F"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43</w:t>
            </w:r>
          </w:p>
        </w:tc>
        <w:tc>
          <w:tcPr>
            <w:tcW w:w="7683" w:type="dxa"/>
            <w:tcBorders>
              <w:top w:val="nil"/>
              <w:left w:val="single" w:sz="4" w:space="0" w:color="auto"/>
              <w:bottom w:val="single" w:sz="4" w:space="0" w:color="auto"/>
              <w:right w:val="single" w:sz="4" w:space="0" w:color="auto"/>
            </w:tcBorders>
            <w:shd w:val="clear" w:color="auto" w:fill="auto"/>
            <w:vAlign w:val="bottom"/>
          </w:tcPr>
          <w:p w14:paraId="1BD7AAA2"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Indirect holdings of T2 instruments</w:t>
            </w:r>
          </w:p>
          <w:p w14:paraId="3BB9BB21"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Point (114) of Article 4(1), point (b) of Article 63, point (a) of Article 66 and Article 67 CRR</w:t>
            </w:r>
          </w:p>
        </w:tc>
      </w:tr>
      <w:tr w:rsidR="00825F5D" w:rsidRPr="00107FFE" w14:paraId="5D50D044" w14:textId="77777777" w:rsidTr="00AF1B12">
        <w:tblPrEx>
          <w:tblLook w:val="00A0" w:firstRow="1" w:lastRow="0" w:firstColumn="1" w:lastColumn="0" w:noHBand="0" w:noVBand="0"/>
        </w:tblPrEx>
        <w:tc>
          <w:tcPr>
            <w:tcW w:w="1129" w:type="dxa"/>
            <w:shd w:val="clear" w:color="auto" w:fill="auto"/>
            <w:vAlign w:val="center"/>
          </w:tcPr>
          <w:p w14:paraId="1CF8D094" w14:textId="66415E7C"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44</w:t>
            </w:r>
          </w:p>
        </w:tc>
        <w:tc>
          <w:tcPr>
            <w:tcW w:w="7683" w:type="dxa"/>
            <w:tcBorders>
              <w:top w:val="nil"/>
              <w:left w:val="single" w:sz="4" w:space="0" w:color="auto"/>
              <w:bottom w:val="single" w:sz="4" w:space="0" w:color="auto"/>
              <w:right w:val="single" w:sz="4" w:space="0" w:color="auto"/>
            </w:tcBorders>
            <w:shd w:val="clear" w:color="auto" w:fill="auto"/>
            <w:vAlign w:val="bottom"/>
          </w:tcPr>
          <w:p w14:paraId="10668600"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Synthetic holdings of T2 instruments</w:t>
            </w:r>
          </w:p>
          <w:p w14:paraId="482F655F"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Point (126) of Article 4(1), point (b) of Article 63, point (a) of Article 66 and Article 67 CRR</w:t>
            </w:r>
          </w:p>
        </w:tc>
      </w:tr>
      <w:tr w:rsidR="00825F5D" w:rsidRPr="00107FFE" w14:paraId="166A7C3C" w14:textId="77777777" w:rsidTr="00AF1B12">
        <w:tblPrEx>
          <w:tblLook w:val="00A0" w:firstRow="1" w:lastRow="0" w:firstColumn="1" w:lastColumn="0" w:noHBand="0" w:noVBand="0"/>
        </w:tblPrEx>
        <w:tc>
          <w:tcPr>
            <w:tcW w:w="1129" w:type="dxa"/>
            <w:shd w:val="clear" w:color="auto" w:fill="auto"/>
            <w:vAlign w:val="center"/>
          </w:tcPr>
          <w:p w14:paraId="0052A9FB" w14:textId="74D2AE5C" w:rsidR="00825F5D" w:rsidRPr="00F94AE9" w:rsidRDefault="00825F5D" w:rsidP="00825F5D">
            <w:pPr>
              <w:spacing w:after="120"/>
              <w:jc w:val="both"/>
              <w:rPr>
                <w:rFonts w:ascii="Times New Roman" w:eastAsia="Times New Roman" w:hAnsi="Times New Roman" w:cs="Times New Roman"/>
                <w:bCs/>
                <w:sz w:val="24"/>
                <w:lang w:eastAsia="de-DE"/>
              </w:rPr>
            </w:pPr>
            <w:r w:rsidRPr="009E2F32">
              <w:rPr>
                <w:rFonts w:ascii="Times New Roman" w:hAnsi="Times New Roman" w:cs="Times New Roman"/>
                <w:color w:val="000000"/>
                <w:sz w:val="24"/>
              </w:rPr>
              <w:t>45</w:t>
            </w:r>
          </w:p>
        </w:tc>
        <w:tc>
          <w:tcPr>
            <w:tcW w:w="7683" w:type="dxa"/>
            <w:tcBorders>
              <w:top w:val="nil"/>
              <w:left w:val="single" w:sz="4" w:space="0" w:color="auto"/>
              <w:bottom w:val="single" w:sz="4" w:space="0" w:color="auto"/>
              <w:right w:val="single" w:sz="4" w:space="0" w:color="auto"/>
            </w:tcBorders>
            <w:shd w:val="clear" w:color="auto" w:fill="auto"/>
            <w:vAlign w:val="bottom"/>
          </w:tcPr>
          <w:p w14:paraId="7E4FBD86"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T2 instruments of financial sector entities where the institution does not have a significant investment</w:t>
            </w:r>
          </w:p>
          <w:p w14:paraId="5426B87D" w14:textId="4D177D96"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(c) of Article 9(2) </w:t>
            </w:r>
            <w:r>
              <w:rPr>
                <w:rFonts w:ascii="Times New Roman" w:eastAsia="Times New Roman" w:hAnsi="Times New Roman" w:cs="Times New Roman"/>
                <w:bCs/>
                <w:sz w:val="24"/>
                <w:lang w:eastAsia="de-DE"/>
              </w:rPr>
              <w:t>IFR</w:t>
            </w:r>
          </w:p>
          <w:p w14:paraId="6C80708B" w14:textId="550F355B" w:rsidR="00825F5D" w:rsidRPr="00107FFE" w:rsidRDefault="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 xml:space="preserve">Point (c) of Article </w:t>
            </w:r>
            <w:r>
              <w:rPr>
                <w:rFonts w:ascii="Times New Roman" w:eastAsia="Times New Roman" w:hAnsi="Times New Roman" w:cs="Times New Roman"/>
                <w:bCs/>
                <w:sz w:val="24"/>
                <w:lang w:eastAsia="de-DE"/>
              </w:rPr>
              <w:t>6</w:t>
            </w:r>
            <w:r w:rsidRPr="00107FFE">
              <w:rPr>
                <w:rFonts w:ascii="Times New Roman" w:eastAsia="Times New Roman" w:hAnsi="Times New Roman" w:cs="Times New Roman"/>
                <w:bCs/>
                <w:sz w:val="24"/>
                <w:lang w:eastAsia="de-DE"/>
              </w:rPr>
              <w:t>6 CRR</w:t>
            </w:r>
          </w:p>
        </w:tc>
      </w:tr>
      <w:tr w:rsidR="00825F5D" w:rsidRPr="00107FFE" w14:paraId="5EC4B3CD" w14:textId="77777777" w:rsidTr="00970F84">
        <w:tblPrEx>
          <w:tblLook w:val="00A0" w:firstRow="1" w:lastRow="0" w:firstColumn="1" w:lastColumn="0" w:noHBand="0" w:noVBand="0"/>
        </w:tblPrEx>
        <w:tc>
          <w:tcPr>
            <w:tcW w:w="1129" w:type="dxa"/>
            <w:shd w:val="clear" w:color="auto" w:fill="auto"/>
            <w:vAlign w:val="center"/>
          </w:tcPr>
          <w:p w14:paraId="19FE7720" w14:textId="5177EE2A" w:rsidR="00825F5D" w:rsidRPr="00A01899" w:rsidRDefault="00825F5D" w:rsidP="00825F5D">
            <w:pPr>
              <w:spacing w:after="120"/>
              <w:jc w:val="both"/>
              <w:rPr>
                <w:rFonts w:ascii="Times New Roman" w:eastAsia="Times New Roman" w:hAnsi="Times New Roman" w:cs="Times New Roman"/>
                <w:bCs/>
                <w:sz w:val="24"/>
                <w:lang w:eastAsia="de-DE"/>
              </w:rPr>
            </w:pPr>
            <w:r>
              <w:rPr>
                <w:rFonts w:ascii="Times New Roman" w:hAnsi="Times New Roman" w:cs="Times New Roman"/>
                <w:color w:val="000000"/>
                <w:sz w:val="24"/>
              </w:rPr>
              <w:t>46</w:t>
            </w:r>
          </w:p>
        </w:tc>
        <w:tc>
          <w:tcPr>
            <w:tcW w:w="7683" w:type="dxa"/>
            <w:tcBorders>
              <w:top w:val="nil"/>
              <w:left w:val="single" w:sz="4" w:space="0" w:color="auto"/>
              <w:bottom w:val="single" w:sz="4" w:space="0" w:color="auto"/>
              <w:right w:val="single" w:sz="4" w:space="0" w:color="auto"/>
            </w:tcBorders>
            <w:shd w:val="clear" w:color="auto" w:fill="auto"/>
            <w:vAlign w:val="bottom"/>
          </w:tcPr>
          <w:p w14:paraId="522CC21E"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T2 instruments of financial sector entities where the institution has a significant investment</w:t>
            </w:r>
          </w:p>
          <w:p w14:paraId="1A1FDB48"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lastRenderedPageBreak/>
              <w:t>Point (27) of Article 4(1), point (d) of Article 66, Articles 68, 69 and Article 79 CRR</w:t>
            </w:r>
          </w:p>
          <w:p w14:paraId="532C1F97"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 xml:space="preserve">Holdings by the institution of T2 instruments of financial sector entities (as defined in point (27) of Article 4(1) CRR) where the investment firm has a significant investment </w:t>
            </w:r>
            <w:proofErr w:type="gramStart"/>
            <w:r w:rsidRPr="00107FFE">
              <w:rPr>
                <w:rStyle w:val="FormatvorlageInstructionsTabelleText"/>
                <w:rFonts w:ascii="Times New Roman" w:hAnsi="Times New Roman"/>
                <w:sz w:val="24"/>
              </w:rPr>
              <w:t>shall be completely deducted</w:t>
            </w:r>
            <w:proofErr w:type="gramEnd"/>
            <w:r w:rsidRPr="00107FFE">
              <w:rPr>
                <w:rStyle w:val="FormatvorlageInstructionsTabelleText"/>
                <w:rFonts w:ascii="Times New Roman" w:hAnsi="Times New Roman"/>
                <w:sz w:val="24"/>
              </w:rPr>
              <w:t>.</w:t>
            </w:r>
          </w:p>
        </w:tc>
      </w:tr>
    </w:tbl>
    <w:p w14:paraId="1805D819" w14:textId="0C009799" w:rsidR="001F2493" w:rsidRPr="00107FFE" w:rsidRDefault="001F2493" w:rsidP="001F2493">
      <w:pPr>
        <w:spacing w:before="120" w:after="120"/>
        <w:jc w:val="both"/>
        <w:rPr>
          <w:rFonts w:ascii="Times New Roman" w:hAnsi="Times New Roman" w:cs="Times New Roman"/>
          <w:bCs/>
          <w:sz w:val="24"/>
        </w:rPr>
      </w:pPr>
    </w:p>
    <w:p w14:paraId="416BC597" w14:textId="5040DBC7" w:rsidR="001F2493" w:rsidRPr="00107FFE" w:rsidRDefault="00B44D36" w:rsidP="00B44D36">
      <w:pPr>
        <w:ind w:left="720"/>
        <w:rPr>
          <w:rFonts w:ascii="Times New Roman" w:hAnsi="Times New Roman" w:cs="Times New Roman"/>
          <w:b/>
          <w:bCs/>
          <w:sz w:val="24"/>
        </w:rPr>
      </w:pPr>
      <w:r w:rsidRPr="00107FFE">
        <w:rPr>
          <w:rFonts w:ascii="Times New Roman" w:hAnsi="Times New Roman" w:cs="Times New Roman"/>
          <w:b/>
          <w:bCs/>
          <w:sz w:val="24"/>
        </w:rPr>
        <w:t>Template EU IF CC1.02 - Composition of regulatory own funds (</w:t>
      </w:r>
      <w:r w:rsidR="00970F84">
        <w:rPr>
          <w:rFonts w:ascii="Times New Roman" w:hAnsi="Times New Roman" w:cs="Times New Roman"/>
          <w:b/>
          <w:bCs/>
          <w:sz w:val="24"/>
        </w:rPr>
        <w:t xml:space="preserve">Small and non-interconnected </w:t>
      </w:r>
      <w:r w:rsidRPr="00107FFE">
        <w:rPr>
          <w:rFonts w:ascii="Times New Roman" w:hAnsi="Times New Roman" w:cs="Times New Roman"/>
          <w:b/>
          <w:bCs/>
          <w:sz w:val="24"/>
        </w:rPr>
        <w:t>investment firms)</w:t>
      </w:r>
    </w:p>
    <w:p w14:paraId="0194DF61" w14:textId="77777777" w:rsidR="00B44D36" w:rsidRPr="00107FFE" w:rsidRDefault="00B44D36" w:rsidP="00B44D36">
      <w:pPr>
        <w:ind w:left="720"/>
        <w:rPr>
          <w:rFonts w:ascii="Times New Roman" w:hAnsi="Times New Roman" w:cs="Times New Roman"/>
          <w:b/>
          <w:bCs/>
          <w:sz w:val="24"/>
        </w:rPr>
      </w:pPr>
    </w:p>
    <w:tbl>
      <w:tblPr>
        <w:tblW w:w="881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683"/>
      </w:tblGrid>
      <w:tr w:rsidR="00B44D36" w:rsidRPr="00107FFE" w14:paraId="394ADEC2" w14:textId="77777777" w:rsidTr="00AF1B12">
        <w:trPr>
          <w:trHeight w:val="395"/>
        </w:trPr>
        <w:tc>
          <w:tcPr>
            <w:tcW w:w="8812" w:type="dxa"/>
            <w:gridSpan w:val="2"/>
            <w:shd w:val="clear" w:color="auto" w:fill="D9D9D9" w:themeFill="background1" w:themeFillShade="D9"/>
          </w:tcPr>
          <w:p w14:paraId="1CCB2B5A" w14:textId="77777777" w:rsidR="00B44D36" w:rsidRPr="00107FFE" w:rsidRDefault="00B44D36" w:rsidP="00AF1B12">
            <w:pPr>
              <w:pStyle w:val="TableTitle"/>
              <w:spacing w:before="0" w:after="0"/>
              <w:jc w:val="left"/>
              <w:rPr>
                <w:rFonts w:ascii="Times New Roman" w:hAnsi="Times New Roman"/>
                <w:sz w:val="24"/>
                <w:szCs w:val="24"/>
              </w:rPr>
            </w:pPr>
            <w:r w:rsidRPr="00107FFE">
              <w:rPr>
                <w:rFonts w:ascii="Times New Roman" w:hAnsi="Times New Roman"/>
                <w:sz w:val="24"/>
                <w:szCs w:val="24"/>
              </w:rPr>
              <w:t>Legal references and instructions</w:t>
            </w:r>
          </w:p>
        </w:tc>
      </w:tr>
      <w:tr w:rsidR="00B44D36" w:rsidRPr="00107FFE" w14:paraId="65C2D1A2" w14:textId="77777777" w:rsidTr="00AF1B12">
        <w:tblPrEx>
          <w:tblLook w:val="00A0" w:firstRow="1" w:lastRow="0" w:firstColumn="1" w:lastColumn="0" w:noHBand="0" w:noVBand="0"/>
        </w:tblPrEx>
        <w:tc>
          <w:tcPr>
            <w:tcW w:w="1129" w:type="dxa"/>
            <w:tcBorders>
              <w:bottom w:val="single" w:sz="4" w:space="0" w:color="auto"/>
            </w:tcBorders>
            <w:shd w:val="clear" w:color="auto" w:fill="D9D9D9"/>
          </w:tcPr>
          <w:p w14:paraId="085081C3" w14:textId="77777777" w:rsidR="00B44D36" w:rsidRPr="00107FFE" w:rsidRDefault="00B44D36" w:rsidP="00AF1B12">
            <w:pPr>
              <w:spacing w:after="120"/>
              <w:jc w:val="both"/>
              <w:rPr>
                <w:rFonts w:ascii="Times New Roman" w:eastAsia="Times New Roman" w:hAnsi="Times New Roman" w:cs="Times New Roman"/>
                <w:bCs/>
                <w:sz w:val="24"/>
              </w:rPr>
            </w:pPr>
            <w:r w:rsidRPr="00107FFE">
              <w:rPr>
                <w:rFonts w:ascii="Times New Roman" w:eastAsia="Times New Roman" w:hAnsi="Times New Roman" w:cs="Times New Roman"/>
                <w:sz w:val="24"/>
                <w:lang w:eastAsia="de-DE"/>
              </w:rPr>
              <w:t>Row</w:t>
            </w:r>
          </w:p>
        </w:tc>
        <w:tc>
          <w:tcPr>
            <w:tcW w:w="7683" w:type="dxa"/>
            <w:tcBorders>
              <w:bottom w:val="single" w:sz="4" w:space="0" w:color="auto"/>
            </w:tcBorders>
            <w:shd w:val="clear" w:color="auto" w:fill="D9D9D9"/>
          </w:tcPr>
          <w:p w14:paraId="138EBBAF" w14:textId="77777777" w:rsidR="00B44D36" w:rsidRPr="00107FFE" w:rsidRDefault="00B44D36" w:rsidP="00AF1B12">
            <w:pPr>
              <w:spacing w:after="120"/>
              <w:jc w:val="both"/>
              <w:rPr>
                <w:rFonts w:ascii="Times New Roman" w:eastAsia="Times New Roman" w:hAnsi="Times New Roman" w:cs="Times New Roman"/>
                <w:bCs/>
                <w:sz w:val="24"/>
              </w:rPr>
            </w:pPr>
            <w:r w:rsidRPr="00107FFE">
              <w:rPr>
                <w:rFonts w:ascii="Times New Roman" w:eastAsia="Times New Roman" w:hAnsi="Times New Roman" w:cs="Times New Roman"/>
                <w:sz w:val="24"/>
                <w:lang w:eastAsia="de-DE"/>
              </w:rPr>
              <w:t>Legal references and instructions</w:t>
            </w:r>
          </w:p>
        </w:tc>
      </w:tr>
      <w:tr w:rsidR="00B44D36" w:rsidRPr="00107FFE" w14:paraId="1737B8D4" w14:textId="77777777" w:rsidTr="00AF1B12">
        <w:tblPrEx>
          <w:tblLook w:val="00A0" w:firstRow="1" w:lastRow="0" w:firstColumn="1" w:lastColumn="0" w:noHBand="0" w:noVBand="0"/>
        </w:tblPrEx>
        <w:tc>
          <w:tcPr>
            <w:tcW w:w="1129" w:type="dxa"/>
            <w:shd w:val="clear" w:color="auto" w:fill="auto"/>
            <w:vAlign w:val="center"/>
          </w:tcPr>
          <w:p w14:paraId="7DF1225E" w14:textId="25E08D13"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w:t>
            </w:r>
          </w:p>
        </w:tc>
        <w:tc>
          <w:tcPr>
            <w:tcW w:w="7683" w:type="dxa"/>
            <w:shd w:val="clear" w:color="auto" w:fill="auto"/>
          </w:tcPr>
          <w:p w14:paraId="26C06D48"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Own funds</w:t>
            </w:r>
          </w:p>
          <w:p w14:paraId="3F2D23D2" w14:textId="75EB0427"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Article 9</w:t>
            </w:r>
            <w:r w:rsidR="00107FFE">
              <w:rPr>
                <w:rFonts w:ascii="Times New Roman" w:eastAsia="Times New Roman" w:hAnsi="Times New Roman" w:cs="Times New Roman"/>
                <w:bCs/>
                <w:sz w:val="24"/>
                <w:lang w:eastAsia="de-DE"/>
              </w:rPr>
              <w:t xml:space="preserve"> (1)</w:t>
            </w:r>
            <w:r w:rsidRPr="00107FFE">
              <w:rPr>
                <w:rFonts w:ascii="Times New Roman" w:eastAsia="Times New Roman" w:hAnsi="Times New Roman" w:cs="Times New Roman"/>
                <w:bCs/>
                <w:sz w:val="24"/>
                <w:lang w:eastAsia="de-DE"/>
              </w:rPr>
              <w:t xml:space="preserve"> IFR</w:t>
            </w:r>
          </w:p>
          <w:p w14:paraId="302320F0" w14:textId="77777777" w:rsidR="00B44D36" w:rsidRDefault="00B44D36" w:rsidP="00B44D36">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The own funds of an investment firm shall consist of the sum of its Common equity Tier 1 Capital, Additional Tier 1 Capital and Tier 2 Capital.</w:t>
            </w:r>
          </w:p>
          <w:p w14:paraId="41C3FFC3" w14:textId="00F8AD15" w:rsidR="001F7FC2" w:rsidRPr="00107FFE" w:rsidRDefault="001F7FC2">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2, Tier 1 capital, and 2</w:t>
            </w:r>
            <w:r w:rsidR="00825F5D">
              <w:rPr>
                <w:rFonts w:ascii="Times New Roman" w:eastAsia="Times New Roman" w:hAnsi="Times New Roman" w:cs="Times New Roman"/>
                <w:bCs/>
                <w:sz w:val="24"/>
                <w:lang w:eastAsia="de-DE"/>
              </w:rPr>
              <w:t>2</w:t>
            </w:r>
            <w:r>
              <w:rPr>
                <w:rFonts w:ascii="Times New Roman" w:eastAsia="Times New Roman" w:hAnsi="Times New Roman" w:cs="Times New Roman"/>
                <w:bCs/>
                <w:sz w:val="24"/>
                <w:lang w:eastAsia="de-DE"/>
              </w:rPr>
              <w:t xml:space="preserve">, Tier 2 capital, </w:t>
            </w:r>
            <w:proofErr w:type="gramStart"/>
            <w:r w:rsidRPr="00107FFE">
              <w:rPr>
                <w:rFonts w:ascii="Times New Roman" w:eastAsia="Times New Roman" w:hAnsi="Times New Roman" w:cs="Times New Roman"/>
                <w:bCs/>
                <w:sz w:val="24"/>
                <w:lang w:eastAsia="de-DE"/>
              </w:rPr>
              <w:t>shall be disclosed</w:t>
            </w:r>
            <w:proofErr w:type="gramEnd"/>
            <w:r>
              <w:rPr>
                <w:rFonts w:ascii="Times New Roman" w:eastAsia="Times New Roman" w:hAnsi="Times New Roman" w:cs="Times New Roman"/>
                <w:bCs/>
                <w:sz w:val="24"/>
                <w:lang w:eastAsia="de-DE"/>
              </w:rPr>
              <w:t>.</w:t>
            </w:r>
          </w:p>
        </w:tc>
      </w:tr>
      <w:tr w:rsidR="00B44D36" w:rsidRPr="00107FFE" w14:paraId="720BF93F" w14:textId="77777777" w:rsidTr="00AF1B12">
        <w:tblPrEx>
          <w:tblLook w:val="00A0" w:firstRow="1" w:lastRow="0" w:firstColumn="1" w:lastColumn="0" w:noHBand="0" w:noVBand="0"/>
        </w:tblPrEx>
        <w:tc>
          <w:tcPr>
            <w:tcW w:w="1129" w:type="dxa"/>
            <w:shd w:val="clear" w:color="auto" w:fill="auto"/>
            <w:vAlign w:val="center"/>
          </w:tcPr>
          <w:p w14:paraId="4FBA6073" w14:textId="79FEC8BB"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2</w:t>
            </w:r>
          </w:p>
        </w:tc>
        <w:tc>
          <w:tcPr>
            <w:tcW w:w="7683" w:type="dxa"/>
            <w:shd w:val="clear" w:color="auto" w:fill="auto"/>
          </w:tcPr>
          <w:p w14:paraId="3C1307E6"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Tier 1 capital</w:t>
            </w:r>
          </w:p>
          <w:p w14:paraId="7ED822D4" w14:textId="77777777" w:rsidR="00B44D36" w:rsidRDefault="00B44D36" w:rsidP="00B44D36">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The Tier 1 capital is the sum of Common Equity Tier 1 Capital and Additional Tier 1 capital</w:t>
            </w:r>
          </w:p>
          <w:p w14:paraId="4122E084" w14:textId="5F14C0B7" w:rsidR="001F7FC2" w:rsidRPr="00107FFE" w:rsidRDefault="001F7FC2"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3, CET1 capital, and 1</w:t>
            </w:r>
            <w:r w:rsidR="00825F5D">
              <w:rPr>
                <w:rFonts w:ascii="Times New Roman" w:eastAsia="Times New Roman" w:hAnsi="Times New Roman" w:cs="Times New Roman"/>
                <w:bCs/>
                <w:sz w:val="24"/>
                <w:lang w:eastAsia="de-DE"/>
              </w:rPr>
              <w:t>8</w:t>
            </w:r>
            <w:r>
              <w:rPr>
                <w:rFonts w:ascii="Times New Roman" w:eastAsia="Times New Roman" w:hAnsi="Times New Roman" w:cs="Times New Roman"/>
                <w:bCs/>
                <w:sz w:val="24"/>
                <w:lang w:eastAsia="de-DE"/>
              </w:rPr>
              <w:t>, AT1 capital,</w:t>
            </w:r>
            <w:r w:rsidRPr="00107FFE">
              <w:rPr>
                <w:rFonts w:ascii="Times New Roman" w:eastAsia="Times New Roman" w:hAnsi="Times New Roman" w:cs="Times New Roman"/>
                <w:bCs/>
                <w:sz w:val="24"/>
                <w:lang w:eastAsia="de-DE"/>
              </w:rPr>
              <w:t xml:space="preserve"> </w:t>
            </w:r>
            <w:proofErr w:type="gramStart"/>
            <w:r w:rsidRPr="00107FFE">
              <w:rPr>
                <w:rFonts w:ascii="Times New Roman" w:eastAsia="Times New Roman" w:hAnsi="Times New Roman" w:cs="Times New Roman"/>
                <w:bCs/>
                <w:sz w:val="24"/>
                <w:lang w:eastAsia="de-DE"/>
              </w:rPr>
              <w:t>shall be disclosed</w:t>
            </w:r>
            <w:proofErr w:type="gramEnd"/>
            <w:r>
              <w:rPr>
                <w:rFonts w:ascii="Times New Roman" w:eastAsia="Times New Roman" w:hAnsi="Times New Roman" w:cs="Times New Roman"/>
                <w:bCs/>
                <w:sz w:val="24"/>
                <w:lang w:eastAsia="de-DE"/>
              </w:rPr>
              <w:t>.</w:t>
            </w:r>
          </w:p>
        </w:tc>
      </w:tr>
      <w:tr w:rsidR="00B44D36" w:rsidRPr="00107FFE" w14:paraId="4940A66C" w14:textId="77777777" w:rsidTr="00AF1B12">
        <w:tblPrEx>
          <w:tblLook w:val="00A0" w:firstRow="1" w:lastRow="0" w:firstColumn="1" w:lastColumn="0" w:noHBand="0" w:noVBand="0"/>
        </w:tblPrEx>
        <w:tc>
          <w:tcPr>
            <w:tcW w:w="1129" w:type="dxa"/>
            <w:shd w:val="clear" w:color="auto" w:fill="auto"/>
            <w:vAlign w:val="center"/>
          </w:tcPr>
          <w:p w14:paraId="5065E929" w14:textId="293D15B9"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3</w:t>
            </w:r>
          </w:p>
        </w:tc>
        <w:tc>
          <w:tcPr>
            <w:tcW w:w="7683" w:type="dxa"/>
            <w:shd w:val="clear" w:color="auto" w:fill="auto"/>
          </w:tcPr>
          <w:p w14:paraId="70AEACB9"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Style w:val="InstructionsTabelleberschrift"/>
                <w:rFonts w:ascii="Times New Roman" w:hAnsi="Times New Roman"/>
                <w:sz w:val="24"/>
              </w:rPr>
              <w:t>Common Equity Tier 1 capital</w:t>
            </w:r>
            <w:r w:rsidRPr="00107FFE">
              <w:rPr>
                <w:rFonts w:ascii="Times New Roman" w:eastAsia="Times New Roman" w:hAnsi="Times New Roman" w:cs="Times New Roman"/>
                <w:b/>
                <w:bCs/>
                <w:sz w:val="24"/>
                <w:u w:val="single"/>
                <w:lang w:eastAsia="de-DE"/>
              </w:rPr>
              <w:t xml:space="preserve"> </w:t>
            </w:r>
          </w:p>
          <w:p w14:paraId="78252572" w14:textId="70AD8483"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Article 9</w:t>
            </w:r>
            <w:r w:rsidR="00107FFE">
              <w:rPr>
                <w:rFonts w:ascii="Times New Roman" w:eastAsia="Times New Roman" w:hAnsi="Times New Roman" w:cs="Times New Roman"/>
                <w:bCs/>
                <w:sz w:val="24"/>
                <w:lang w:eastAsia="de-DE"/>
              </w:rPr>
              <w:t xml:space="preserve"> (1)</w:t>
            </w:r>
            <w:r w:rsidRPr="00107FFE">
              <w:rPr>
                <w:rFonts w:ascii="Times New Roman" w:eastAsia="Times New Roman" w:hAnsi="Times New Roman" w:cs="Times New Roman"/>
                <w:bCs/>
                <w:sz w:val="24"/>
                <w:lang w:eastAsia="de-DE"/>
              </w:rPr>
              <w:t xml:space="preserve"> IFR</w:t>
            </w:r>
          </w:p>
          <w:p w14:paraId="76CD5AF0" w14:textId="77777777" w:rsidR="00B44D36" w:rsidRDefault="00B44D36" w:rsidP="00B44D36">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Article 50 CRR</w:t>
            </w:r>
          </w:p>
          <w:p w14:paraId="441A8A83" w14:textId="2D5A0738" w:rsidR="001F7FC2" w:rsidRPr="00107FFE" w:rsidRDefault="001F7FC2" w:rsidP="001F7FC2">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4</w:t>
            </w:r>
            <w:r w:rsidRPr="00107FFE">
              <w:rPr>
                <w:rFonts w:ascii="Times New Roman" w:eastAsia="Times New Roman" w:hAnsi="Times New Roman" w:cs="Times New Roman"/>
                <w:bCs/>
                <w:sz w:val="24"/>
                <w:lang w:eastAsia="de-DE"/>
              </w:rPr>
              <w:t xml:space="preserve"> to </w:t>
            </w:r>
            <w:r w:rsidR="00825F5D">
              <w:rPr>
                <w:rFonts w:ascii="Times New Roman" w:eastAsia="Times New Roman" w:hAnsi="Times New Roman" w:cs="Times New Roman"/>
                <w:bCs/>
                <w:sz w:val="24"/>
                <w:lang w:eastAsia="de-DE"/>
              </w:rPr>
              <w:t>1</w:t>
            </w:r>
            <w:r w:rsidR="007B2049">
              <w:rPr>
                <w:rFonts w:ascii="Times New Roman" w:eastAsia="Times New Roman" w:hAnsi="Times New Roman" w:cs="Times New Roman"/>
                <w:bCs/>
                <w:sz w:val="24"/>
                <w:lang w:eastAsia="de-DE"/>
              </w:rPr>
              <w:t>0</w:t>
            </w:r>
            <w:r w:rsidRPr="00107FFE">
              <w:rPr>
                <w:rFonts w:ascii="Times New Roman" w:eastAsia="Times New Roman" w:hAnsi="Times New Roman" w:cs="Times New Roman"/>
                <w:bCs/>
                <w:sz w:val="24"/>
                <w:lang w:eastAsia="de-DE"/>
              </w:rPr>
              <w:t xml:space="preserve"> </w:t>
            </w:r>
            <w:proofErr w:type="gramStart"/>
            <w:r w:rsidRPr="00107FFE">
              <w:rPr>
                <w:rFonts w:ascii="Times New Roman" w:eastAsia="Times New Roman" w:hAnsi="Times New Roman" w:cs="Times New Roman"/>
                <w:bCs/>
                <w:sz w:val="24"/>
                <w:lang w:eastAsia="de-DE"/>
              </w:rPr>
              <w:t>shall be disclosed</w:t>
            </w:r>
            <w:proofErr w:type="gramEnd"/>
            <w:r>
              <w:rPr>
                <w:rFonts w:ascii="Times New Roman" w:eastAsia="Times New Roman" w:hAnsi="Times New Roman" w:cs="Times New Roman"/>
                <w:bCs/>
                <w:sz w:val="24"/>
                <w:lang w:eastAsia="de-DE"/>
              </w:rPr>
              <w:t>.</w:t>
            </w:r>
          </w:p>
        </w:tc>
      </w:tr>
      <w:tr w:rsidR="00B44D36" w:rsidRPr="00107FFE" w14:paraId="7D4C59E1" w14:textId="77777777" w:rsidTr="00AF1B12">
        <w:tblPrEx>
          <w:tblLook w:val="00A0" w:firstRow="1" w:lastRow="0" w:firstColumn="1" w:lastColumn="0" w:noHBand="0" w:noVBand="0"/>
        </w:tblPrEx>
        <w:tc>
          <w:tcPr>
            <w:tcW w:w="1129" w:type="dxa"/>
            <w:shd w:val="clear" w:color="auto" w:fill="auto"/>
            <w:vAlign w:val="center"/>
          </w:tcPr>
          <w:p w14:paraId="503D471D" w14:textId="22316C40"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4</w:t>
            </w:r>
          </w:p>
        </w:tc>
        <w:tc>
          <w:tcPr>
            <w:tcW w:w="7683" w:type="dxa"/>
            <w:shd w:val="clear" w:color="auto" w:fill="auto"/>
          </w:tcPr>
          <w:p w14:paraId="59DE011F"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Paid up capital instruments</w:t>
            </w:r>
          </w:p>
          <w:p w14:paraId="448119D4" w14:textId="77777777" w:rsidR="00107FFE" w:rsidRDefault="00107FFE" w:rsidP="00107FFE">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3D910BC8" w14:textId="77777777" w:rsidR="00B44D36" w:rsidRPr="00107FFE" w:rsidRDefault="00B44D36"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(a) of Article 26(1) and Articles 27 to 31 CRR</w:t>
            </w:r>
          </w:p>
          <w:p w14:paraId="007DD89E" w14:textId="77777777" w:rsidR="00B44D36" w:rsidRPr="00107FFE" w:rsidRDefault="00B44D36"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Capital instruments of mutual, cooperative societies or similar institutions (Articles 27 and 29 CRR) shall be included.</w:t>
            </w:r>
          </w:p>
          <w:p w14:paraId="76EBDA85" w14:textId="77777777" w:rsidR="00B44D36" w:rsidRPr="00107FFE" w:rsidRDefault="00B44D36" w:rsidP="002B149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The share premium related to the instruments shall not be included.</w:t>
            </w:r>
          </w:p>
          <w:p w14:paraId="512B1834" w14:textId="77777777" w:rsidR="00B44D36" w:rsidRPr="00107FFE" w:rsidRDefault="00B44D36" w:rsidP="002B149A">
            <w:pPr>
              <w:pStyle w:val="InstructionsText"/>
            </w:pPr>
            <w:r w:rsidRPr="00107FFE">
              <w:rPr>
                <w:rStyle w:val="FormatvorlageInstructionsTabelleText"/>
                <w:rFonts w:ascii="Times New Roman" w:hAnsi="Times New Roman"/>
                <w:sz w:val="24"/>
              </w:rPr>
              <w:t xml:space="preserve">Capital instruments subscribed by public authorities in </w:t>
            </w:r>
            <w:proofErr w:type="gramStart"/>
            <w:r w:rsidRPr="00107FFE">
              <w:rPr>
                <w:rStyle w:val="FormatvorlageInstructionsTabelleText"/>
                <w:rFonts w:ascii="Times New Roman" w:hAnsi="Times New Roman"/>
                <w:sz w:val="24"/>
              </w:rPr>
              <w:t>emergency situations</w:t>
            </w:r>
            <w:proofErr w:type="gramEnd"/>
            <w:r w:rsidRPr="00107FFE">
              <w:rPr>
                <w:rStyle w:val="FormatvorlageInstructionsTabelleText"/>
                <w:rFonts w:ascii="Times New Roman" w:hAnsi="Times New Roman"/>
                <w:sz w:val="24"/>
              </w:rPr>
              <w:t xml:space="preserve"> shall be included if all conditions of Article 31 CRR are fulfilled.</w:t>
            </w:r>
          </w:p>
        </w:tc>
      </w:tr>
      <w:tr w:rsidR="00B44D36" w:rsidRPr="00107FFE" w14:paraId="649EAA09" w14:textId="77777777" w:rsidTr="00AF1B12">
        <w:tblPrEx>
          <w:tblLook w:val="00A0" w:firstRow="1" w:lastRow="0" w:firstColumn="1" w:lastColumn="0" w:noHBand="0" w:noVBand="0"/>
        </w:tblPrEx>
        <w:tc>
          <w:tcPr>
            <w:tcW w:w="1129" w:type="dxa"/>
            <w:shd w:val="clear" w:color="auto" w:fill="auto"/>
            <w:vAlign w:val="center"/>
          </w:tcPr>
          <w:p w14:paraId="75210884" w14:textId="2D81DFD1"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5</w:t>
            </w:r>
          </w:p>
        </w:tc>
        <w:tc>
          <w:tcPr>
            <w:tcW w:w="7683" w:type="dxa"/>
            <w:shd w:val="clear" w:color="auto" w:fill="auto"/>
          </w:tcPr>
          <w:p w14:paraId="0F50B2DB"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Share premium </w:t>
            </w:r>
          </w:p>
          <w:p w14:paraId="630B5661" w14:textId="77777777" w:rsidR="00107FFE" w:rsidRDefault="00107FFE" w:rsidP="00107FFE">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25FE2837" w14:textId="77777777" w:rsidR="00B44D36" w:rsidRPr="00107FFE" w:rsidRDefault="00B44D36" w:rsidP="00B44D36">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26(1) CRR</w:t>
            </w:r>
          </w:p>
          <w:p w14:paraId="22599D93" w14:textId="77777777" w:rsidR="00B44D36" w:rsidRPr="00107FFE" w:rsidRDefault="00B44D36" w:rsidP="00972BBA">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Share premium has the same meaning as under the applicable accounting standard. </w:t>
            </w:r>
          </w:p>
          <w:p w14:paraId="62FED0D7" w14:textId="77E74733"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lastRenderedPageBreak/>
              <w:t xml:space="preserve">The amount to </w:t>
            </w:r>
            <w:proofErr w:type="gramStart"/>
            <w:r w:rsidRPr="00107FFE">
              <w:rPr>
                <w:rStyle w:val="FormatvorlageInstructionsTabelleText"/>
                <w:rFonts w:ascii="Times New Roman" w:hAnsi="Times New Roman"/>
                <w:sz w:val="24"/>
              </w:rPr>
              <w:t xml:space="preserve">be </w:t>
            </w:r>
            <w:r w:rsidR="008C0FCB" w:rsidRPr="00107FFE">
              <w:rPr>
                <w:rStyle w:val="FormatvorlageInstructionsTabelleText"/>
                <w:rFonts w:ascii="Times New Roman" w:hAnsi="Times New Roman"/>
                <w:sz w:val="24"/>
              </w:rPr>
              <w:t>disclosed</w:t>
            </w:r>
            <w:proofErr w:type="gramEnd"/>
            <w:r w:rsidRPr="00107FFE">
              <w:rPr>
                <w:rStyle w:val="FormatvorlageInstructionsTabelleText"/>
                <w:rFonts w:ascii="Times New Roman" w:hAnsi="Times New Roman"/>
                <w:sz w:val="24"/>
              </w:rPr>
              <w:t xml:space="preserve"> in this item shall be the part related to the "Paid up capital instruments".</w:t>
            </w:r>
          </w:p>
        </w:tc>
      </w:tr>
      <w:tr w:rsidR="00B44D36" w:rsidRPr="00107FFE" w14:paraId="4A63696E" w14:textId="77777777" w:rsidTr="00AF1B12">
        <w:tblPrEx>
          <w:tblLook w:val="00A0" w:firstRow="1" w:lastRow="0" w:firstColumn="1" w:lastColumn="0" w:noHBand="0" w:noVBand="0"/>
        </w:tblPrEx>
        <w:tc>
          <w:tcPr>
            <w:tcW w:w="1129" w:type="dxa"/>
            <w:shd w:val="clear" w:color="auto" w:fill="auto"/>
            <w:vAlign w:val="center"/>
          </w:tcPr>
          <w:p w14:paraId="35EE049F" w14:textId="05894E82"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lastRenderedPageBreak/>
              <w:t>6</w:t>
            </w:r>
          </w:p>
        </w:tc>
        <w:tc>
          <w:tcPr>
            <w:tcW w:w="7683" w:type="dxa"/>
            <w:shd w:val="clear" w:color="auto" w:fill="auto"/>
          </w:tcPr>
          <w:p w14:paraId="07340A14"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Retained earnings</w:t>
            </w:r>
          </w:p>
          <w:p w14:paraId="257E7856" w14:textId="77777777" w:rsidR="00107FFE" w:rsidRDefault="00107FFE" w:rsidP="00107FFE">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4C19BF1F" w14:textId="77777777"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Style w:val="FormatvorlageInstructionsTabelleText"/>
                <w:rFonts w:ascii="Times New Roman" w:hAnsi="Times New Roman"/>
                <w:sz w:val="24"/>
              </w:rPr>
              <w:t>Point (c) of Article 26(1) CRR</w:t>
            </w:r>
          </w:p>
          <w:p w14:paraId="12C5D404"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Retained earnings includes the previous year retained earnings plus the eligible interim or year-end profits</w:t>
            </w:r>
          </w:p>
        </w:tc>
      </w:tr>
      <w:tr w:rsidR="00B44D36" w:rsidRPr="00107FFE" w14:paraId="1522FFB2" w14:textId="77777777" w:rsidTr="00AF1B12">
        <w:tblPrEx>
          <w:tblLook w:val="00A0" w:firstRow="1" w:lastRow="0" w:firstColumn="1" w:lastColumn="0" w:noHBand="0" w:noVBand="0"/>
        </w:tblPrEx>
        <w:tc>
          <w:tcPr>
            <w:tcW w:w="1129" w:type="dxa"/>
            <w:shd w:val="clear" w:color="auto" w:fill="auto"/>
            <w:vAlign w:val="center"/>
          </w:tcPr>
          <w:p w14:paraId="62D081D7" w14:textId="27F0C978"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7</w:t>
            </w:r>
          </w:p>
        </w:tc>
        <w:tc>
          <w:tcPr>
            <w:tcW w:w="7683" w:type="dxa"/>
            <w:shd w:val="clear" w:color="auto" w:fill="auto"/>
          </w:tcPr>
          <w:p w14:paraId="74120FFC"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Accumulated other comprehensive income</w:t>
            </w:r>
          </w:p>
          <w:p w14:paraId="05560612" w14:textId="77777777" w:rsidR="00107FFE" w:rsidRDefault="00107FFE" w:rsidP="00107FFE">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2D2C3CBE" w14:textId="77777777" w:rsidR="00B44D36" w:rsidRPr="00107FFE" w:rsidRDefault="00B44D36" w:rsidP="00B44D36">
            <w:pPr>
              <w:spacing w:after="120"/>
              <w:jc w:val="both"/>
              <w:rPr>
                <w:rFonts w:ascii="Times New Roman" w:hAnsi="Times New Roman" w:cs="Times New Roman"/>
                <w:bCs/>
                <w:sz w:val="24"/>
              </w:rPr>
            </w:pPr>
            <w:r w:rsidRPr="00107FFE">
              <w:rPr>
                <w:rStyle w:val="FormatvorlageInstructionsTabelleText"/>
                <w:rFonts w:ascii="Times New Roman" w:hAnsi="Times New Roman"/>
                <w:sz w:val="24"/>
              </w:rPr>
              <w:t>Point (d) of Article 26(1) CRR</w:t>
            </w:r>
          </w:p>
        </w:tc>
      </w:tr>
      <w:tr w:rsidR="00B44D36" w:rsidRPr="00107FFE" w14:paraId="6D72E7F6" w14:textId="77777777" w:rsidTr="00AF1B12">
        <w:tblPrEx>
          <w:tblLook w:val="00A0" w:firstRow="1" w:lastRow="0" w:firstColumn="1" w:lastColumn="0" w:noHBand="0" w:noVBand="0"/>
        </w:tblPrEx>
        <w:tc>
          <w:tcPr>
            <w:tcW w:w="1129" w:type="dxa"/>
            <w:shd w:val="clear" w:color="auto" w:fill="auto"/>
            <w:vAlign w:val="center"/>
          </w:tcPr>
          <w:p w14:paraId="7AB80BC1" w14:textId="1AECA4DA" w:rsidR="00B44D36" w:rsidRPr="00107FFE" w:rsidRDefault="00B44D36" w:rsidP="00B44D36">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8</w:t>
            </w:r>
          </w:p>
        </w:tc>
        <w:tc>
          <w:tcPr>
            <w:tcW w:w="7683" w:type="dxa"/>
            <w:tcBorders>
              <w:bottom w:val="single" w:sz="4" w:space="0" w:color="auto"/>
            </w:tcBorders>
            <w:shd w:val="clear" w:color="auto" w:fill="auto"/>
          </w:tcPr>
          <w:p w14:paraId="01A7DEE2" w14:textId="77777777"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Other reserves</w:t>
            </w:r>
          </w:p>
          <w:p w14:paraId="428B641E" w14:textId="77777777" w:rsidR="00107FFE" w:rsidRDefault="00107FFE" w:rsidP="00107FFE">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4030527E" w14:textId="77777777" w:rsidR="00B44D36" w:rsidRPr="00107FFE" w:rsidRDefault="00B44D36" w:rsidP="00B44D36">
            <w:pPr>
              <w:spacing w:after="120"/>
              <w:jc w:val="both"/>
              <w:rPr>
                <w:rStyle w:val="FormatvorlageInstructionsTabelleText"/>
                <w:rFonts w:ascii="Times New Roman" w:hAnsi="Times New Roman"/>
                <w:sz w:val="24"/>
              </w:rPr>
            </w:pPr>
            <w:r w:rsidRPr="00107FFE">
              <w:rPr>
                <w:rStyle w:val="FormatvorlageInstructionsTabelleText"/>
                <w:rFonts w:ascii="Times New Roman" w:hAnsi="Times New Roman"/>
                <w:sz w:val="24"/>
              </w:rPr>
              <w:t>Point (117) of Article 4(1) and point (e) of Article 26(1) CRR</w:t>
            </w:r>
          </w:p>
          <w:p w14:paraId="18D98FEB" w14:textId="6C094919" w:rsidR="00B44D36" w:rsidRPr="00107FFE" w:rsidRDefault="00B44D36" w:rsidP="00B44D36">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 xml:space="preserve">The amount to be </w:t>
            </w:r>
            <w:r w:rsidR="008C0FCB" w:rsidRPr="00107FFE">
              <w:rPr>
                <w:rStyle w:val="FormatvorlageInstructionsTabelleText"/>
                <w:rFonts w:ascii="Times New Roman" w:hAnsi="Times New Roman"/>
                <w:sz w:val="24"/>
              </w:rPr>
              <w:t>disclosed</w:t>
            </w:r>
            <w:r w:rsidRPr="00107FFE">
              <w:rPr>
                <w:rStyle w:val="FormatvorlageInstructionsTabelleText"/>
                <w:rFonts w:ascii="Times New Roman" w:hAnsi="Times New Roman"/>
                <w:sz w:val="24"/>
              </w:rPr>
              <w:t xml:space="preserve"> shall be net of any tax charge foreseeable </w:t>
            </w:r>
            <w:proofErr w:type="gramStart"/>
            <w:r w:rsidRPr="00107FFE">
              <w:rPr>
                <w:rStyle w:val="FormatvorlageInstructionsTabelleText"/>
                <w:rFonts w:ascii="Times New Roman" w:hAnsi="Times New Roman"/>
                <w:sz w:val="24"/>
              </w:rPr>
              <w:t>at the moment</w:t>
            </w:r>
            <w:proofErr w:type="gramEnd"/>
            <w:r w:rsidRPr="00107FFE">
              <w:rPr>
                <w:rStyle w:val="FormatvorlageInstructionsTabelleText"/>
                <w:rFonts w:ascii="Times New Roman" w:hAnsi="Times New Roman"/>
                <w:sz w:val="24"/>
              </w:rPr>
              <w:t xml:space="preserve"> of the calculation.</w:t>
            </w:r>
          </w:p>
        </w:tc>
      </w:tr>
      <w:tr w:rsidR="00825F5D" w:rsidRPr="00107FFE" w14:paraId="593CDE86" w14:textId="77777777" w:rsidTr="00AF1B12">
        <w:tblPrEx>
          <w:tblLook w:val="00A0" w:firstRow="1" w:lastRow="0" w:firstColumn="1" w:lastColumn="0" w:noHBand="0" w:noVBand="0"/>
        </w:tblPrEx>
        <w:tc>
          <w:tcPr>
            <w:tcW w:w="1129" w:type="dxa"/>
            <w:shd w:val="clear" w:color="auto" w:fill="auto"/>
            <w:vAlign w:val="center"/>
          </w:tcPr>
          <w:p w14:paraId="37523D69" w14:textId="7960EF2F" w:rsidR="00825F5D" w:rsidRDefault="00825F5D" w:rsidP="00825F5D">
            <w:pPr>
              <w:spacing w:after="120"/>
              <w:jc w:val="both"/>
              <w:rPr>
                <w:rFonts w:ascii="Times New Roman" w:hAnsi="Times New Roman" w:cs="Times New Roman"/>
                <w:color w:val="000000"/>
                <w:sz w:val="24"/>
              </w:rPr>
            </w:pPr>
            <w:r>
              <w:rPr>
                <w:rFonts w:ascii="Times New Roman" w:hAnsi="Times New Roman" w:cs="Times New Roman"/>
                <w:color w:val="000000"/>
                <w:sz w:val="24"/>
              </w:rPr>
              <w:t>9</w:t>
            </w:r>
          </w:p>
        </w:tc>
        <w:tc>
          <w:tcPr>
            <w:tcW w:w="7683" w:type="dxa"/>
            <w:shd w:val="clear" w:color="auto" w:fill="auto"/>
          </w:tcPr>
          <w:p w14:paraId="4350CBD1" w14:textId="77777777" w:rsidR="00825F5D" w:rsidRDefault="00825F5D" w:rsidP="00825F5D">
            <w:pPr>
              <w:spacing w:after="120"/>
              <w:jc w:val="both"/>
              <w:rPr>
                <w:rFonts w:ascii="Times New Roman" w:eastAsia="Times New Roman" w:hAnsi="Times New Roman" w:cs="Times New Roman"/>
                <w:b/>
                <w:bCs/>
                <w:sz w:val="24"/>
                <w:u w:val="single"/>
                <w:lang w:eastAsia="de-DE"/>
              </w:rPr>
            </w:pPr>
            <w:r w:rsidRPr="000F3F1B">
              <w:rPr>
                <w:rFonts w:ascii="Times New Roman" w:eastAsia="Times New Roman" w:hAnsi="Times New Roman" w:cs="Times New Roman"/>
                <w:b/>
                <w:bCs/>
                <w:sz w:val="24"/>
                <w:u w:val="single"/>
                <w:lang w:eastAsia="de-DE"/>
              </w:rPr>
              <w:t>OTHER FUNDS</w:t>
            </w:r>
          </w:p>
          <w:p w14:paraId="690AAA87" w14:textId="0DA7E2D3"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9E2F32">
              <w:rPr>
                <w:rFonts w:ascii="Times New Roman" w:eastAsia="Times New Roman" w:hAnsi="Times New Roman" w:cs="Times New Roman"/>
                <w:bCs/>
                <w:sz w:val="24"/>
                <w:lang w:eastAsia="de-DE"/>
              </w:rPr>
              <w:t>Article 9(4) IFR</w:t>
            </w:r>
          </w:p>
        </w:tc>
      </w:tr>
      <w:tr w:rsidR="00825F5D" w:rsidRPr="00107FFE" w14:paraId="5BC52FE5" w14:textId="77777777" w:rsidTr="00AF1B12">
        <w:tblPrEx>
          <w:tblLook w:val="00A0" w:firstRow="1" w:lastRow="0" w:firstColumn="1" w:lastColumn="0" w:noHBand="0" w:noVBand="0"/>
        </w:tblPrEx>
        <w:tc>
          <w:tcPr>
            <w:tcW w:w="1129" w:type="dxa"/>
            <w:shd w:val="clear" w:color="auto" w:fill="auto"/>
            <w:vAlign w:val="center"/>
          </w:tcPr>
          <w:p w14:paraId="3C4DBB3D" w14:textId="71D3B1E1" w:rsidR="00825F5D" w:rsidRPr="009E2F32" w:rsidRDefault="00825F5D" w:rsidP="00825F5D">
            <w:pPr>
              <w:spacing w:after="120"/>
              <w:jc w:val="both"/>
              <w:rPr>
                <w:rFonts w:ascii="Times New Roman" w:hAnsi="Times New Roman" w:cs="Times New Roman"/>
                <w:color w:val="000000"/>
                <w:sz w:val="24"/>
              </w:rPr>
            </w:pPr>
            <w:r w:rsidRPr="00107FFE">
              <w:rPr>
                <w:rFonts w:ascii="Times New Roman" w:hAnsi="Times New Roman" w:cs="Times New Roman"/>
                <w:color w:val="000000"/>
                <w:sz w:val="24"/>
              </w:rPr>
              <w:t>1</w:t>
            </w:r>
            <w:r>
              <w:rPr>
                <w:rFonts w:ascii="Times New Roman" w:hAnsi="Times New Roman" w:cs="Times New Roman"/>
                <w:color w:val="000000"/>
                <w:sz w:val="24"/>
              </w:rPr>
              <w:t>0</w:t>
            </w:r>
          </w:p>
        </w:tc>
        <w:tc>
          <w:tcPr>
            <w:tcW w:w="7683" w:type="dxa"/>
            <w:shd w:val="clear" w:color="auto" w:fill="auto"/>
          </w:tcPr>
          <w:p w14:paraId="0D14DB2B"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(-)TOTAL DEDUCTIONS FROM COMMON EQUITY TIER 1</w:t>
            </w:r>
          </w:p>
          <w:p w14:paraId="7428C973" w14:textId="56CE452B" w:rsidR="00825F5D" w:rsidRPr="00107FFE" w:rsidRDefault="00825F5D" w:rsidP="00373588">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The total sum of rows 1</w:t>
            </w:r>
            <w:r w:rsidR="007B2049">
              <w:rPr>
                <w:rFonts w:ascii="Times New Roman" w:eastAsia="Times New Roman" w:hAnsi="Times New Roman" w:cs="Times New Roman"/>
                <w:bCs/>
                <w:sz w:val="24"/>
                <w:lang w:eastAsia="de-DE"/>
              </w:rPr>
              <w:t>1 to 17</w:t>
            </w:r>
            <w:r w:rsidRPr="00107FFE">
              <w:rPr>
                <w:rFonts w:ascii="Times New Roman" w:eastAsia="Times New Roman" w:hAnsi="Times New Roman" w:cs="Times New Roman"/>
                <w:bCs/>
                <w:sz w:val="24"/>
                <w:lang w:eastAsia="de-DE"/>
              </w:rPr>
              <w:t xml:space="preserve"> shall be disclosed</w:t>
            </w:r>
          </w:p>
        </w:tc>
      </w:tr>
      <w:tr w:rsidR="00825F5D" w:rsidRPr="00107FFE" w14:paraId="4093F551"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4E7656F3" w14:textId="3A8C9F04"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w:t>
            </w:r>
            <w:r>
              <w:rPr>
                <w:rFonts w:ascii="Times New Roman" w:hAnsi="Times New Roman" w:cs="Times New Roman"/>
                <w:color w:val="000000"/>
                <w:sz w:val="24"/>
              </w:rPr>
              <w:t>1</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center"/>
          </w:tcPr>
          <w:p w14:paraId="2CF27EF9"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Losses for the current financial year</w:t>
            </w:r>
          </w:p>
          <w:p w14:paraId="6DFDE701"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hAnsi="Times New Roman" w:cs="Times New Roman"/>
                <w:sz w:val="24"/>
              </w:rPr>
              <w:t>Article 36(1) point (a) of CRR</w:t>
            </w:r>
          </w:p>
        </w:tc>
      </w:tr>
      <w:tr w:rsidR="00825F5D" w:rsidRPr="00107FFE" w14:paraId="138DDB41"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07370A42" w14:textId="58CD2D6F"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w:t>
            </w:r>
            <w:r>
              <w:rPr>
                <w:rFonts w:ascii="Times New Roman" w:hAnsi="Times New Roman" w:cs="Times New Roman"/>
                <w:color w:val="000000"/>
                <w:sz w:val="24"/>
              </w:rPr>
              <w:t>2</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659133AE"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 Goodwill </w:t>
            </w:r>
          </w:p>
          <w:p w14:paraId="41BA4365"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42A3735F"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Point (113) of Article 4(1), point (b) of Article 36(1) and Article 37 CRR</w:t>
            </w:r>
          </w:p>
        </w:tc>
      </w:tr>
      <w:tr w:rsidR="00825F5D" w:rsidRPr="00107FFE" w14:paraId="1A03C1B6"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44211AFD" w14:textId="1DE9A242"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w:t>
            </w:r>
            <w:r>
              <w:rPr>
                <w:rFonts w:ascii="Times New Roman" w:hAnsi="Times New Roman" w:cs="Times New Roman"/>
                <w:color w:val="000000"/>
                <w:sz w:val="24"/>
              </w:rPr>
              <w:t>3</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45153599"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Other intangible assets</w:t>
            </w:r>
          </w:p>
          <w:p w14:paraId="1D161058"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39DDACD8" w14:textId="77777777" w:rsidR="00825F5D" w:rsidRPr="00107FFE" w:rsidRDefault="00825F5D" w:rsidP="00825F5D">
            <w:pPr>
              <w:pStyle w:val="InstructionsText"/>
              <w:rPr>
                <w:rStyle w:val="FormatvorlageInstructionsTabelleText"/>
                <w:rFonts w:ascii="Times New Roman" w:eastAsiaTheme="minorHAnsi" w:hAnsi="Times New Roman"/>
                <w:bCs/>
                <w:sz w:val="24"/>
                <w:lang w:eastAsia="en-US"/>
              </w:rPr>
            </w:pPr>
            <w:r w:rsidRPr="00107FFE">
              <w:rPr>
                <w:rStyle w:val="FormatvorlageInstructionsTabelleText"/>
                <w:rFonts w:ascii="Times New Roman" w:hAnsi="Times New Roman"/>
                <w:sz w:val="24"/>
              </w:rPr>
              <w:t>Point (115) of Article 4(1), point (b) of Article 36(1) and point (a) of Article 37 CRR</w:t>
            </w:r>
          </w:p>
          <w:p w14:paraId="083CA7F3"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Other intangible assets are the intangibles assets under the applicable accounting standard, minus the goodwill, also according to the applicable accounting standard.</w:t>
            </w:r>
          </w:p>
        </w:tc>
      </w:tr>
      <w:tr w:rsidR="00825F5D" w:rsidRPr="00107FFE" w14:paraId="18EBFA7A"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1D2B31F2" w14:textId="23C740D1" w:rsidR="00825F5D" w:rsidRPr="00107FFE" w:rsidRDefault="00825F5D" w:rsidP="00825F5D">
            <w:pPr>
              <w:spacing w:after="120"/>
              <w:jc w:val="both"/>
              <w:rPr>
                <w:rFonts w:ascii="Times New Roman" w:eastAsia="Times New Roman" w:hAnsi="Times New Roman" w:cs="Times New Roman"/>
                <w:bCs/>
                <w:sz w:val="24"/>
                <w:lang w:eastAsia="de-DE"/>
              </w:rPr>
            </w:pPr>
            <w:r>
              <w:rPr>
                <w:rFonts w:ascii="Times New Roman" w:hAnsi="Times New Roman" w:cs="Times New Roman"/>
                <w:color w:val="000000"/>
                <w:sz w:val="24"/>
              </w:rPr>
              <w:t>14</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bottom"/>
          </w:tcPr>
          <w:p w14:paraId="1D27C7B0"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Deferred tax assets that rely on future profitability and do not arise from temporary differences net of associated tax liabilities</w:t>
            </w:r>
          </w:p>
          <w:p w14:paraId="1A247C50" w14:textId="5F56B61C"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Point (a) of Article 9(2) </w:t>
            </w:r>
            <w:r>
              <w:rPr>
                <w:rFonts w:ascii="Times New Roman" w:eastAsia="Times New Roman" w:hAnsi="Times New Roman" w:cs="Times New Roman"/>
                <w:bCs/>
                <w:sz w:val="24"/>
                <w:lang w:eastAsia="de-DE"/>
              </w:rPr>
              <w:t>IFR</w:t>
            </w:r>
          </w:p>
          <w:p w14:paraId="04C1C695"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Point (c) of Article 36(1) of CRR</w:t>
            </w:r>
          </w:p>
        </w:tc>
      </w:tr>
      <w:tr w:rsidR="00825F5D" w:rsidRPr="00107FFE" w14:paraId="4700E600" w14:textId="77777777" w:rsidTr="00970F84">
        <w:tblPrEx>
          <w:tblLook w:val="00A0" w:firstRow="1" w:lastRow="0" w:firstColumn="1" w:lastColumn="0" w:noHBand="0" w:noVBand="0"/>
        </w:tblPrEx>
        <w:tc>
          <w:tcPr>
            <w:tcW w:w="1129" w:type="dxa"/>
            <w:tcBorders>
              <w:top w:val="single" w:sz="4" w:space="0" w:color="auto"/>
            </w:tcBorders>
            <w:shd w:val="clear" w:color="auto" w:fill="auto"/>
            <w:vAlign w:val="center"/>
          </w:tcPr>
          <w:p w14:paraId="48E82E2B" w14:textId="2E0E44F4"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lastRenderedPageBreak/>
              <w:t>15</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center"/>
          </w:tcPr>
          <w:p w14:paraId="34BAE426" w14:textId="77777777" w:rsidR="00825F5D" w:rsidRDefault="00825F5D" w:rsidP="00825F5D">
            <w:pPr>
              <w:spacing w:after="120"/>
              <w:jc w:val="both"/>
              <w:rPr>
                <w:rFonts w:ascii="Times New Roman" w:eastAsia="Times New Roman" w:hAnsi="Times New Roman" w:cs="Times New Roman"/>
                <w:b/>
                <w:bCs/>
                <w:sz w:val="24"/>
                <w:u w:val="single"/>
                <w:lang w:eastAsia="de-DE"/>
              </w:rPr>
            </w:pPr>
            <w:r w:rsidRPr="000F3F1B">
              <w:rPr>
                <w:rFonts w:ascii="Times New Roman" w:eastAsia="Times New Roman" w:hAnsi="Times New Roman" w:cs="Times New Roman"/>
                <w:b/>
                <w:bCs/>
                <w:sz w:val="24"/>
                <w:u w:val="single"/>
                <w:lang w:eastAsia="de-DE"/>
              </w:rPr>
              <w:t>(-) Qualifying holding outside the financial sector which exceeds 15% of own funds</w:t>
            </w:r>
          </w:p>
          <w:p w14:paraId="0E3FF75A" w14:textId="72461FFE" w:rsidR="00825F5D" w:rsidRPr="001F7FC2" w:rsidRDefault="00825F5D" w:rsidP="00825F5D">
            <w:pPr>
              <w:spacing w:after="120"/>
              <w:jc w:val="both"/>
              <w:rPr>
                <w:rFonts w:ascii="Times New Roman" w:eastAsia="Times New Roman" w:hAnsi="Times New Roman" w:cs="Times New Roman"/>
                <w:b/>
                <w:bCs/>
                <w:sz w:val="24"/>
                <w:u w:val="single"/>
                <w:lang w:eastAsia="de-DE"/>
              </w:rPr>
            </w:pPr>
            <w:r w:rsidRPr="009E2F32">
              <w:rPr>
                <w:rFonts w:ascii="Times New Roman" w:eastAsia="Times New Roman" w:hAnsi="Times New Roman" w:cs="Times New Roman"/>
                <w:bCs/>
                <w:sz w:val="24"/>
                <w:lang w:eastAsia="de-DE"/>
              </w:rPr>
              <w:t>Point (a) of Article 10(1) IFR</w:t>
            </w:r>
          </w:p>
        </w:tc>
      </w:tr>
      <w:tr w:rsidR="00825F5D" w:rsidRPr="00107FFE" w14:paraId="33CB7CCF" w14:textId="77777777" w:rsidTr="00AF1B12">
        <w:tblPrEx>
          <w:tblLook w:val="00A0" w:firstRow="1" w:lastRow="0" w:firstColumn="1" w:lastColumn="0" w:noHBand="0" w:noVBand="0"/>
        </w:tblPrEx>
        <w:tc>
          <w:tcPr>
            <w:tcW w:w="1129" w:type="dxa"/>
            <w:tcBorders>
              <w:top w:val="single" w:sz="4" w:space="0" w:color="auto"/>
            </w:tcBorders>
            <w:shd w:val="clear" w:color="auto" w:fill="auto"/>
            <w:vAlign w:val="center"/>
          </w:tcPr>
          <w:p w14:paraId="2FF4E493" w14:textId="747812DD"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16</w:t>
            </w:r>
          </w:p>
        </w:tc>
        <w:tc>
          <w:tcPr>
            <w:tcW w:w="7683" w:type="dxa"/>
            <w:tcBorders>
              <w:top w:val="single" w:sz="4" w:space="0" w:color="auto"/>
              <w:left w:val="single" w:sz="4" w:space="0" w:color="auto"/>
              <w:bottom w:val="single" w:sz="4" w:space="0" w:color="auto"/>
              <w:right w:val="single" w:sz="4" w:space="0" w:color="auto"/>
            </w:tcBorders>
            <w:shd w:val="clear" w:color="auto" w:fill="auto"/>
            <w:vAlign w:val="center"/>
          </w:tcPr>
          <w:p w14:paraId="0E4B9B90" w14:textId="265BEE82" w:rsidR="00825F5D" w:rsidRPr="001F7FC2" w:rsidRDefault="00825F5D" w:rsidP="00825F5D">
            <w:pPr>
              <w:spacing w:after="120"/>
              <w:jc w:val="both"/>
              <w:rPr>
                <w:rFonts w:ascii="Times New Roman" w:eastAsia="Times New Roman" w:hAnsi="Times New Roman" w:cs="Times New Roman"/>
                <w:b/>
                <w:bCs/>
                <w:sz w:val="24"/>
                <w:u w:val="single"/>
                <w:lang w:eastAsia="de-DE"/>
              </w:rPr>
            </w:pPr>
            <w:r w:rsidRPr="000F3F1B">
              <w:rPr>
                <w:rFonts w:ascii="Times New Roman" w:eastAsia="Times New Roman" w:hAnsi="Times New Roman" w:cs="Times New Roman"/>
                <w:b/>
                <w:bCs/>
                <w:sz w:val="24"/>
                <w:u w:val="single"/>
                <w:lang w:eastAsia="de-DE"/>
              </w:rPr>
              <w:t>(-) Total qualifying holdings in undertaking other than financial sector entities which exceeds 60% of its own funds</w:t>
            </w:r>
          </w:p>
          <w:p w14:paraId="60F1B577" w14:textId="039574CA"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9E2F32">
              <w:rPr>
                <w:rFonts w:ascii="Times New Roman" w:eastAsia="Times New Roman" w:hAnsi="Times New Roman" w:cs="Times New Roman"/>
                <w:bCs/>
                <w:sz w:val="24"/>
                <w:lang w:eastAsia="de-DE"/>
              </w:rPr>
              <w:t>Point (a) of Article 10(1) IFR</w:t>
            </w:r>
          </w:p>
        </w:tc>
      </w:tr>
      <w:tr w:rsidR="00825F5D" w:rsidRPr="00107FFE" w14:paraId="6E044F11" w14:textId="77777777" w:rsidTr="00AF1B12">
        <w:tblPrEx>
          <w:tblLook w:val="00A0" w:firstRow="1" w:lastRow="0" w:firstColumn="1" w:lastColumn="0" w:noHBand="0" w:noVBand="0"/>
        </w:tblPrEx>
        <w:tc>
          <w:tcPr>
            <w:tcW w:w="1129" w:type="dxa"/>
            <w:vAlign w:val="center"/>
          </w:tcPr>
          <w:p w14:paraId="3166C1A2" w14:textId="3D789A6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17</w:t>
            </w:r>
          </w:p>
        </w:tc>
        <w:tc>
          <w:tcPr>
            <w:tcW w:w="7683" w:type="dxa"/>
            <w:tcBorders>
              <w:top w:val="nil"/>
              <w:left w:val="single" w:sz="4" w:space="0" w:color="auto"/>
              <w:bottom w:val="single" w:sz="4" w:space="0" w:color="auto"/>
              <w:right w:val="single" w:sz="4" w:space="0" w:color="auto"/>
            </w:tcBorders>
            <w:shd w:val="clear" w:color="auto" w:fill="auto"/>
            <w:vAlign w:val="bottom"/>
          </w:tcPr>
          <w:p w14:paraId="4E1F4256"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Other deductions</w:t>
            </w:r>
          </w:p>
          <w:p w14:paraId="2040B8F5"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hAnsi="Times New Roman" w:cs="Times New Roman"/>
                <w:sz w:val="24"/>
              </w:rPr>
              <w:t>The sum of any other deductions listed in Article 36(1) of CRR.</w:t>
            </w:r>
          </w:p>
        </w:tc>
      </w:tr>
      <w:tr w:rsidR="00825F5D" w:rsidRPr="00107FFE" w14:paraId="4C6E5D90" w14:textId="77777777" w:rsidTr="00AF1B12">
        <w:tblPrEx>
          <w:tblLook w:val="00A0" w:firstRow="1" w:lastRow="0" w:firstColumn="1" w:lastColumn="0" w:noHBand="0" w:noVBand="0"/>
        </w:tblPrEx>
        <w:tc>
          <w:tcPr>
            <w:tcW w:w="1129" w:type="dxa"/>
            <w:vAlign w:val="center"/>
          </w:tcPr>
          <w:p w14:paraId="365A24A1" w14:textId="56C82D78"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18</w:t>
            </w:r>
          </w:p>
        </w:tc>
        <w:tc>
          <w:tcPr>
            <w:tcW w:w="7683" w:type="dxa"/>
            <w:tcBorders>
              <w:top w:val="single" w:sz="8" w:space="0" w:color="auto"/>
              <w:left w:val="single" w:sz="4" w:space="0" w:color="auto"/>
              <w:bottom w:val="single" w:sz="4" w:space="0" w:color="auto"/>
              <w:right w:val="single" w:sz="4" w:space="0" w:color="auto"/>
            </w:tcBorders>
            <w:shd w:val="clear" w:color="auto" w:fill="auto"/>
            <w:vAlign w:val="bottom"/>
          </w:tcPr>
          <w:p w14:paraId="3B3C0C3B"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ADDITIONAL TIER 1 CAPITAL</w:t>
            </w:r>
          </w:p>
          <w:p w14:paraId="09AE01D0" w14:textId="582D803C"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eastAsia="Times New Roman" w:hAnsi="Times New Roman" w:cs="Times New Roman"/>
                <w:bCs/>
                <w:sz w:val="24"/>
                <w:lang w:eastAsia="de-DE"/>
              </w:rPr>
              <w:t xml:space="preserve">Article 9 </w:t>
            </w:r>
            <w:r>
              <w:rPr>
                <w:rFonts w:ascii="Times New Roman" w:eastAsia="Times New Roman" w:hAnsi="Times New Roman" w:cs="Times New Roman"/>
                <w:bCs/>
                <w:sz w:val="24"/>
                <w:lang w:eastAsia="de-DE"/>
              </w:rPr>
              <w:t xml:space="preserve">(1) </w:t>
            </w:r>
            <w:r w:rsidRPr="00107FFE">
              <w:rPr>
                <w:rFonts w:ascii="Times New Roman" w:eastAsia="Times New Roman" w:hAnsi="Times New Roman" w:cs="Times New Roman"/>
                <w:bCs/>
                <w:sz w:val="24"/>
                <w:lang w:eastAsia="de-DE"/>
              </w:rPr>
              <w:t>IFR</w:t>
            </w:r>
          </w:p>
          <w:p w14:paraId="2B2AC8C4" w14:textId="77777777" w:rsidR="00825F5D" w:rsidRDefault="00825F5D" w:rsidP="00825F5D">
            <w:pPr>
              <w:spacing w:after="120"/>
              <w:jc w:val="both"/>
              <w:rPr>
                <w:rFonts w:ascii="Times New Roman" w:hAnsi="Times New Roman" w:cs="Times New Roman"/>
                <w:sz w:val="24"/>
              </w:rPr>
            </w:pPr>
            <w:r w:rsidRPr="00107FFE">
              <w:rPr>
                <w:rFonts w:ascii="Times New Roman" w:hAnsi="Times New Roman" w:cs="Times New Roman"/>
                <w:sz w:val="24"/>
              </w:rPr>
              <w:t>Article 61 of CRR</w:t>
            </w:r>
          </w:p>
          <w:p w14:paraId="73883BE3" w14:textId="0A6CB1D1"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19 to 2</w:t>
            </w:r>
            <w:r w:rsidR="007B2049">
              <w:rPr>
                <w:rFonts w:ascii="Times New Roman" w:eastAsia="Times New Roman" w:hAnsi="Times New Roman" w:cs="Times New Roman"/>
                <w:bCs/>
                <w:sz w:val="24"/>
                <w:lang w:eastAsia="de-DE"/>
              </w:rPr>
              <w:t>1</w:t>
            </w:r>
            <w:r w:rsidRPr="00107FFE">
              <w:rPr>
                <w:rFonts w:ascii="Times New Roman" w:eastAsia="Times New Roman" w:hAnsi="Times New Roman" w:cs="Times New Roman"/>
                <w:bCs/>
                <w:sz w:val="24"/>
                <w:lang w:eastAsia="de-DE"/>
              </w:rPr>
              <w:t xml:space="preserve"> shall be disclosed</w:t>
            </w:r>
          </w:p>
        </w:tc>
      </w:tr>
      <w:tr w:rsidR="00825F5D" w:rsidRPr="00107FFE" w14:paraId="55CB4045" w14:textId="77777777" w:rsidTr="00AF1B12">
        <w:tblPrEx>
          <w:tblLook w:val="00A0" w:firstRow="1" w:lastRow="0" w:firstColumn="1" w:lastColumn="0" w:noHBand="0" w:noVBand="0"/>
        </w:tblPrEx>
        <w:tc>
          <w:tcPr>
            <w:tcW w:w="1129" w:type="dxa"/>
            <w:vAlign w:val="center"/>
          </w:tcPr>
          <w:p w14:paraId="41083EF2" w14:textId="06EE4E96"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19</w:t>
            </w:r>
          </w:p>
        </w:tc>
        <w:tc>
          <w:tcPr>
            <w:tcW w:w="7683" w:type="dxa"/>
            <w:tcBorders>
              <w:top w:val="nil"/>
              <w:left w:val="single" w:sz="4" w:space="0" w:color="auto"/>
              <w:bottom w:val="single" w:sz="4" w:space="0" w:color="auto"/>
              <w:right w:val="single" w:sz="4" w:space="0" w:color="auto"/>
            </w:tcBorders>
            <w:shd w:val="clear" w:color="auto" w:fill="auto"/>
            <w:vAlign w:val="bottom"/>
          </w:tcPr>
          <w:p w14:paraId="74639763"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Paid up capital instruments</w:t>
            </w:r>
          </w:p>
          <w:p w14:paraId="23BC79AF"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26925C87"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(a) of Article 51 and Articles 52, 53 and 54 CRR</w:t>
            </w:r>
          </w:p>
          <w:p w14:paraId="57F464C8" w14:textId="67B779B8"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The amount to be disclosed shall not include the share premium related to the instruments</w:t>
            </w:r>
          </w:p>
        </w:tc>
      </w:tr>
      <w:tr w:rsidR="00825F5D" w:rsidRPr="00107FFE" w14:paraId="0EACBBBE" w14:textId="77777777" w:rsidTr="00AF1B12">
        <w:tblPrEx>
          <w:tblLook w:val="00A0" w:firstRow="1" w:lastRow="0" w:firstColumn="1" w:lastColumn="0" w:noHBand="0" w:noVBand="0"/>
        </w:tblPrEx>
        <w:tc>
          <w:tcPr>
            <w:tcW w:w="1129" w:type="dxa"/>
            <w:vAlign w:val="center"/>
          </w:tcPr>
          <w:p w14:paraId="716D7B51" w14:textId="7F4971AF"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20</w:t>
            </w:r>
          </w:p>
        </w:tc>
        <w:tc>
          <w:tcPr>
            <w:tcW w:w="7683" w:type="dxa"/>
            <w:tcBorders>
              <w:top w:val="nil"/>
              <w:left w:val="single" w:sz="4" w:space="0" w:color="auto"/>
              <w:bottom w:val="single" w:sz="4" w:space="0" w:color="auto"/>
              <w:right w:val="single" w:sz="4" w:space="0" w:color="auto"/>
            </w:tcBorders>
            <w:shd w:val="clear" w:color="auto" w:fill="auto"/>
            <w:vAlign w:val="bottom"/>
          </w:tcPr>
          <w:p w14:paraId="1020D3FB"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Share premium </w:t>
            </w:r>
          </w:p>
          <w:p w14:paraId="563C70C6"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47301C30"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51 CRR</w:t>
            </w:r>
          </w:p>
          <w:p w14:paraId="1BB62E4A"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Share premium has the same meaning as under the applicable accounting standard.</w:t>
            </w:r>
          </w:p>
          <w:p w14:paraId="371A7FFC" w14:textId="256C79E2"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 xml:space="preserve">The amount to </w:t>
            </w:r>
            <w:proofErr w:type="gramStart"/>
            <w:r w:rsidRPr="00107FFE">
              <w:rPr>
                <w:rStyle w:val="FormatvorlageInstructionsTabelleText"/>
                <w:rFonts w:ascii="Times New Roman" w:hAnsi="Times New Roman"/>
                <w:sz w:val="24"/>
              </w:rPr>
              <w:t>be disclosed</w:t>
            </w:r>
            <w:proofErr w:type="gramEnd"/>
            <w:r w:rsidRPr="00107FFE">
              <w:rPr>
                <w:rStyle w:val="FormatvorlageInstructionsTabelleText"/>
                <w:rFonts w:ascii="Times New Roman" w:hAnsi="Times New Roman"/>
                <w:sz w:val="24"/>
              </w:rPr>
              <w:t xml:space="preserve"> in this item shall be the part related to the "Paid up capital instruments".</w:t>
            </w:r>
          </w:p>
        </w:tc>
      </w:tr>
      <w:tr w:rsidR="00825F5D" w:rsidRPr="00107FFE" w14:paraId="2E189089" w14:textId="77777777" w:rsidTr="00AF1B12">
        <w:tblPrEx>
          <w:tblLook w:val="00A0" w:firstRow="1" w:lastRow="0" w:firstColumn="1" w:lastColumn="0" w:noHBand="0" w:noVBand="0"/>
        </w:tblPrEx>
        <w:tc>
          <w:tcPr>
            <w:tcW w:w="1129" w:type="dxa"/>
            <w:tcBorders>
              <w:bottom w:val="single" w:sz="4" w:space="0" w:color="auto"/>
            </w:tcBorders>
            <w:vAlign w:val="center"/>
          </w:tcPr>
          <w:p w14:paraId="13AB2FA8" w14:textId="3F9B3252"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21</w:t>
            </w:r>
          </w:p>
        </w:tc>
        <w:tc>
          <w:tcPr>
            <w:tcW w:w="7683" w:type="dxa"/>
            <w:tcBorders>
              <w:top w:val="nil"/>
              <w:left w:val="single" w:sz="4" w:space="0" w:color="auto"/>
              <w:bottom w:val="single" w:sz="4" w:space="0" w:color="auto"/>
              <w:right w:val="single" w:sz="4" w:space="0" w:color="auto"/>
            </w:tcBorders>
            <w:shd w:val="clear" w:color="auto" w:fill="auto"/>
            <w:vAlign w:val="bottom"/>
          </w:tcPr>
          <w:p w14:paraId="29500C63"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TOTAL DEDUCTIONS FROM ADDITIONAL TIER 1</w:t>
            </w:r>
          </w:p>
          <w:p w14:paraId="7EF7E8F5" w14:textId="77777777" w:rsidR="00825F5D" w:rsidRPr="00107FFE" w:rsidRDefault="00825F5D" w:rsidP="00825F5D">
            <w:pPr>
              <w:spacing w:before="60" w:after="60"/>
              <w:rPr>
                <w:rFonts w:ascii="Times New Roman" w:hAnsi="Times New Roman" w:cs="Times New Roman"/>
                <w:sz w:val="24"/>
              </w:rPr>
            </w:pPr>
            <w:r w:rsidRPr="00107FFE">
              <w:rPr>
                <w:rFonts w:ascii="Times New Roman" w:hAnsi="Times New Roman" w:cs="Times New Roman"/>
                <w:sz w:val="24"/>
              </w:rPr>
              <w:t>Article 56 of CRR</w:t>
            </w:r>
          </w:p>
          <w:p w14:paraId="07B10BA6" w14:textId="764EC6E1" w:rsidR="00825F5D" w:rsidRPr="00107FFE" w:rsidRDefault="00825F5D" w:rsidP="00825F5D">
            <w:pPr>
              <w:spacing w:after="120"/>
              <w:jc w:val="both"/>
              <w:rPr>
                <w:rFonts w:ascii="Times New Roman" w:eastAsia="Times New Roman" w:hAnsi="Times New Roman" w:cs="Times New Roman"/>
                <w:b/>
                <w:bCs/>
                <w:sz w:val="24"/>
                <w:u w:val="single"/>
                <w:lang w:eastAsia="de-DE"/>
              </w:rPr>
            </w:pPr>
          </w:p>
        </w:tc>
      </w:tr>
      <w:tr w:rsidR="00825F5D" w:rsidRPr="00107FFE" w14:paraId="5ABC69B1" w14:textId="77777777" w:rsidTr="00AF1B12">
        <w:tblPrEx>
          <w:tblLook w:val="00A0" w:firstRow="1" w:lastRow="0" w:firstColumn="1" w:lastColumn="0" w:noHBand="0" w:noVBand="0"/>
        </w:tblPrEx>
        <w:tc>
          <w:tcPr>
            <w:tcW w:w="1129" w:type="dxa"/>
            <w:shd w:val="clear" w:color="auto" w:fill="auto"/>
            <w:vAlign w:val="center"/>
          </w:tcPr>
          <w:p w14:paraId="7C7BDB3E" w14:textId="3FE6556C"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22</w:t>
            </w:r>
          </w:p>
        </w:tc>
        <w:tc>
          <w:tcPr>
            <w:tcW w:w="7683" w:type="dxa"/>
            <w:tcBorders>
              <w:top w:val="single" w:sz="8" w:space="0" w:color="auto"/>
              <w:left w:val="single" w:sz="4" w:space="0" w:color="auto"/>
              <w:bottom w:val="single" w:sz="4" w:space="0" w:color="auto"/>
              <w:right w:val="single" w:sz="4" w:space="0" w:color="auto"/>
            </w:tcBorders>
            <w:shd w:val="clear" w:color="auto" w:fill="auto"/>
            <w:vAlign w:val="bottom"/>
          </w:tcPr>
          <w:p w14:paraId="3696CB91" w14:textId="77777777" w:rsidR="00825F5D" w:rsidRPr="00BC5CCC" w:rsidRDefault="00825F5D" w:rsidP="00825F5D">
            <w:pPr>
              <w:spacing w:after="120"/>
              <w:jc w:val="both"/>
              <w:rPr>
                <w:rFonts w:ascii="Times New Roman" w:eastAsia="Times New Roman" w:hAnsi="Times New Roman" w:cs="Times New Roman"/>
                <w:b/>
                <w:bCs/>
                <w:sz w:val="24"/>
                <w:u w:val="single"/>
                <w:lang w:val="fr-FR" w:eastAsia="de-DE"/>
              </w:rPr>
            </w:pPr>
            <w:r w:rsidRPr="00BC5CCC">
              <w:rPr>
                <w:rFonts w:ascii="Times New Roman" w:eastAsia="Times New Roman" w:hAnsi="Times New Roman" w:cs="Times New Roman"/>
                <w:b/>
                <w:bCs/>
                <w:sz w:val="24"/>
                <w:u w:val="single"/>
                <w:lang w:val="fr-FR" w:eastAsia="de-DE"/>
              </w:rPr>
              <w:t>TIER 2 CAPITAL</w:t>
            </w:r>
          </w:p>
          <w:p w14:paraId="520C3ED5" w14:textId="6C2AB61E" w:rsidR="00825F5D" w:rsidRPr="00BC5CCC" w:rsidRDefault="00825F5D" w:rsidP="00825F5D">
            <w:pPr>
              <w:spacing w:after="120"/>
              <w:jc w:val="both"/>
              <w:rPr>
                <w:rFonts w:ascii="Times New Roman" w:eastAsia="Times New Roman" w:hAnsi="Times New Roman" w:cs="Times New Roman"/>
                <w:bCs/>
                <w:sz w:val="24"/>
                <w:lang w:val="fr-FR" w:eastAsia="de-DE"/>
              </w:rPr>
            </w:pPr>
            <w:r w:rsidRPr="00BC5CCC">
              <w:rPr>
                <w:rFonts w:ascii="Times New Roman" w:eastAsia="Times New Roman" w:hAnsi="Times New Roman" w:cs="Times New Roman"/>
                <w:bCs/>
                <w:sz w:val="24"/>
                <w:lang w:val="fr-FR" w:eastAsia="de-DE"/>
              </w:rPr>
              <w:t>Article 9 (1) IFR</w:t>
            </w:r>
          </w:p>
          <w:p w14:paraId="33CD58BF" w14:textId="77777777" w:rsidR="00825F5D" w:rsidRPr="00BC5CCC" w:rsidRDefault="00825F5D" w:rsidP="00825F5D">
            <w:pPr>
              <w:spacing w:after="120"/>
              <w:jc w:val="both"/>
              <w:rPr>
                <w:rStyle w:val="FormatvorlageInstructionsTabelleText"/>
                <w:rFonts w:ascii="Times New Roman" w:hAnsi="Times New Roman"/>
                <w:sz w:val="24"/>
                <w:lang w:val="fr-FR"/>
              </w:rPr>
            </w:pPr>
            <w:r w:rsidRPr="00BC5CCC">
              <w:rPr>
                <w:rStyle w:val="FormatvorlageInstructionsTabelleText"/>
                <w:rFonts w:ascii="Times New Roman" w:hAnsi="Times New Roman"/>
                <w:sz w:val="24"/>
                <w:lang w:val="fr-FR"/>
              </w:rPr>
              <w:t>Article 71 CRR</w:t>
            </w:r>
          </w:p>
          <w:p w14:paraId="3AD36452" w14:textId="61061CD5"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Cs/>
                <w:sz w:val="24"/>
                <w:lang w:eastAsia="de-DE"/>
              </w:rPr>
              <w:t xml:space="preserve">The total sum of rows </w:t>
            </w:r>
            <w:r>
              <w:rPr>
                <w:rFonts w:ascii="Times New Roman" w:eastAsia="Times New Roman" w:hAnsi="Times New Roman" w:cs="Times New Roman"/>
                <w:bCs/>
                <w:sz w:val="24"/>
                <w:lang w:eastAsia="de-DE"/>
              </w:rPr>
              <w:t>23 to 2</w:t>
            </w:r>
            <w:r w:rsidR="007B2049">
              <w:rPr>
                <w:rFonts w:ascii="Times New Roman" w:eastAsia="Times New Roman" w:hAnsi="Times New Roman" w:cs="Times New Roman"/>
                <w:bCs/>
                <w:sz w:val="24"/>
                <w:lang w:eastAsia="de-DE"/>
              </w:rPr>
              <w:t>6</w:t>
            </w:r>
            <w:r w:rsidRPr="00107FFE">
              <w:rPr>
                <w:rFonts w:ascii="Times New Roman" w:eastAsia="Times New Roman" w:hAnsi="Times New Roman" w:cs="Times New Roman"/>
                <w:bCs/>
                <w:sz w:val="24"/>
                <w:lang w:eastAsia="de-DE"/>
              </w:rPr>
              <w:t xml:space="preserve"> shall be disclosed</w:t>
            </w:r>
          </w:p>
        </w:tc>
      </w:tr>
      <w:tr w:rsidR="00825F5D" w:rsidRPr="00107FFE" w14:paraId="0B8BBE06" w14:textId="77777777" w:rsidTr="00AF1B12">
        <w:tblPrEx>
          <w:tblLook w:val="00A0" w:firstRow="1" w:lastRow="0" w:firstColumn="1" w:lastColumn="0" w:noHBand="0" w:noVBand="0"/>
        </w:tblPrEx>
        <w:tc>
          <w:tcPr>
            <w:tcW w:w="1129" w:type="dxa"/>
            <w:shd w:val="clear" w:color="auto" w:fill="auto"/>
            <w:vAlign w:val="center"/>
          </w:tcPr>
          <w:p w14:paraId="092F8538" w14:textId="428D0B85"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23</w:t>
            </w:r>
          </w:p>
        </w:tc>
        <w:tc>
          <w:tcPr>
            <w:tcW w:w="7683" w:type="dxa"/>
            <w:tcBorders>
              <w:top w:val="nil"/>
              <w:left w:val="single" w:sz="4" w:space="0" w:color="auto"/>
              <w:bottom w:val="single" w:sz="4" w:space="0" w:color="auto"/>
              <w:right w:val="single" w:sz="4" w:space="0" w:color="auto"/>
            </w:tcBorders>
            <w:shd w:val="clear" w:color="auto" w:fill="auto"/>
            <w:vAlign w:val="bottom"/>
          </w:tcPr>
          <w:p w14:paraId="7F16679E"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Paid up capital instruments</w:t>
            </w:r>
          </w:p>
          <w:p w14:paraId="0A1AFD5A"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141745A9" w14:textId="77777777" w:rsidR="00825F5D" w:rsidRPr="00107FFE" w:rsidRDefault="00825F5D" w:rsidP="00825F5D">
            <w:pPr>
              <w:pStyle w:val="InstructionsText"/>
              <w:rPr>
                <w:rStyle w:val="FormatvorlageInstructionsTabelleText"/>
                <w:rFonts w:ascii="Times New Roman" w:eastAsiaTheme="minorHAnsi" w:hAnsi="Times New Roman"/>
                <w:bCs/>
                <w:sz w:val="24"/>
                <w:lang w:eastAsia="en-US"/>
              </w:rPr>
            </w:pPr>
            <w:r w:rsidRPr="00107FFE">
              <w:rPr>
                <w:rStyle w:val="FormatvorlageInstructionsTabelleText"/>
                <w:rFonts w:ascii="Times New Roman" w:hAnsi="Times New Roman"/>
                <w:sz w:val="24"/>
              </w:rPr>
              <w:t>Point (a) of Article 62, Articles 63 and 65 CRR</w:t>
            </w:r>
          </w:p>
          <w:p w14:paraId="5BD81433" w14:textId="130B8D2D"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Style w:val="FormatvorlageInstructionsTabelleText"/>
                <w:rFonts w:ascii="Times New Roman" w:hAnsi="Times New Roman"/>
                <w:sz w:val="24"/>
              </w:rPr>
              <w:t>The amount to be disclosed shall not include the share premium related to the instruments</w:t>
            </w:r>
          </w:p>
        </w:tc>
      </w:tr>
      <w:tr w:rsidR="00825F5D" w:rsidRPr="00107FFE" w14:paraId="2F6D93FC" w14:textId="77777777" w:rsidTr="00AF1B12">
        <w:tblPrEx>
          <w:tblLook w:val="00A0" w:firstRow="1" w:lastRow="0" w:firstColumn="1" w:lastColumn="0" w:noHBand="0" w:noVBand="0"/>
        </w:tblPrEx>
        <w:tc>
          <w:tcPr>
            <w:tcW w:w="1129" w:type="dxa"/>
            <w:shd w:val="clear" w:color="auto" w:fill="auto"/>
            <w:vAlign w:val="center"/>
          </w:tcPr>
          <w:p w14:paraId="0B05A953" w14:textId="37FFB59F"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lastRenderedPageBreak/>
              <w:t>24</w:t>
            </w:r>
          </w:p>
        </w:tc>
        <w:tc>
          <w:tcPr>
            <w:tcW w:w="7683" w:type="dxa"/>
            <w:tcBorders>
              <w:top w:val="nil"/>
              <w:left w:val="single" w:sz="4" w:space="0" w:color="auto"/>
              <w:bottom w:val="single" w:sz="4" w:space="0" w:color="auto"/>
              <w:right w:val="single" w:sz="4" w:space="0" w:color="auto"/>
            </w:tcBorders>
            <w:shd w:val="clear" w:color="auto" w:fill="auto"/>
            <w:vAlign w:val="bottom"/>
          </w:tcPr>
          <w:p w14:paraId="733D9104"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Share premium </w:t>
            </w:r>
          </w:p>
          <w:p w14:paraId="6AD9F0D2" w14:textId="77777777" w:rsidR="00825F5D" w:rsidRDefault="00825F5D" w:rsidP="00825F5D">
            <w:pPr>
              <w:spacing w:after="120"/>
              <w:jc w:val="both"/>
              <w:rPr>
                <w:rFonts w:ascii="Times New Roman" w:eastAsia="Times New Roman" w:hAnsi="Times New Roman" w:cs="Times New Roman"/>
                <w:bCs/>
                <w:sz w:val="24"/>
                <w:lang w:eastAsia="de-DE"/>
              </w:rPr>
            </w:pPr>
            <w:r>
              <w:rPr>
                <w:rFonts w:ascii="Times New Roman" w:eastAsia="Times New Roman" w:hAnsi="Times New Roman" w:cs="Times New Roman"/>
                <w:bCs/>
                <w:sz w:val="24"/>
                <w:lang w:eastAsia="de-DE"/>
              </w:rPr>
              <w:t>Point (i) of Article 9 (1) IFR</w:t>
            </w:r>
          </w:p>
          <w:p w14:paraId="12F10431"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62 and Article 65 CRR</w:t>
            </w:r>
          </w:p>
          <w:p w14:paraId="433A8532"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 xml:space="preserve">Share premium has the same meaning as under the applicable accounting standard. </w:t>
            </w:r>
          </w:p>
          <w:p w14:paraId="3714AE40" w14:textId="3056ED76" w:rsidR="00825F5D" w:rsidRPr="00107FFE" w:rsidRDefault="00825F5D" w:rsidP="00825F5D">
            <w:pPr>
              <w:pStyle w:val="InstructionsText"/>
            </w:pPr>
            <w:r w:rsidRPr="00107FFE">
              <w:rPr>
                <w:rStyle w:val="FormatvorlageInstructionsTabelleText"/>
                <w:rFonts w:ascii="Times New Roman" w:hAnsi="Times New Roman"/>
                <w:sz w:val="24"/>
              </w:rPr>
              <w:t xml:space="preserve">The amount to </w:t>
            </w:r>
            <w:proofErr w:type="gramStart"/>
            <w:r w:rsidRPr="00107FFE">
              <w:rPr>
                <w:rStyle w:val="FormatvorlageInstructionsTabelleText"/>
                <w:rFonts w:ascii="Times New Roman" w:hAnsi="Times New Roman"/>
                <w:sz w:val="24"/>
              </w:rPr>
              <w:t>be disclosed</w:t>
            </w:r>
            <w:proofErr w:type="gramEnd"/>
            <w:r w:rsidRPr="00107FFE">
              <w:rPr>
                <w:rStyle w:val="FormatvorlageInstructionsTabelleText"/>
                <w:rFonts w:ascii="Times New Roman" w:hAnsi="Times New Roman"/>
                <w:sz w:val="24"/>
              </w:rPr>
              <w:t xml:space="preserve"> in this item shall be the part related to the "Paid up capital instruments".</w:t>
            </w:r>
          </w:p>
        </w:tc>
      </w:tr>
      <w:tr w:rsidR="00825F5D" w:rsidRPr="00107FFE" w14:paraId="1759E428" w14:textId="77777777" w:rsidTr="00AF1B12">
        <w:tblPrEx>
          <w:tblLook w:val="00A0" w:firstRow="1" w:lastRow="0" w:firstColumn="1" w:lastColumn="0" w:noHBand="0" w:noVBand="0"/>
        </w:tblPrEx>
        <w:tc>
          <w:tcPr>
            <w:tcW w:w="1129" w:type="dxa"/>
            <w:shd w:val="clear" w:color="auto" w:fill="auto"/>
            <w:vAlign w:val="center"/>
          </w:tcPr>
          <w:p w14:paraId="19D2F002" w14:textId="67E77977" w:rsidR="00825F5D" w:rsidRPr="00107FFE" w:rsidRDefault="00825F5D" w:rsidP="00825F5D">
            <w:pPr>
              <w:spacing w:after="120"/>
              <w:jc w:val="both"/>
              <w:rPr>
                <w:rFonts w:ascii="Times New Roman" w:eastAsia="Times New Roman" w:hAnsi="Times New Roman" w:cs="Times New Roman"/>
                <w:bCs/>
                <w:sz w:val="24"/>
                <w:lang w:eastAsia="de-DE"/>
              </w:rPr>
            </w:pPr>
            <w:r w:rsidRPr="00107FFE">
              <w:rPr>
                <w:rFonts w:ascii="Times New Roman" w:hAnsi="Times New Roman" w:cs="Times New Roman"/>
                <w:color w:val="000000"/>
                <w:sz w:val="24"/>
              </w:rPr>
              <w:t>25</w:t>
            </w:r>
          </w:p>
        </w:tc>
        <w:tc>
          <w:tcPr>
            <w:tcW w:w="7683" w:type="dxa"/>
            <w:tcBorders>
              <w:top w:val="nil"/>
              <w:left w:val="single" w:sz="4" w:space="0" w:color="auto"/>
              <w:bottom w:val="single" w:sz="4" w:space="0" w:color="auto"/>
              <w:right w:val="single" w:sz="4" w:space="0" w:color="auto"/>
            </w:tcBorders>
            <w:shd w:val="clear" w:color="auto" w:fill="auto"/>
            <w:vAlign w:val="bottom"/>
          </w:tcPr>
          <w:p w14:paraId="4C4E3ED0"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xml:space="preserve">Subordinated loans </w:t>
            </w:r>
          </w:p>
          <w:p w14:paraId="70CC9357" w14:textId="77777777" w:rsidR="00825F5D" w:rsidRPr="00107FFE" w:rsidRDefault="00825F5D" w:rsidP="00825F5D">
            <w:pPr>
              <w:pStyle w:val="InstructionsText"/>
              <w:rPr>
                <w:rStyle w:val="FormatvorlageInstructionsTabelleText"/>
                <w:rFonts w:ascii="Times New Roman" w:hAnsi="Times New Roman"/>
                <w:sz w:val="24"/>
              </w:rPr>
            </w:pPr>
            <w:r w:rsidRPr="00107FFE">
              <w:rPr>
                <w:rStyle w:val="FormatvorlageInstructionsTabelleText"/>
                <w:rFonts w:ascii="Times New Roman" w:hAnsi="Times New Roman"/>
                <w:sz w:val="24"/>
              </w:rPr>
              <w:t>Point (b) of Article 62 and Article 63 CRR</w:t>
            </w:r>
          </w:p>
          <w:p w14:paraId="733D7261"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p>
        </w:tc>
      </w:tr>
      <w:tr w:rsidR="00825F5D" w:rsidRPr="00107FFE" w14:paraId="7D495097" w14:textId="77777777" w:rsidTr="00970F84">
        <w:tblPrEx>
          <w:tblLook w:val="00A0" w:firstRow="1" w:lastRow="0" w:firstColumn="1" w:lastColumn="0" w:noHBand="0" w:noVBand="0"/>
        </w:tblPrEx>
        <w:tc>
          <w:tcPr>
            <w:tcW w:w="1129" w:type="dxa"/>
            <w:shd w:val="clear" w:color="auto" w:fill="auto"/>
            <w:vAlign w:val="center"/>
          </w:tcPr>
          <w:p w14:paraId="19F12E6D" w14:textId="362BA8DE" w:rsidR="00825F5D" w:rsidRPr="00107FFE" w:rsidRDefault="00825F5D" w:rsidP="00825F5D">
            <w:pPr>
              <w:spacing w:after="120"/>
              <w:jc w:val="both"/>
              <w:rPr>
                <w:rFonts w:ascii="Times New Roman" w:eastAsia="Times New Roman" w:hAnsi="Times New Roman" w:cs="Times New Roman"/>
                <w:bCs/>
                <w:sz w:val="24"/>
                <w:lang w:eastAsia="de-DE"/>
              </w:rPr>
            </w:pPr>
            <w:r>
              <w:rPr>
                <w:rFonts w:ascii="Times New Roman" w:hAnsi="Times New Roman" w:cs="Times New Roman"/>
                <w:color w:val="000000"/>
                <w:sz w:val="24"/>
              </w:rPr>
              <w:t>26</w:t>
            </w:r>
          </w:p>
        </w:tc>
        <w:tc>
          <w:tcPr>
            <w:tcW w:w="7683" w:type="dxa"/>
            <w:tcBorders>
              <w:top w:val="nil"/>
              <w:left w:val="single" w:sz="4" w:space="0" w:color="auto"/>
              <w:bottom w:val="single" w:sz="4" w:space="0" w:color="auto"/>
              <w:right w:val="single" w:sz="4" w:space="0" w:color="auto"/>
            </w:tcBorders>
            <w:shd w:val="clear" w:color="auto" w:fill="auto"/>
            <w:vAlign w:val="bottom"/>
          </w:tcPr>
          <w:p w14:paraId="548EBFAC" w14:textId="77777777"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eastAsia="Times New Roman" w:hAnsi="Times New Roman" w:cs="Times New Roman"/>
                <w:b/>
                <w:bCs/>
                <w:sz w:val="24"/>
                <w:u w:val="single"/>
                <w:lang w:eastAsia="de-DE"/>
              </w:rPr>
              <w:t>(-) TOTAL DEDUCTIONS FROM TIER 2</w:t>
            </w:r>
          </w:p>
          <w:p w14:paraId="7D59E8EA" w14:textId="3B559C88" w:rsidR="00825F5D" w:rsidRPr="00107FFE" w:rsidRDefault="00825F5D" w:rsidP="00825F5D">
            <w:pPr>
              <w:spacing w:after="120"/>
              <w:jc w:val="both"/>
              <w:rPr>
                <w:rFonts w:ascii="Times New Roman" w:eastAsia="Times New Roman" w:hAnsi="Times New Roman" w:cs="Times New Roman"/>
                <w:b/>
                <w:bCs/>
                <w:sz w:val="24"/>
                <w:u w:val="single"/>
                <w:lang w:eastAsia="de-DE"/>
              </w:rPr>
            </w:pPr>
            <w:r w:rsidRPr="00107FFE">
              <w:rPr>
                <w:rFonts w:ascii="Times New Roman" w:hAnsi="Times New Roman" w:cs="Times New Roman"/>
                <w:sz w:val="24"/>
              </w:rPr>
              <w:t>Article 66 of CRR</w:t>
            </w:r>
          </w:p>
        </w:tc>
      </w:tr>
    </w:tbl>
    <w:p w14:paraId="2880669F" w14:textId="23BA5AA3" w:rsidR="00B44D36" w:rsidRPr="00107FFE" w:rsidRDefault="00B44D36" w:rsidP="00B44D36">
      <w:pPr>
        <w:ind w:left="720"/>
        <w:rPr>
          <w:rFonts w:ascii="Times New Roman" w:hAnsi="Times New Roman" w:cs="Times New Roman"/>
          <w:b/>
          <w:bCs/>
          <w:sz w:val="24"/>
        </w:rPr>
      </w:pPr>
    </w:p>
    <w:p w14:paraId="3591A7C6" w14:textId="0A466F43" w:rsidR="00970F84" w:rsidRDefault="00970F84" w:rsidP="00970F84">
      <w:pPr>
        <w:ind w:left="720"/>
        <w:rPr>
          <w:rFonts w:ascii="Times New Roman" w:hAnsi="Times New Roman" w:cs="Times New Roman"/>
          <w:b/>
          <w:bCs/>
          <w:sz w:val="24"/>
        </w:rPr>
      </w:pPr>
      <w:r>
        <w:rPr>
          <w:rFonts w:ascii="Times New Roman" w:hAnsi="Times New Roman" w:cs="Times New Roman"/>
          <w:b/>
          <w:bCs/>
          <w:sz w:val="24"/>
        </w:rPr>
        <w:t>Template EU IF CC1.03</w:t>
      </w:r>
      <w:r w:rsidRPr="00107FFE">
        <w:rPr>
          <w:rFonts w:ascii="Times New Roman" w:hAnsi="Times New Roman" w:cs="Times New Roman"/>
          <w:b/>
          <w:bCs/>
          <w:sz w:val="24"/>
        </w:rPr>
        <w:t xml:space="preserve"> - Composition of regulatory own funds (</w:t>
      </w:r>
      <w:r>
        <w:rPr>
          <w:rFonts w:ascii="Times New Roman" w:hAnsi="Times New Roman" w:cs="Times New Roman"/>
          <w:b/>
          <w:bCs/>
          <w:sz w:val="24"/>
        </w:rPr>
        <w:t>Group capital test</w:t>
      </w:r>
      <w:r w:rsidRPr="00107FFE">
        <w:rPr>
          <w:rFonts w:ascii="Times New Roman" w:hAnsi="Times New Roman" w:cs="Times New Roman"/>
          <w:b/>
          <w:bCs/>
          <w:sz w:val="24"/>
        </w:rPr>
        <w:t>)</w:t>
      </w:r>
    </w:p>
    <w:p w14:paraId="4B270CD8" w14:textId="79894202" w:rsidR="00924338" w:rsidRDefault="00924338" w:rsidP="00970F84">
      <w:pPr>
        <w:ind w:left="720"/>
        <w:rPr>
          <w:rFonts w:ascii="Times New Roman" w:hAnsi="Times New Roman" w:cs="Times New Roman"/>
          <w:b/>
          <w:bCs/>
          <w:sz w:val="24"/>
        </w:rPr>
      </w:pPr>
    </w:p>
    <w:p w14:paraId="3F33DA2F" w14:textId="1593B776" w:rsidR="00B44D36" w:rsidRPr="008A2821" w:rsidRDefault="008A2821" w:rsidP="008A2821">
      <w:pPr>
        <w:numPr>
          <w:ilvl w:val="0"/>
          <w:numId w:val="11"/>
        </w:numPr>
        <w:spacing w:before="120" w:after="120"/>
        <w:jc w:val="both"/>
        <w:rPr>
          <w:rFonts w:ascii="Times New Roman" w:hAnsi="Times New Roman" w:cs="Times New Roman"/>
          <w:bCs/>
          <w:sz w:val="24"/>
        </w:rPr>
      </w:pPr>
      <w:r w:rsidRPr="008A2821">
        <w:rPr>
          <w:rFonts w:ascii="Times New Roman" w:hAnsi="Times New Roman" w:cs="Times New Roman"/>
          <w:bCs/>
          <w:sz w:val="24"/>
        </w:rPr>
        <w:t>Entities referred to in Article 8(3) of Regulation (EU) 2019/2033 that are benefitting from the application of that same Article shall disclose the information on composition of own funds in accordance with template EU IF CC1.03 and with the following instructions</w:t>
      </w:r>
      <w:r w:rsidR="004476B6">
        <w:rPr>
          <w:rFonts w:ascii="Times New Roman" w:hAnsi="Times New Roman" w:cs="Times New Roman"/>
          <w:bCs/>
          <w:sz w:val="24"/>
        </w:rPr>
        <w:t>.</w:t>
      </w:r>
      <w:r w:rsidRPr="008A2821" w:rsidDel="008A2821">
        <w:rPr>
          <w:rFonts w:ascii="Times New Roman" w:hAnsi="Times New Roman" w:cs="Times New Roman"/>
          <w:bCs/>
          <w:sz w:val="24"/>
        </w:rPr>
        <w:t xml:space="preserve"> </w:t>
      </w:r>
    </w:p>
    <w:p w14:paraId="0A59B85C" w14:textId="77777777" w:rsidR="008A2821" w:rsidRPr="00107FFE" w:rsidRDefault="008A2821" w:rsidP="00B44D36">
      <w:pPr>
        <w:ind w:left="720"/>
        <w:rPr>
          <w:rFonts w:ascii="Times New Roman" w:hAnsi="Times New Roman" w:cs="Times New Roman"/>
          <w:b/>
          <w:bCs/>
          <w:sz w:val="24"/>
        </w:rPr>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970F84" w:rsidRPr="007D07CA" w14:paraId="130EE405" w14:textId="77777777" w:rsidTr="00970F84">
        <w:tc>
          <w:tcPr>
            <w:tcW w:w="1129" w:type="dxa"/>
            <w:shd w:val="clear" w:color="auto" w:fill="D9D9D9"/>
          </w:tcPr>
          <w:p w14:paraId="2D575F91" w14:textId="77777777" w:rsidR="00970F84" w:rsidRPr="007D07CA" w:rsidRDefault="00970F84" w:rsidP="00970F84">
            <w:pPr>
              <w:spacing w:after="120"/>
              <w:jc w:val="both"/>
              <w:rPr>
                <w:rFonts w:ascii="Times New Roman" w:eastAsia="Times New Roman" w:hAnsi="Times New Roman" w:cs="Times New Roman"/>
                <w:bCs/>
              </w:rPr>
            </w:pPr>
            <w:r w:rsidRPr="007D07CA">
              <w:rPr>
                <w:rFonts w:ascii="Times New Roman" w:eastAsia="Times New Roman" w:hAnsi="Times New Roman" w:cs="Times New Roman"/>
                <w:lang w:eastAsia="de-DE"/>
              </w:rPr>
              <w:t>Row</w:t>
            </w:r>
          </w:p>
        </w:tc>
        <w:tc>
          <w:tcPr>
            <w:tcW w:w="7620" w:type="dxa"/>
            <w:shd w:val="clear" w:color="auto" w:fill="D9D9D9"/>
          </w:tcPr>
          <w:p w14:paraId="0BFA0E9A" w14:textId="77777777" w:rsidR="00970F84" w:rsidRPr="007D07CA" w:rsidRDefault="00970F84" w:rsidP="00970F84">
            <w:pPr>
              <w:spacing w:after="120"/>
              <w:jc w:val="both"/>
              <w:rPr>
                <w:rFonts w:ascii="Times New Roman" w:eastAsia="Times New Roman" w:hAnsi="Times New Roman" w:cs="Times New Roman"/>
                <w:bCs/>
              </w:rPr>
            </w:pPr>
            <w:r w:rsidRPr="007D07CA">
              <w:rPr>
                <w:rFonts w:ascii="Times New Roman" w:eastAsia="Times New Roman" w:hAnsi="Times New Roman" w:cs="Times New Roman"/>
                <w:lang w:eastAsia="de-DE"/>
              </w:rPr>
              <w:t>Legal references and instructions</w:t>
            </w:r>
          </w:p>
        </w:tc>
      </w:tr>
      <w:tr w:rsidR="00970F84" w:rsidRPr="007D07CA" w14:paraId="3B4941C2" w14:textId="77777777" w:rsidTr="002B149A">
        <w:tc>
          <w:tcPr>
            <w:tcW w:w="1129" w:type="dxa"/>
            <w:vAlign w:val="center"/>
          </w:tcPr>
          <w:p w14:paraId="3D4E3E87" w14:textId="75E7F915" w:rsidR="00970F84" w:rsidRPr="007B2049" w:rsidRDefault="00970F84" w:rsidP="00970F84">
            <w:pPr>
              <w:spacing w:after="120"/>
              <w:jc w:val="both"/>
              <w:rPr>
                <w:rFonts w:ascii="Times New Roman" w:eastAsia="Times New Roman" w:hAnsi="Times New Roman" w:cs="Times New Roman"/>
                <w:bCs/>
                <w:lang w:eastAsia="de-DE"/>
              </w:rPr>
            </w:pPr>
            <w:r w:rsidRPr="00E85018">
              <w:rPr>
                <w:rFonts w:ascii="Times New Roman" w:hAnsi="Times New Roman" w:cs="Times New Roman"/>
                <w:bCs/>
                <w:color w:val="000000"/>
                <w:sz w:val="24"/>
              </w:rPr>
              <w:t>1</w:t>
            </w:r>
          </w:p>
        </w:tc>
        <w:tc>
          <w:tcPr>
            <w:tcW w:w="7620" w:type="dxa"/>
          </w:tcPr>
          <w:p w14:paraId="7DC1890C"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OWN FUNDS</w:t>
            </w:r>
          </w:p>
          <w:p w14:paraId="04B3808F" w14:textId="77777777" w:rsidR="00970F84" w:rsidRPr="007D07CA" w:rsidRDefault="00970F84" w:rsidP="00970F84">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p>
          <w:p w14:paraId="75579057" w14:textId="09E2774D" w:rsidR="00970F84" w:rsidRPr="00972BBA" w:rsidRDefault="00970F84">
            <w:pPr>
              <w:spacing w:after="120"/>
              <w:jc w:val="both"/>
              <w:rPr>
                <w:rFonts w:ascii="Times New Roman" w:eastAsia="Times New Roman" w:hAnsi="Times New Roman" w:cs="Times New Roman"/>
                <w:b/>
                <w:bCs/>
                <w:szCs w:val="22"/>
                <w:u w:val="single"/>
                <w:lang w:eastAsia="de-DE"/>
              </w:rPr>
            </w:pPr>
            <w:r w:rsidRPr="002B149A">
              <w:rPr>
                <w:rStyle w:val="FormatvorlageInstructionsTabelleText"/>
                <w:rFonts w:ascii="Times New Roman" w:hAnsi="Times New Roman"/>
                <w:sz w:val="22"/>
                <w:szCs w:val="22"/>
              </w:rPr>
              <w:t xml:space="preserve">The own funds of an investment firm shall consist of the sum of </w:t>
            </w:r>
            <w:proofErr w:type="gramStart"/>
            <w:r w:rsidRPr="002B149A">
              <w:rPr>
                <w:rStyle w:val="FormatvorlageInstructionsTabelleText"/>
                <w:rFonts w:ascii="Times New Roman" w:hAnsi="Times New Roman"/>
                <w:sz w:val="22"/>
                <w:szCs w:val="22"/>
              </w:rPr>
              <w:t>its</w:t>
            </w:r>
            <w:proofErr w:type="gramEnd"/>
            <w:r w:rsidRPr="002B149A">
              <w:rPr>
                <w:rStyle w:val="FormatvorlageInstructionsTabelleText"/>
                <w:rFonts w:ascii="Times New Roman" w:hAnsi="Times New Roman"/>
                <w:sz w:val="22"/>
                <w:szCs w:val="22"/>
              </w:rPr>
              <w:t xml:space="preserve"> of its Tier 1 capital and Tier 2 capital.</w:t>
            </w:r>
          </w:p>
        </w:tc>
      </w:tr>
      <w:tr w:rsidR="00970F84" w:rsidRPr="007D07CA" w14:paraId="4AA37CA7" w14:textId="77777777" w:rsidTr="002B149A">
        <w:tc>
          <w:tcPr>
            <w:tcW w:w="1129" w:type="dxa"/>
            <w:vAlign w:val="center"/>
          </w:tcPr>
          <w:p w14:paraId="046C758A" w14:textId="70CAC2C8" w:rsidR="00970F84" w:rsidRPr="007B2049" w:rsidRDefault="00970F84" w:rsidP="00970F84">
            <w:pPr>
              <w:spacing w:after="120"/>
              <w:jc w:val="both"/>
              <w:rPr>
                <w:rFonts w:ascii="Times New Roman" w:eastAsia="Times New Roman" w:hAnsi="Times New Roman" w:cs="Times New Roman"/>
                <w:bCs/>
                <w:lang w:eastAsia="de-DE"/>
              </w:rPr>
            </w:pPr>
            <w:r w:rsidRPr="00E85018">
              <w:rPr>
                <w:rFonts w:ascii="Times New Roman" w:hAnsi="Times New Roman" w:cs="Times New Roman"/>
                <w:bCs/>
                <w:color w:val="000000"/>
                <w:sz w:val="24"/>
              </w:rPr>
              <w:t>2</w:t>
            </w:r>
          </w:p>
        </w:tc>
        <w:tc>
          <w:tcPr>
            <w:tcW w:w="7620" w:type="dxa"/>
          </w:tcPr>
          <w:p w14:paraId="4FE5DC3D"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TIER 1 CAPITAL</w:t>
            </w:r>
          </w:p>
          <w:p w14:paraId="403EF756" w14:textId="77777777" w:rsidR="00970F84" w:rsidRPr="00972BBA" w:rsidRDefault="00970F84" w:rsidP="00970F84">
            <w:pPr>
              <w:spacing w:after="120"/>
              <w:jc w:val="both"/>
              <w:rPr>
                <w:rFonts w:ascii="Times New Roman" w:eastAsia="Times New Roman" w:hAnsi="Times New Roman" w:cs="Times New Roman"/>
                <w:b/>
                <w:bCs/>
                <w:szCs w:val="22"/>
                <w:u w:val="single"/>
                <w:lang w:eastAsia="de-DE"/>
              </w:rPr>
            </w:pPr>
            <w:r w:rsidRPr="002B149A">
              <w:rPr>
                <w:rStyle w:val="FormatvorlageInstructionsTabelleText"/>
                <w:rFonts w:ascii="Times New Roman" w:hAnsi="Times New Roman"/>
                <w:sz w:val="22"/>
                <w:szCs w:val="22"/>
              </w:rPr>
              <w:t>The Tier 1 capital is the sum of Common Equity Tier 1 Capital and Additional Tier 1 capital</w:t>
            </w:r>
          </w:p>
        </w:tc>
      </w:tr>
      <w:tr w:rsidR="00970F84" w:rsidRPr="007D07CA" w14:paraId="13125186" w14:textId="77777777" w:rsidTr="002B149A">
        <w:tc>
          <w:tcPr>
            <w:tcW w:w="1129" w:type="dxa"/>
            <w:vAlign w:val="center"/>
          </w:tcPr>
          <w:p w14:paraId="7CF1E769" w14:textId="562374FB" w:rsidR="00970F84" w:rsidRPr="007B2049" w:rsidRDefault="00970F84" w:rsidP="00970F84">
            <w:pPr>
              <w:spacing w:after="120"/>
              <w:jc w:val="both"/>
              <w:rPr>
                <w:rFonts w:ascii="Times New Roman" w:eastAsia="Times New Roman" w:hAnsi="Times New Roman" w:cs="Times New Roman"/>
                <w:bCs/>
                <w:lang w:eastAsia="de-DE"/>
              </w:rPr>
            </w:pPr>
            <w:r w:rsidRPr="00E85018">
              <w:rPr>
                <w:rFonts w:ascii="Times New Roman" w:hAnsi="Times New Roman" w:cs="Times New Roman"/>
                <w:bCs/>
                <w:color w:val="000000"/>
                <w:sz w:val="24"/>
              </w:rPr>
              <w:t>3</w:t>
            </w:r>
          </w:p>
        </w:tc>
        <w:tc>
          <w:tcPr>
            <w:tcW w:w="7620" w:type="dxa"/>
          </w:tcPr>
          <w:p w14:paraId="674791B1"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Style w:val="InstructionsTabelleberschrift"/>
                <w:rFonts w:ascii="Times New Roman" w:hAnsi="Times New Roman"/>
                <w:sz w:val="22"/>
              </w:rPr>
              <w:t>COMMON EQUITY TIER 1 CAPITAL</w:t>
            </w:r>
            <w:r w:rsidRPr="007D07CA">
              <w:rPr>
                <w:rFonts w:ascii="Times New Roman" w:eastAsia="Times New Roman" w:hAnsi="Times New Roman" w:cs="Times New Roman"/>
                <w:b/>
                <w:bCs/>
                <w:u w:val="single"/>
                <w:lang w:eastAsia="de-DE"/>
              </w:rPr>
              <w:t xml:space="preserve"> </w:t>
            </w:r>
          </w:p>
          <w:p w14:paraId="3FAD1887" w14:textId="77777777" w:rsidR="00970F84" w:rsidRPr="007D07CA" w:rsidRDefault="00970F84" w:rsidP="00970F84">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p>
          <w:p w14:paraId="6E92DC17" w14:textId="77777777" w:rsidR="00970F84" w:rsidRPr="007D07CA" w:rsidRDefault="00970F84" w:rsidP="00970F84">
            <w:pPr>
              <w:spacing w:after="120"/>
              <w:jc w:val="both"/>
              <w:rPr>
                <w:rFonts w:ascii="Times New Roman" w:eastAsia="Times New Roman" w:hAnsi="Times New Roman" w:cs="Times New Roman"/>
                <w:bCs/>
                <w:lang w:eastAsia="de-DE"/>
              </w:rPr>
            </w:pPr>
            <w:r w:rsidRPr="007D07CA">
              <w:rPr>
                <w:rStyle w:val="FormatvorlageInstructionsTabelleText"/>
                <w:rFonts w:ascii="Times New Roman" w:hAnsi="Times New Roman"/>
              </w:rPr>
              <w:t xml:space="preserve">Article 50 </w:t>
            </w:r>
            <w:r>
              <w:rPr>
                <w:rStyle w:val="FormatvorlageInstructionsTabelleText"/>
                <w:rFonts w:ascii="Times New Roman" w:hAnsi="Times New Roman"/>
              </w:rPr>
              <w:t xml:space="preserve">of </w:t>
            </w:r>
            <w:r w:rsidRPr="007D07CA">
              <w:rPr>
                <w:rStyle w:val="FormatvorlageInstructionsTabelleText"/>
                <w:rFonts w:ascii="Times New Roman" w:hAnsi="Times New Roman"/>
              </w:rPr>
              <w:t>CRR</w:t>
            </w:r>
          </w:p>
        </w:tc>
      </w:tr>
      <w:tr w:rsidR="00970F84" w:rsidRPr="007D07CA" w14:paraId="59036075" w14:textId="77777777" w:rsidTr="002B149A">
        <w:tc>
          <w:tcPr>
            <w:tcW w:w="1129" w:type="dxa"/>
            <w:vAlign w:val="center"/>
          </w:tcPr>
          <w:p w14:paraId="40CE3C33" w14:textId="544AA991" w:rsidR="00970F84" w:rsidRPr="007B2049" w:rsidRDefault="00970F84" w:rsidP="00970F84">
            <w:pPr>
              <w:spacing w:after="120"/>
              <w:jc w:val="both"/>
              <w:rPr>
                <w:rFonts w:ascii="Times New Roman" w:eastAsia="Times New Roman" w:hAnsi="Times New Roman" w:cs="Times New Roman"/>
                <w:bCs/>
                <w:lang w:eastAsia="de-DE"/>
              </w:rPr>
            </w:pPr>
            <w:r w:rsidRPr="007B2049">
              <w:rPr>
                <w:rFonts w:ascii="Times New Roman" w:hAnsi="Times New Roman" w:cs="Times New Roman"/>
                <w:color w:val="000000"/>
                <w:sz w:val="24"/>
              </w:rPr>
              <w:t>4</w:t>
            </w:r>
          </w:p>
        </w:tc>
        <w:tc>
          <w:tcPr>
            <w:tcW w:w="7620" w:type="dxa"/>
          </w:tcPr>
          <w:p w14:paraId="42E8450C"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63ADB300" w14:textId="77777777" w:rsidR="00970F84" w:rsidRPr="00972BBA" w:rsidRDefault="00970F84" w:rsidP="00970F84">
            <w:pPr>
              <w:spacing w:after="120"/>
              <w:jc w:val="both"/>
              <w:rPr>
                <w:rFonts w:ascii="Times New Roman" w:eastAsia="Times New Roman" w:hAnsi="Times New Roman" w:cs="Times New Roman"/>
                <w:bCs/>
                <w:szCs w:val="22"/>
                <w:lang w:eastAsia="de-DE"/>
              </w:rPr>
            </w:pPr>
            <w:r w:rsidRPr="00972BBA">
              <w:rPr>
                <w:rFonts w:ascii="Times New Roman" w:eastAsia="Times New Roman" w:hAnsi="Times New Roman" w:cs="Times New Roman"/>
                <w:bCs/>
                <w:szCs w:val="22"/>
                <w:lang w:eastAsia="de-DE"/>
              </w:rPr>
              <w:t>Point (i) of Article 9(1) IFR</w:t>
            </w:r>
          </w:p>
          <w:p w14:paraId="19B8F872" w14:textId="77777777" w:rsidR="00970F84" w:rsidRPr="002B149A" w:rsidRDefault="00970F84" w:rsidP="00972BBA">
            <w:pPr>
              <w:pStyle w:val="InstructionsText"/>
              <w:rPr>
                <w:rStyle w:val="FormatvorlageInstructionsTabelleText"/>
                <w:rFonts w:ascii="Times New Roman" w:hAnsi="Times New Roman"/>
                <w:sz w:val="22"/>
              </w:rPr>
            </w:pPr>
            <w:r w:rsidRPr="00972BBA">
              <w:rPr>
                <w:rStyle w:val="FormatvorlageInstructionsTabelleText"/>
                <w:rFonts w:ascii="Times New Roman" w:hAnsi="Times New Roman"/>
                <w:sz w:val="22"/>
              </w:rPr>
              <w:t>Point (a) of Article 26(1) and Articles 27 to 31 CRR</w:t>
            </w:r>
          </w:p>
          <w:p w14:paraId="681FE10A" w14:textId="77777777" w:rsidR="00970F84" w:rsidRPr="002B149A" w:rsidRDefault="00970F84" w:rsidP="00972BBA">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t>Capital instruments of mutual, cooperative societies or similar institutions (Articles 27 and 29 CRR) shall be included.</w:t>
            </w:r>
          </w:p>
          <w:p w14:paraId="2A091C3E" w14:textId="77777777" w:rsidR="00970F84" w:rsidRPr="002B149A" w:rsidRDefault="00970F84" w:rsidP="00972BBA">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t>The share premium related to the instruments shall not be included.</w:t>
            </w:r>
          </w:p>
          <w:p w14:paraId="3A8D47AC" w14:textId="77777777" w:rsidR="00970F84" w:rsidRPr="007D07CA" w:rsidRDefault="00970F84" w:rsidP="002B149A">
            <w:pPr>
              <w:pStyle w:val="InstructionsText"/>
            </w:pPr>
            <w:r w:rsidRPr="002B149A">
              <w:rPr>
                <w:rStyle w:val="FormatvorlageInstructionsTabelleText"/>
                <w:rFonts w:ascii="Times New Roman" w:hAnsi="Times New Roman"/>
                <w:sz w:val="22"/>
              </w:rPr>
              <w:t xml:space="preserve">Capital instruments subscribed by public authorities in </w:t>
            </w:r>
            <w:proofErr w:type="gramStart"/>
            <w:r w:rsidRPr="002B149A">
              <w:rPr>
                <w:rStyle w:val="FormatvorlageInstructionsTabelleText"/>
                <w:rFonts w:ascii="Times New Roman" w:hAnsi="Times New Roman"/>
                <w:sz w:val="22"/>
              </w:rPr>
              <w:t>emergency situations</w:t>
            </w:r>
            <w:proofErr w:type="gramEnd"/>
            <w:r w:rsidRPr="002B149A">
              <w:rPr>
                <w:rStyle w:val="FormatvorlageInstructionsTabelleText"/>
                <w:rFonts w:ascii="Times New Roman" w:hAnsi="Times New Roman"/>
                <w:sz w:val="22"/>
              </w:rPr>
              <w:t xml:space="preserve"> shall be included if all conditions of Article 31 CRR are fulfilled.</w:t>
            </w:r>
          </w:p>
        </w:tc>
      </w:tr>
      <w:tr w:rsidR="00970F84" w:rsidRPr="007D07CA" w14:paraId="2941F692" w14:textId="77777777" w:rsidTr="002B149A">
        <w:tc>
          <w:tcPr>
            <w:tcW w:w="1129" w:type="dxa"/>
            <w:vAlign w:val="center"/>
          </w:tcPr>
          <w:p w14:paraId="71985393" w14:textId="2AFB9DD9" w:rsidR="00970F84" w:rsidRPr="007B2049" w:rsidRDefault="00970F84" w:rsidP="00970F84">
            <w:pPr>
              <w:spacing w:after="120"/>
              <w:jc w:val="both"/>
              <w:rPr>
                <w:rFonts w:ascii="Times New Roman" w:eastAsia="Times New Roman" w:hAnsi="Times New Roman" w:cs="Times New Roman"/>
                <w:bCs/>
                <w:lang w:eastAsia="de-DE"/>
              </w:rPr>
            </w:pPr>
            <w:r w:rsidRPr="007B2049">
              <w:rPr>
                <w:rFonts w:ascii="Times New Roman" w:hAnsi="Times New Roman" w:cs="Times New Roman"/>
                <w:color w:val="000000"/>
                <w:sz w:val="24"/>
              </w:rPr>
              <w:lastRenderedPageBreak/>
              <w:t>5</w:t>
            </w:r>
          </w:p>
        </w:tc>
        <w:tc>
          <w:tcPr>
            <w:tcW w:w="7620" w:type="dxa"/>
          </w:tcPr>
          <w:p w14:paraId="7BCB1DE4"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3A46BED2" w14:textId="77777777" w:rsidR="00970F84" w:rsidRPr="00972BBA" w:rsidRDefault="00970F84" w:rsidP="00970F84">
            <w:pPr>
              <w:spacing w:after="120"/>
              <w:jc w:val="both"/>
              <w:rPr>
                <w:rFonts w:ascii="Times New Roman" w:eastAsia="Times New Roman" w:hAnsi="Times New Roman" w:cs="Times New Roman"/>
                <w:bCs/>
                <w:szCs w:val="22"/>
                <w:lang w:eastAsia="de-DE"/>
              </w:rPr>
            </w:pPr>
            <w:r w:rsidRPr="00972BBA">
              <w:rPr>
                <w:rFonts w:ascii="Times New Roman" w:eastAsia="Times New Roman" w:hAnsi="Times New Roman" w:cs="Times New Roman"/>
                <w:bCs/>
                <w:szCs w:val="22"/>
                <w:lang w:eastAsia="de-DE"/>
              </w:rPr>
              <w:t>Point (i) of Article 9(1) IFR</w:t>
            </w:r>
          </w:p>
          <w:p w14:paraId="47135608" w14:textId="77777777" w:rsidR="00970F84" w:rsidRPr="002B149A" w:rsidRDefault="00970F84" w:rsidP="00970F84">
            <w:pPr>
              <w:spacing w:after="120"/>
              <w:jc w:val="both"/>
              <w:rPr>
                <w:rStyle w:val="FormatvorlageInstructionsTabelleText"/>
                <w:rFonts w:ascii="Times New Roman" w:hAnsi="Times New Roman"/>
                <w:sz w:val="22"/>
                <w:szCs w:val="22"/>
              </w:rPr>
            </w:pPr>
            <w:r w:rsidRPr="002B149A">
              <w:rPr>
                <w:rStyle w:val="FormatvorlageInstructionsTabelleText"/>
                <w:rFonts w:ascii="Times New Roman" w:hAnsi="Times New Roman"/>
                <w:sz w:val="22"/>
                <w:szCs w:val="22"/>
              </w:rPr>
              <w:t>Point (b) of Article 26(1) CRR</w:t>
            </w:r>
          </w:p>
          <w:p w14:paraId="4BD83F48" w14:textId="77777777" w:rsidR="00970F84" w:rsidRPr="00972BBA" w:rsidRDefault="00970F84" w:rsidP="00972BBA">
            <w:pPr>
              <w:pStyle w:val="InstructionsText"/>
              <w:rPr>
                <w:rStyle w:val="FormatvorlageInstructionsTabelleText"/>
                <w:rFonts w:ascii="Times New Roman" w:hAnsi="Times New Roman"/>
                <w:sz w:val="22"/>
              </w:rPr>
            </w:pPr>
            <w:r w:rsidRPr="00972BBA">
              <w:rPr>
                <w:rStyle w:val="FormatvorlageInstructionsTabelleText"/>
                <w:rFonts w:ascii="Times New Roman" w:hAnsi="Times New Roman"/>
                <w:sz w:val="22"/>
              </w:rPr>
              <w:t xml:space="preserve">Share premium has the same meaning as under the applicable accounting standard. </w:t>
            </w:r>
          </w:p>
          <w:p w14:paraId="420086D8" w14:textId="53647F4A" w:rsidR="00970F84" w:rsidRPr="007D07CA" w:rsidRDefault="00970F84" w:rsidP="00970F84">
            <w:pPr>
              <w:spacing w:after="120"/>
              <w:jc w:val="both"/>
              <w:rPr>
                <w:rFonts w:ascii="Times New Roman" w:eastAsia="Times New Roman" w:hAnsi="Times New Roman" w:cs="Times New Roman"/>
                <w:b/>
                <w:bCs/>
                <w:u w:val="single"/>
                <w:lang w:eastAsia="de-DE"/>
              </w:rPr>
            </w:pPr>
            <w:r w:rsidRPr="002B149A">
              <w:rPr>
                <w:rStyle w:val="FormatvorlageInstructionsTabelleText"/>
                <w:rFonts w:ascii="Times New Roman" w:hAnsi="Times New Roman"/>
                <w:sz w:val="22"/>
                <w:szCs w:val="22"/>
              </w:rPr>
              <w:t xml:space="preserve">The amount to </w:t>
            </w:r>
            <w:proofErr w:type="gramStart"/>
            <w:r w:rsidRPr="002B149A">
              <w:rPr>
                <w:rStyle w:val="FormatvorlageInstructionsTabelleText"/>
                <w:rFonts w:ascii="Times New Roman" w:hAnsi="Times New Roman"/>
                <w:sz w:val="22"/>
                <w:szCs w:val="22"/>
              </w:rPr>
              <w:t>be disclosed</w:t>
            </w:r>
            <w:proofErr w:type="gramEnd"/>
            <w:r w:rsidRPr="002B149A">
              <w:rPr>
                <w:rStyle w:val="FormatvorlageInstructionsTabelleText"/>
                <w:rFonts w:ascii="Times New Roman" w:hAnsi="Times New Roman"/>
                <w:sz w:val="22"/>
                <w:szCs w:val="22"/>
              </w:rPr>
              <w:t xml:space="preserve"> in this item shall be the part related to the "Paid up capital instruments".</w:t>
            </w:r>
          </w:p>
        </w:tc>
      </w:tr>
      <w:tr w:rsidR="00970F84" w:rsidRPr="007D07CA" w14:paraId="2E04977B" w14:textId="77777777" w:rsidTr="002B149A">
        <w:tc>
          <w:tcPr>
            <w:tcW w:w="1129" w:type="dxa"/>
            <w:vAlign w:val="center"/>
          </w:tcPr>
          <w:p w14:paraId="629CFA4E" w14:textId="5B9A0854" w:rsidR="00970F84" w:rsidRPr="007B2049" w:rsidRDefault="00970F84" w:rsidP="00970F84">
            <w:pPr>
              <w:spacing w:after="120"/>
              <w:jc w:val="both"/>
              <w:rPr>
                <w:rFonts w:ascii="Times New Roman" w:eastAsia="Times New Roman" w:hAnsi="Times New Roman" w:cs="Times New Roman"/>
                <w:bCs/>
                <w:lang w:eastAsia="de-DE"/>
              </w:rPr>
            </w:pPr>
            <w:r w:rsidRPr="007B2049">
              <w:rPr>
                <w:rFonts w:ascii="Times New Roman" w:hAnsi="Times New Roman" w:cs="Times New Roman"/>
                <w:color w:val="000000"/>
                <w:sz w:val="24"/>
              </w:rPr>
              <w:t>6</w:t>
            </w:r>
          </w:p>
        </w:tc>
        <w:tc>
          <w:tcPr>
            <w:tcW w:w="7620" w:type="dxa"/>
          </w:tcPr>
          <w:p w14:paraId="3B3B762D"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Retained earnings</w:t>
            </w:r>
          </w:p>
          <w:p w14:paraId="73316F24" w14:textId="77777777" w:rsidR="00970F84" w:rsidRPr="007D07CA" w:rsidRDefault="00970F84" w:rsidP="00970F84">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4A81AD44" w14:textId="77777777" w:rsidR="00970F84" w:rsidRPr="00972BBA" w:rsidRDefault="00970F84" w:rsidP="00970F84">
            <w:pPr>
              <w:spacing w:after="120"/>
              <w:jc w:val="both"/>
              <w:rPr>
                <w:rFonts w:ascii="Times New Roman" w:eastAsia="Times New Roman" w:hAnsi="Times New Roman" w:cs="Times New Roman"/>
                <w:bCs/>
                <w:szCs w:val="22"/>
                <w:lang w:eastAsia="de-DE"/>
              </w:rPr>
            </w:pPr>
            <w:r w:rsidRPr="002B149A">
              <w:rPr>
                <w:rStyle w:val="FormatvorlageInstructionsTabelleText"/>
                <w:rFonts w:ascii="Times New Roman" w:hAnsi="Times New Roman"/>
                <w:sz w:val="22"/>
                <w:szCs w:val="22"/>
              </w:rPr>
              <w:t>Point (c) of Article 26(1) CRR</w:t>
            </w:r>
          </w:p>
          <w:p w14:paraId="6BE0E6D6"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2B149A">
              <w:rPr>
                <w:rStyle w:val="FormatvorlageInstructionsTabelleText"/>
                <w:rFonts w:ascii="Times New Roman" w:hAnsi="Times New Roman"/>
                <w:sz w:val="22"/>
                <w:szCs w:val="22"/>
              </w:rPr>
              <w:t>Retained earnings includes the previous year retained earnings plus the eligible interim or year-end profits</w:t>
            </w:r>
          </w:p>
        </w:tc>
      </w:tr>
      <w:tr w:rsidR="00970F84" w:rsidRPr="007D07CA" w14:paraId="1F6BB2A5" w14:textId="77777777" w:rsidTr="002B149A">
        <w:tc>
          <w:tcPr>
            <w:tcW w:w="1129" w:type="dxa"/>
            <w:vAlign w:val="center"/>
          </w:tcPr>
          <w:p w14:paraId="0134075B" w14:textId="577419D9" w:rsidR="00970F84" w:rsidRPr="007B2049" w:rsidRDefault="00970F84" w:rsidP="00970F84">
            <w:pPr>
              <w:spacing w:after="120"/>
              <w:jc w:val="both"/>
              <w:rPr>
                <w:rFonts w:ascii="Times New Roman" w:eastAsia="Times New Roman" w:hAnsi="Times New Roman" w:cs="Times New Roman"/>
                <w:bCs/>
                <w:lang w:eastAsia="de-DE"/>
              </w:rPr>
            </w:pPr>
            <w:r w:rsidRPr="007B2049">
              <w:rPr>
                <w:rFonts w:ascii="Times New Roman" w:hAnsi="Times New Roman" w:cs="Times New Roman"/>
                <w:color w:val="000000"/>
                <w:sz w:val="24"/>
              </w:rPr>
              <w:t>7</w:t>
            </w:r>
          </w:p>
        </w:tc>
        <w:tc>
          <w:tcPr>
            <w:tcW w:w="7620" w:type="dxa"/>
          </w:tcPr>
          <w:p w14:paraId="440ACDFA" w14:textId="77777777" w:rsidR="00970F84" w:rsidRDefault="00970F84" w:rsidP="00970F84">
            <w:pPr>
              <w:spacing w:after="120"/>
              <w:jc w:val="both"/>
              <w:rPr>
                <w:rFonts w:ascii="Times New Roman" w:eastAsia="Times New Roman" w:hAnsi="Times New Roman" w:cs="Times New Roman"/>
                <w:b/>
                <w:bCs/>
                <w:u w:val="single"/>
                <w:lang w:eastAsia="de-DE"/>
              </w:rPr>
            </w:pPr>
            <w:r w:rsidRPr="003155C8">
              <w:rPr>
                <w:rFonts w:ascii="Times New Roman" w:eastAsia="Times New Roman" w:hAnsi="Times New Roman" w:cs="Times New Roman"/>
                <w:b/>
                <w:bCs/>
                <w:u w:val="single"/>
                <w:lang w:eastAsia="de-DE"/>
              </w:rPr>
              <w:t>Previous years retained earnings</w:t>
            </w:r>
          </w:p>
          <w:p w14:paraId="6D8CD832" w14:textId="77777777" w:rsidR="00970F84" w:rsidRPr="002B149A" w:rsidRDefault="00970F84" w:rsidP="00970F84">
            <w:pPr>
              <w:spacing w:after="120"/>
              <w:jc w:val="both"/>
              <w:rPr>
                <w:rFonts w:ascii="Times New Roman" w:hAnsi="Times New Roman" w:cs="Times New Roman"/>
              </w:rPr>
            </w:pPr>
            <w:r w:rsidRPr="00972BBA">
              <w:rPr>
                <w:rFonts w:ascii="Times New Roman" w:hAnsi="Times New Roman" w:cs="Times New Roman"/>
              </w:rPr>
              <w:t>Point (123) of Article 4(1) and point (c) of Article 26(1) CRR</w:t>
            </w:r>
          </w:p>
          <w:p w14:paraId="4F4EDC71"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2B149A">
              <w:rPr>
                <w:rFonts w:ascii="Times New Roman" w:hAnsi="Times New Roman" w:cs="Times New Roman"/>
              </w:rPr>
              <w:t>Point (123) of Article 4(1) CRR defines retained earnings as "Profit and losses brought forward as a result of the final application of profit or loss under the applicable accounting framework".</w:t>
            </w:r>
          </w:p>
        </w:tc>
      </w:tr>
      <w:tr w:rsidR="00970F84" w:rsidRPr="007D07CA" w14:paraId="2F0348DE" w14:textId="77777777" w:rsidTr="002B149A">
        <w:tc>
          <w:tcPr>
            <w:tcW w:w="1129" w:type="dxa"/>
            <w:vAlign w:val="center"/>
          </w:tcPr>
          <w:p w14:paraId="01B12462" w14:textId="3FF2CAFB" w:rsidR="00970F84" w:rsidRPr="007B2049" w:rsidRDefault="00970F84" w:rsidP="00970F84">
            <w:pPr>
              <w:spacing w:after="120"/>
              <w:jc w:val="both"/>
              <w:rPr>
                <w:rFonts w:ascii="Times New Roman" w:eastAsia="Times New Roman" w:hAnsi="Times New Roman" w:cs="Times New Roman"/>
                <w:bCs/>
                <w:lang w:eastAsia="de-DE"/>
              </w:rPr>
            </w:pPr>
            <w:r w:rsidRPr="007B2049">
              <w:rPr>
                <w:rFonts w:ascii="Times New Roman" w:hAnsi="Times New Roman" w:cs="Times New Roman"/>
                <w:color w:val="000000"/>
                <w:sz w:val="24"/>
              </w:rPr>
              <w:t>8</w:t>
            </w:r>
          </w:p>
        </w:tc>
        <w:tc>
          <w:tcPr>
            <w:tcW w:w="7620" w:type="dxa"/>
          </w:tcPr>
          <w:p w14:paraId="03CD7F2C" w14:textId="77777777" w:rsidR="00970F84" w:rsidRDefault="00970F84" w:rsidP="00970F84">
            <w:pPr>
              <w:spacing w:after="120"/>
              <w:jc w:val="both"/>
              <w:rPr>
                <w:rFonts w:ascii="Times New Roman" w:eastAsia="Times New Roman" w:hAnsi="Times New Roman" w:cs="Times New Roman"/>
                <w:b/>
                <w:bCs/>
                <w:u w:val="single"/>
                <w:lang w:eastAsia="de-DE"/>
              </w:rPr>
            </w:pPr>
            <w:r w:rsidRPr="003155C8">
              <w:rPr>
                <w:rFonts w:ascii="Times New Roman" w:eastAsia="Times New Roman" w:hAnsi="Times New Roman" w:cs="Times New Roman"/>
                <w:b/>
                <w:bCs/>
                <w:u w:val="single"/>
                <w:lang w:eastAsia="de-DE"/>
              </w:rPr>
              <w:t>Profit or loss eligible</w:t>
            </w:r>
          </w:p>
          <w:p w14:paraId="7D947DF8" w14:textId="77777777" w:rsidR="00970F84" w:rsidRPr="0060187C" w:rsidRDefault="00970F84" w:rsidP="00970F84">
            <w:pPr>
              <w:spacing w:after="120"/>
              <w:jc w:val="both"/>
              <w:rPr>
                <w:rFonts w:ascii="Times New Roman" w:eastAsia="Times New Roman" w:hAnsi="Times New Roman" w:cs="Times New Roman"/>
                <w:lang w:eastAsia="de-DE"/>
              </w:rPr>
            </w:pPr>
            <w:r w:rsidRPr="0060187C">
              <w:rPr>
                <w:rFonts w:ascii="Times New Roman" w:hAnsi="Times New Roman" w:cs="Times New Roman"/>
              </w:rPr>
              <w:t>Point (121) of Article 4(1), Article 26(2) and point (a) of Article 36(1) CRR</w:t>
            </w:r>
          </w:p>
          <w:p w14:paraId="44B192C3" w14:textId="77777777" w:rsidR="00970F84" w:rsidRPr="0060187C" w:rsidRDefault="00970F84" w:rsidP="00970F84">
            <w:pPr>
              <w:spacing w:after="120"/>
              <w:jc w:val="both"/>
              <w:rPr>
                <w:rFonts w:ascii="Times New Roman" w:eastAsia="Times New Roman" w:hAnsi="Times New Roman" w:cs="Times New Roman"/>
                <w:lang w:eastAsia="de-DE"/>
              </w:rPr>
            </w:pPr>
            <w:r w:rsidRPr="0060187C">
              <w:rPr>
                <w:rFonts w:ascii="Times New Roman" w:hAnsi="Times New Roman" w:cs="Times New Roman"/>
              </w:rPr>
              <w:t xml:space="preserve">Article 26(2) CRR allows including as retained earnings interim or year-end profits, with the prior consent of the competent authorities, if some conditions </w:t>
            </w:r>
            <w:proofErr w:type="gramStart"/>
            <w:r w:rsidRPr="0060187C">
              <w:rPr>
                <w:rFonts w:ascii="Times New Roman" w:hAnsi="Times New Roman" w:cs="Times New Roman"/>
              </w:rPr>
              <w:t>are met</w:t>
            </w:r>
            <w:proofErr w:type="gramEnd"/>
            <w:r w:rsidRPr="0060187C">
              <w:rPr>
                <w:rFonts w:ascii="Times New Roman" w:hAnsi="Times New Roman" w:cs="Times New Roman"/>
              </w:rPr>
              <w:t xml:space="preserve">. </w:t>
            </w:r>
          </w:p>
          <w:p w14:paraId="6B582152"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307E86">
              <w:rPr>
                <w:rFonts w:ascii="Times New Roman" w:eastAsia="Times New Roman" w:hAnsi="Times New Roman" w:cs="Times New Roman"/>
                <w:lang w:eastAsia="de-DE"/>
              </w:rPr>
              <w:t xml:space="preserve">On the other hand, losses </w:t>
            </w:r>
            <w:proofErr w:type="gramStart"/>
            <w:r w:rsidRPr="00307E86">
              <w:rPr>
                <w:rFonts w:ascii="Times New Roman" w:eastAsia="Times New Roman" w:hAnsi="Times New Roman" w:cs="Times New Roman"/>
                <w:lang w:eastAsia="de-DE"/>
              </w:rPr>
              <w:t>shall be deducted</w:t>
            </w:r>
            <w:proofErr w:type="gramEnd"/>
            <w:r w:rsidRPr="00307E86">
              <w:rPr>
                <w:rFonts w:ascii="Times New Roman" w:eastAsia="Times New Roman" w:hAnsi="Times New Roman" w:cs="Times New Roman"/>
                <w:lang w:eastAsia="de-DE"/>
              </w:rPr>
              <w:t xml:space="preserve"> from CET1, as stated in point (a) of Article 36(1) CRR.</w:t>
            </w:r>
          </w:p>
        </w:tc>
      </w:tr>
      <w:tr w:rsidR="00970F84" w:rsidRPr="007D07CA" w14:paraId="1C27BED1" w14:textId="77777777" w:rsidTr="002B149A">
        <w:tc>
          <w:tcPr>
            <w:tcW w:w="1129" w:type="dxa"/>
            <w:vAlign w:val="center"/>
          </w:tcPr>
          <w:p w14:paraId="2C0F2CB7" w14:textId="2622BD98" w:rsidR="00970F84" w:rsidRPr="007B2049" w:rsidRDefault="00970F84" w:rsidP="00970F84">
            <w:pPr>
              <w:spacing w:after="120"/>
              <w:jc w:val="both"/>
              <w:rPr>
                <w:rFonts w:ascii="Times New Roman" w:eastAsia="Times New Roman" w:hAnsi="Times New Roman" w:cs="Times New Roman"/>
                <w:bCs/>
                <w:lang w:eastAsia="de-DE"/>
              </w:rPr>
            </w:pPr>
            <w:r w:rsidRPr="007B2049">
              <w:rPr>
                <w:rFonts w:ascii="Times New Roman" w:hAnsi="Times New Roman" w:cs="Times New Roman"/>
                <w:color w:val="000000"/>
                <w:sz w:val="24"/>
              </w:rPr>
              <w:t>9</w:t>
            </w:r>
          </w:p>
        </w:tc>
        <w:tc>
          <w:tcPr>
            <w:tcW w:w="7620" w:type="dxa"/>
          </w:tcPr>
          <w:p w14:paraId="5D332792"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Accumulated other comprehensive income</w:t>
            </w:r>
          </w:p>
          <w:p w14:paraId="0E81E3A2" w14:textId="77777777" w:rsidR="00970F84" w:rsidRPr="007D07CA" w:rsidRDefault="00970F84" w:rsidP="00970F84">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28067E4B" w14:textId="77777777" w:rsidR="00970F84" w:rsidRPr="007D07CA" w:rsidRDefault="00970F84" w:rsidP="00970F84">
            <w:pPr>
              <w:spacing w:after="120"/>
              <w:jc w:val="both"/>
              <w:rPr>
                <w:rFonts w:ascii="Times New Roman" w:hAnsi="Times New Roman" w:cs="Times New Roman"/>
                <w:bCs/>
              </w:rPr>
            </w:pPr>
            <w:r w:rsidRPr="007D07CA">
              <w:rPr>
                <w:rStyle w:val="FormatvorlageInstructionsTabelleText"/>
                <w:rFonts w:ascii="Times New Roman" w:hAnsi="Times New Roman"/>
              </w:rPr>
              <w:t>Point (d) of Article 26(1) CRR</w:t>
            </w:r>
          </w:p>
        </w:tc>
      </w:tr>
      <w:tr w:rsidR="00970F84" w:rsidRPr="007D07CA" w14:paraId="77084124" w14:textId="77777777" w:rsidTr="002B149A">
        <w:tc>
          <w:tcPr>
            <w:tcW w:w="1129" w:type="dxa"/>
            <w:vAlign w:val="center"/>
          </w:tcPr>
          <w:p w14:paraId="3BD01AEA" w14:textId="56C220A5" w:rsidR="00970F84" w:rsidRPr="007B2049" w:rsidRDefault="00970F84" w:rsidP="00970F84">
            <w:pPr>
              <w:spacing w:after="120"/>
              <w:jc w:val="both"/>
              <w:rPr>
                <w:rFonts w:ascii="Times New Roman" w:eastAsia="Times New Roman" w:hAnsi="Times New Roman" w:cs="Times New Roman"/>
                <w:bCs/>
                <w:lang w:eastAsia="de-DE"/>
              </w:rPr>
            </w:pPr>
            <w:r w:rsidRPr="007B2049">
              <w:rPr>
                <w:rFonts w:ascii="Times New Roman" w:hAnsi="Times New Roman" w:cs="Times New Roman"/>
                <w:color w:val="000000"/>
                <w:sz w:val="24"/>
              </w:rPr>
              <w:t>10</w:t>
            </w:r>
          </w:p>
        </w:tc>
        <w:tc>
          <w:tcPr>
            <w:tcW w:w="7620" w:type="dxa"/>
          </w:tcPr>
          <w:p w14:paraId="39A54552" w14:textId="77777777"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Other reserves</w:t>
            </w:r>
          </w:p>
          <w:p w14:paraId="14612B1D" w14:textId="77777777" w:rsidR="00970F84" w:rsidRPr="007D07CA" w:rsidRDefault="00970F84" w:rsidP="00970F84">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6EBFC695" w14:textId="77777777" w:rsidR="00970F84" w:rsidRPr="007D07CA" w:rsidRDefault="00970F84" w:rsidP="00970F84">
            <w:pPr>
              <w:spacing w:after="120"/>
              <w:jc w:val="both"/>
              <w:rPr>
                <w:rStyle w:val="FormatvorlageInstructionsTabelleText"/>
                <w:rFonts w:ascii="Times New Roman" w:hAnsi="Times New Roman"/>
              </w:rPr>
            </w:pPr>
            <w:r w:rsidRPr="007D07CA">
              <w:rPr>
                <w:rStyle w:val="FormatvorlageInstructionsTabelleText"/>
                <w:rFonts w:ascii="Times New Roman" w:hAnsi="Times New Roman"/>
              </w:rPr>
              <w:t>Point (117) of Article 4(1) and point (e) of Article 26(1) CRR</w:t>
            </w:r>
          </w:p>
          <w:p w14:paraId="4E32342B" w14:textId="6ACA78A1" w:rsidR="00970F84" w:rsidRPr="007D07CA" w:rsidRDefault="00970F84" w:rsidP="00970F84">
            <w:pPr>
              <w:spacing w:after="120"/>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rPr>
              <w:t xml:space="preserve">The amount to be </w:t>
            </w:r>
            <w:r>
              <w:rPr>
                <w:rStyle w:val="FormatvorlageInstructionsTabelleText"/>
                <w:rFonts w:ascii="Times New Roman" w:hAnsi="Times New Roman"/>
              </w:rPr>
              <w:t>disclosed</w:t>
            </w:r>
            <w:r w:rsidRPr="007D07CA">
              <w:rPr>
                <w:rStyle w:val="FormatvorlageInstructionsTabelleText"/>
                <w:rFonts w:ascii="Times New Roman" w:hAnsi="Times New Roman"/>
              </w:rPr>
              <w:t xml:space="preserve"> shall be net of any tax charge foreseeable </w:t>
            </w:r>
            <w:proofErr w:type="gramStart"/>
            <w:r w:rsidRPr="007D07CA">
              <w:rPr>
                <w:rStyle w:val="FormatvorlageInstructionsTabelleText"/>
                <w:rFonts w:ascii="Times New Roman" w:hAnsi="Times New Roman"/>
              </w:rPr>
              <w:t>at the moment</w:t>
            </w:r>
            <w:proofErr w:type="gramEnd"/>
            <w:r w:rsidRPr="007D07CA">
              <w:rPr>
                <w:rStyle w:val="FormatvorlageInstructionsTabelleText"/>
                <w:rFonts w:ascii="Times New Roman" w:hAnsi="Times New Roman"/>
              </w:rPr>
              <w:t xml:space="preserve"> of the calculation.</w:t>
            </w:r>
          </w:p>
        </w:tc>
      </w:tr>
      <w:tr w:rsidR="00825F5D" w:rsidRPr="007D07CA" w14:paraId="3F64B54B" w14:textId="77777777" w:rsidTr="002B149A">
        <w:tc>
          <w:tcPr>
            <w:tcW w:w="1129" w:type="dxa"/>
            <w:vAlign w:val="center"/>
          </w:tcPr>
          <w:p w14:paraId="7A8BDC39" w14:textId="1515215E" w:rsidR="00825F5D" w:rsidRPr="007B2049" w:rsidRDefault="00825F5D" w:rsidP="00970F84">
            <w:pPr>
              <w:spacing w:after="120"/>
              <w:jc w:val="both"/>
              <w:rPr>
                <w:rFonts w:ascii="Times New Roman" w:hAnsi="Times New Roman" w:cs="Times New Roman"/>
                <w:color w:val="000000"/>
                <w:sz w:val="24"/>
              </w:rPr>
            </w:pPr>
            <w:r>
              <w:rPr>
                <w:rFonts w:ascii="Times New Roman" w:hAnsi="Times New Roman" w:cs="Times New Roman"/>
                <w:color w:val="000000"/>
                <w:sz w:val="24"/>
              </w:rPr>
              <w:t>11</w:t>
            </w:r>
          </w:p>
        </w:tc>
        <w:tc>
          <w:tcPr>
            <w:tcW w:w="7620" w:type="dxa"/>
          </w:tcPr>
          <w:p w14:paraId="527C8299" w14:textId="77777777" w:rsidR="00825F5D" w:rsidRDefault="00825F5D" w:rsidP="00970F84">
            <w:pPr>
              <w:spacing w:after="120"/>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OTHER FUNDS</w:t>
            </w:r>
          </w:p>
          <w:p w14:paraId="628C6753" w14:textId="5A44E048" w:rsidR="00825F5D" w:rsidRPr="007D07CA" w:rsidRDefault="00825F5D" w:rsidP="00970F84">
            <w:pPr>
              <w:spacing w:after="120"/>
              <w:jc w:val="both"/>
              <w:rPr>
                <w:rFonts w:ascii="Times New Roman" w:eastAsia="Times New Roman" w:hAnsi="Times New Roman" w:cs="Times New Roman"/>
                <w:b/>
                <w:bCs/>
                <w:u w:val="single"/>
                <w:lang w:eastAsia="de-DE"/>
              </w:rPr>
            </w:pPr>
            <w:r w:rsidRPr="00995DA7">
              <w:rPr>
                <w:rFonts w:ascii="Times New Roman" w:eastAsia="Times New Roman" w:hAnsi="Times New Roman" w:cs="Times New Roman"/>
                <w:bCs/>
                <w:lang w:eastAsia="de-DE"/>
              </w:rPr>
              <w:t>Article 9(4) IFR</w:t>
            </w:r>
          </w:p>
        </w:tc>
      </w:tr>
      <w:tr w:rsidR="00825F5D" w:rsidRPr="007D07CA" w14:paraId="4BAEE6E6" w14:textId="77777777" w:rsidTr="002B149A">
        <w:tc>
          <w:tcPr>
            <w:tcW w:w="1129" w:type="dxa"/>
            <w:vAlign w:val="center"/>
          </w:tcPr>
          <w:p w14:paraId="12B7F505" w14:textId="43FA0FEF"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12</w:t>
            </w:r>
          </w:p>
        </w:tc>
        <w:tc>
          <w:tcPr>
            <w:tcW w:w="7620" w:type="dxa"/>
          </w:tcPr>
          <w:p w14:paraId="363F8CDF"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(-)TOTAL DEDUCTIONS FROM COMMON EQUITY TIER 1</w:t>
            </w:r>
          </w:p>
          <w:p w14:paraId="3F0C0880" w14:textId="6B422202" w:rsidR="00825F5D" w:rsidRPr="007D07CA" w:rsidRDefault="00825F5D" w:rsidP="00373588">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The total sum of rows (</w:t>
            </w:r>
            <w:r>
              <w:rPr>
                <w:rFonts w:ascii="Times New Roman" w:eastAsia="Times New Roman" w:hAnsi="Times New Roman" w:cs="Times New Roman"/>
                <w:bCs/>
                <w:lang w:eastAsia="de-DE"/>
              </w:rPr>
              <w:t>1</w:t>
            </w:r>
            <w:r w:rsidR="00997774">
              <w:rPr>
                <w:rFonts w:ascii="Times New Roman" w:eastAsia="Times New Roman" w:hAnsi="Times New Roman" w:cs="Times New Roman"/>
                <w:bCs/>
                <w:lang w:eastAsia="de-DE"/>
              </w:rPr>
              <w:t>3-22</w:t>
            </w:r>
            <w:r w:rsidRPr="007D07CA">
              <w:rPr>
                <w:rFonts w:ascii="Times New Roman" w:eastAsia="Times New Roman" w:hAnsi="Times New Roman" w:cs="Times New Roman"/>
                <w:bCs/>
                <w:lang w:eastAsia="de-DE"/>
              </w:rPr>
              <w:t xml:space="preserve">) </w:t>
            </w:r>
            <w:proofErr w:type="gramStart"/>
            <w:r w:rsidRPr="007D07CA">
              <w:rPr>
                <w:rFonts w:ascii="Times New Roman" w:eastAsia="Times New Roman" w:hAnsi="Times New Roman" w:cs="Times New Roman"/>
                <w:bCs/>
                <w:lang w:eastAsia="de-DE"/>
              </w:rPr>
              <w:t xml:space="preserve">shall be </w:t>
            </w:r>
            <w:r>
              <w:rPr>
                <w:rFonts w:ascii="Times New Roman" w:eastAsia="Times New Roman" w:hAnsi="Times New Roman" w:cs="Times New Roman"/>
                <w:bCs/>
                <w:lang w:eastAsia="de-DE"/>
              </w:rPr>
              <w:t>disclosed</w:t>
            </w:r>
            <w:proofErr w:type="gramEnd"/>
            <w:r>
              <w:rPr>
                <w:rFonts w:ascii="Times New Roman" w:eastAsia="Times New Roman" w:hAnsi="Times New Roman" w:cs="Times New Roman"/>
                <w:bCs/>
                <w:lang w:eastAsia="de-DE"/>
              </w:rPr>
              <w:t>.</w:t>
            </w:r>
          </w:p>
        </w:tc>
      </w:tr>
      <w:tr w:rsidR="00825F5D" w:rsidRPr="007D07CA" w14:paraId="4F0BB341" w14:textId="77777777" w:rsidTr="002B149A">
        <w:tc>
          <w:tcPr>
            <w:tcW w:w="1129" w:type="dxa"/>
            <w:vAlign w:val="center"/>
          </w:tcPr>
          <w:p w14:paraId="0FDCDB93" w14:textId="631F8CED"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13</w:t>
            </w:r>
          </w:p>
        </w:tc>
        <w:tc>
          <w:tcPr>
            <w:tcW w:w="7620" w:type="dxa"/>
            <w:shd w:val="clear" w:color="auto" w:fill="auto"/>
          </w:tcPr>
          <w:p w14:paraId="26E05DF6"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Own CET1 instruments</w:t>
            </w:r>
          </w:p>
          <w:p w14:paraId="08816BC1" w14:textId="77777777" w:rsidR="00825F5D" w:rsidRPr="00972BBA" w:rsidRDefault="00825F5D" w:rsidP="00825F5D">
            <w:pPr>
              <w:spacing w:after="120"/>
              <w:jc w:val="both"/>
              <w:rPr>
                <w:rFonts w:ascii="Times New Roman" w:eastAsia="Times New Roman" w:hAnsi="Times New Roman" w:cs="Times New Roman"/>
                <w:bCs/>
                <w:szCs w:val="22"/>
                <w:lang w:eastAsia="de-DE"/>
              </w:rPr>
            </w:pPr>
            <w:r w:rsidRPr="00972BBA">
              <w:rPr>
                <w:rFonts w:ascii="Times New Roman" w:eastAsia="Times New Roman" w:hAnsi="Times New Roman" w:cs="Times New Roman"/>
                <w:bCs/>
                <w:szCs w:val="22"/>
                <w:lang w:eastAsia="de-DE"/>
              </w:rPr>
              <w:t>Point (i) of Article 9(1) IFR</w:t>
            </w:r>
          </w:p>
          <w:p w14:paraId="680F863B" w14:textId="77777777" w:rsidR="00825F5D" w:rsidRPr="00972BBA" w:rsidRDefault="00825F5D" w:rsidP="00825F5D">
            <w:pPr>
              <w:pStyle w:val="InstructionsText"/>
              <w:rPr>
                <w:rStyle w:val="FormatvorlageInstructionsTabelleText"/>
                <w:rFonts w:ascii="Times New Roman" w:hAnsi="Times New Roman"/>
                <w:sz w:val="22"/>
              </w:rPr>
            </w:pPr>
            <w:r w:rsidRPr="00972BBA">
              <w:rPr>
                <w:rStyle w:val="FormatvorlageInstructionsTabelleText"/>
                <w:rFonts w:ascii="Times New Roman" w:hAnsi="Times New Roman"/>
                <w:sz w:val="22"/>
              </w:rPr>
              <w:t>Point (f) of Article 36(1) and Article 42 CRR</w:t>
            </w:r>
          </w:p>
          <w:p w14:paraId="369D6B56" w14:textId="77777777" w:rsidR="00825F5D" w:rsidRPr="002B149A" w:rsidRDefault="00825F5D" w:rsidP="00825F5D">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t>Own CET1 held by the reporting institution or group at the reporting date. Subject to exceptions in Article 42 CRR.</w:t>
            </w:r>
          </w:p>
          <w:p w14:paraId="502B9D48" w14:textId="77777777" w:rsidR="00825F5D" w:rsidRPr="002B149A" w:rsidRDefault="00825F5D" w:rsidP="00825F5D">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lastRenderedPageBreak/>
              <w:t xml:space="preserve">Holdings on shares included as "Capital instruments not eligible" </w:t>
            </w:r>
            <w:proofErr w:type="gramStart"/>
            <w:r w:rsidRPr="002B149A">
              <w:rPr>
                <w:rStyle w:val="FormatvorlageInstructionsTabelleText"/>
                <w:rFonts w:ascii="Times New Roman" w:hAnsi="Times New Roman"/>
                <w:sz w:val="22"/>
              </w:rPr>
              <w:t>shall not be reported</w:t>
            </w:r>
            <w:proofErr w:type="gramEnd"/>
            <w:r w:rsidRPr="002B149A">
              <w:rPr>
                <w:rStyle w:val="FormatvorlageInstructionsTabelleText"/>
                <w:rFonts w:ascii="Times New Roman" w:hAnsi="Times New Roman"/>
                <w:sz w:val="22"/>
              </w:rPr>
              <w:t xml:space="preserve"> in this row.</w:t>
            </w:r>
          </w:p>
          <w:p w14:paraId="343DA13C" w14:textId="211B2274" w:rsidR="00825F5D" w:rsidRPr="007D07CA" w:rsidRDefault="00825F5D" w:rsidP="00825F5D">
            <w:pPr>
              <w:pStyle w:val="InstructionsText"/>
              <w:rPr>
                <w:rStyle w:val="FormatvorlageInstructionsTabelleText"/>
                <w:rFonts w:ascii="Times New Roman" w:hAnsi="Times New Roman"/>
              </w:rPr>
            </w:pPr>
            <w:r w:rsidRPr="002B149A">
              <w:rPr>
                <w:rStyle w:val="FormatvorlageInstructionsTabelleText"/>
                <w:rFonts w:ascii="Times New Roman" w:hAnsi="Times New Roman"/>
                <w:sz w:val="22"/>
              </w:rPr>
              <w:t>The amount to be disclo</w:t>
            </w:r>
            <w:r w:rsidR="00BC5CCC">
              <w:rPr>
                <w:rStyle w:val="FormatvorlageInstructionsTabelleText"/>
                <w:rFonts w:ascii="Times New Roman" w:hAnsi="Times New Roman"/>
                <w:sz w:val="22"/>
              </w:rPr>
              <w:t>s</w:t>
            </w:r>
            <w:r w:rsidRPr="002B149A">
              <w:rPr>
                <w:rStyle w:val="FormatvorlageInstructionsTabelleText"/>
                <w:rFonts w:ascii="Times New Roman" w:hAnsi="Times New Roman"/>
                <w:sz w:val="22"/>
              </w:rPr>
              <w:t>ed shall include the share premium related to the own shares</w:t>
            </w:r>
            <w:r w:rsidRPr="007D07CA">
              <w:rPr>
                <w:rStyle w:val="FormatvorlageInstructionsTabelleText"/>
                <w:rFonts w:ascii="Times New Roman" w:hAnsi="Times New Roman"/>
              </w:rPr>
              <w:t>.</w:t>
            </w:r>
          </w:p>
          <w:p w14:paraId="3B5F389D" w14:textId="77777777" w:rsidR="00825F5D" w:rsidRPr="007D07CA" w:rsidRDefault="00825F5D" w:rsidP="00825F5D">
            <w:pPr>
              <w:pStyle w:val="InstructionsText"/>
            </w:pPr>
          </w:p>
        </w:tc>
      </w:tr>
      <w:tr w:rsidR="00825F5D" w:rsidRPr="007D07CA" w14:paraId="7B2944E5" w14:textId="77777777" w:rsidTr="002B149A">
        <w:tc>
          <w:tcPr>
            <w:tcW w:w="1129" w:type="dxa"/>
            <w:vAlign w:val="center"/>
          </w:tcPr>
          <w:p w14:paraId="0EE8A4C0" w14:textId="4C6E5702"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lastRenderedPageBreak/>
              <w:t>14</w:t>
            </w:r>
          </w:p>
        </w:tc>
        <w:tc>
          <w:tcPr>
            <w:tcW w:w="7620" w:type="dxa"/>
            <w:tcBorders>
              <w:top w:val="nil"/>
              <w:left w:val="single" w:sz="4" w:space="0" w:color="auto"/>
              <w:bottom w:val="single" w:sz="4" w:space="0" w:color="auto"/>
              <w:right w:val="single" w:sz="4" w:space="0" w:color="auto"/>
            </w:tcBorders>
            <w:shd w:val="clear" w:color="auto" w:fill="auto"/>
            <w:vAlign w:val="center"/>
          </w:tcPr>
          <w:p w14:paraId="0E050EF4"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Losses for the current financial year</w:t>
            </w:r>
          </w:p>
          <w:p w14:paraId="731B58C4"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hAnsi="Times New Roman" w:cs="Times New Roman"/>
              </w:rPr>
              <w:t>Point (a) of Article 36(1) CRR</w:t>
            </w:r>
          </w:p>
        </w:tc>
      </w:tr>
      <w:tr w:rsidR="00825F5D" w:rsidRPr="007D07CA" w14:paraId="266A6C7E" w14:textId="77777777" w:rsidTr="002B149A">
        <w:tc>
          <w:tcPr>
            <w:tcW w:w="1129" w:type="dxa"/>
            <w:vAlign w:val="center"/>
          </w:tcPr>
          <w:p w14:paraId="79450265" w14:textId="400CCBAE"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15</w:t>
            </w:r>
          </w:p>
        </w:tc>
        <w:tc>
          <w:tcPr>
            <w:tcW w:w="7620" w:type="dxa"/>
            <w:tcBorders>
              <w:top w:val="nil"/>
              <w:left w:val="single" w:sz="4" w:space="0" w:color="auto"/>
              <w:bottom w:val="single" w:sz="4" w:space="0" w:color="auto"/>
              <w:right w:val="single" w:sz="4" w:space="0" w:color="auto"/>
            </w:tcBorders>
            <w:shd w:val="clear" w:color="auto" w:fill="auto"/>
            <w:vAlign w:val="bottom"/>
          </w:tcPr>
          <w:p w14:paraId="6779CA9C"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 Goodwill </w:t>
            </w:r>
          </w:p>
          <w:p w14:paraId="465EAE7E"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39590039"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Style w:val="FormatvorlageInstructionsTabelleText"/>
                <w:rFonts w:ascii="Times New Roman" w:hAnsi="Times New Roman"/>
              </w:rPr>
              <w:t>Point (113) of Article 4(1), point (b) of Article 36(1) and Article 37 CRR</w:t>
            </w:r>
          </w:p>
        </w:tc>
      </w:tr>
      <w:tr w:rsidR="00825F5D" w:rsidRPr="007D07CA" w14:paraId="7DC91511" w14:textId="77777777" w:rsidTr="002B149A">
        <w:tc>
          <w:tcPr>
            <w:tcW w:w="1129" w:type="dxa"/>
            <w:vAlign w:val="center"/>
          </w:tcPr>
          <w:p w14:paraId="5BD0D2D2" w14:textId="45EEB7E3"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16</w:t>
            </w:r>
          </w:p>
        </w:tc>
        <w:tc>
          <w:tcPr>
            <w:tcW w:w="7620" w:type="dxa"/>
            <w:tcBorders>
              <w:top w:val="nil"/>
              <w:left w:val="single" w:sz="4" w:space="0" w:color="auto"/>
              <w:bottom w:val="single" w:sz="4" w:space="0" w:color="auto"/>
              <w:right w:val="single" w:sz="4" w:space="0" w:color="auto"/>
            </w:tcBorders>
            <w:shd w:val="clear" w:color="auto" w:fill="auto"/>
            <w:vAlign w:val="bottom"/>
          </w:tcPr>
          <w:p w14:paraId="7534B334"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Other intangible assets</w:t>
            </w:r>
          </w:p>
          <w:p w14:paraId="01CBC7D5"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01BDE643" w14:textId="77777777" w:rsidR="00825F5D" w:rsidRPr="00972BBA" w:rsidRDefault="00825F5D" w:rsidP="00825F5D">
            <w:pPr>
              <w:pStyle w:val="InstructionsText"/>
              <w:rPr>
                <w:rStyle w:val="FormatvorlageInstructionsTabelleText"/>
                <w:rFonts w:ascii="Times New Roman" w:eastAsiaTheme="minorHAnsi" w:hAnsi="Times New Roman"/>
                <w:bCs/>
                <w:sz w:val="22"/>
                <w:lang w:eastAsia="en-US"/>
              </w:rPr>
            </w:pPr>
            <w:r w:rsidRPr="00972BBA">
              <w:rPr>
                <w:rStyle w:val="FormatvorlageInstructionsTabelleText"/>
                <w:rFonts w:ascii="Times New Roman" w:hAnsi="Times New Roman"/>
                <w:sz w:val="22"/>
              </w:rPr>
              <w:t>Point (115) of Article 4(1), point (b) of Article 36(1) and point (a) of Article 37 CRR</w:t>
            </w:r>
          </w:p>
          <w:p w14:paraId="6D374E70"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2B149A">
              <w:rPr>
                <w:rStyle w:val="FormatvorlageInstructionsTabelleText"/>
                <w:rFonts w:ascii="Times New Roman" w:hAnsi="Times New Roman"/>
                <w:sz w:val="22"/>
                <w:szCs w:val="22"/>
              </w:rPr>
              <w:t>Other intangible assets are the intangibles assets under the applicable accounting standard, minus the goodwill, also pursuant the applicable accounting standard.</w:t>
            </w:r>
          </w:p>
        </w:tc>
      </w:tr>
      <w:tr w:rsidR="00825F5D" w:rsidRPr="007D07CA" w14:paraId="04AA33B8" w14:textId="77777777" w:rsidTr="002B149A">
        <w:tc>
          <w:tcPr>
            <w:tcW w:w="1129" w:type="dxa"/>
            <w:vAlign w:val="center"/>
          </w:tcPr>
          <w:p w14:paraId="263A2596" w14:textId="72116BF5"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17</w:t>
            </w:r>
          </w:p>
        </w:tc>
        <w:tc>
          <w:tcPr>
            <w:tcW w:w="7620" w:type="dxa"/>
            <w:tcBorders>
              <w:top w:val="nil"/>
              <w:left w:val="single" w:sz="4" w:space="0" w:color="auto"/>
              <w:bottom w:val="single" w:sz="4" w:space="0" w:color="auto"/>
              <w:right w:val="single" w:sz="4" w:space="0" w:color="auto"/>
            </w:tcBorders>
            <w:shd w:val="clear" w:color="auto" w:fill="auto"/>
            <w:vAlign w:val="bottom"/>
          </w:tcPr>
          <w:p w14:paraId="1FC0C170"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Deferred tax assets that rely on future profitability and do not arise from temporary differences net of associated tax liabilities</w:t>
            </w:r>
          </w:p>
          <w:p w14:paraId="40C9A647"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(a) of Article 9(2) IFR</w:t>
            </w:r>
          </w:p>
          <w:p w14:paraId="12FCBB4D"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(c) of Article 36(1) CRR</w:t>
            </w:r>
          </w:p>
        </w:tc>
      </w:tr>
      <w:tr w:rsidR="00825F5D" w:rsidRPr="00BA1AD7" w14:paraId="79F67860" w14:textId="77777777" w:rsidTr="002B149A">
        <w:tc>
          <w:tcPr>
            <w:tcW w:w="1129" w:type="dxa"/>
            <w:vAlign w:val="center"/>
          </w:tcPr>
          <w:p w14:paraId="108EDCE8" w14:textId="216796CF"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18</w:t>
            </w:r>
          </w:p>
        </w:tc>
        <w:tc>
          <w:tcPr>
            <w:tcW w:w="7620" w:type="dxa"/>
            <w:tcBorders>
              <w:top w:val="nil"/>
              <w:left w:val="single" w:sz="4" w:space="0" w:color="auto"/>
              <w:bottom w:val="single" w:sz="4" w:space="0" w:color="auto"/>
              <w:right w:val="single" w:sz="4" w:space="0" w:color="auto"/>
            </w:tcBorders>
            <w:shd w:val="clear" w:color="auto" w:fill="auto"/>
            <w:vAlign w:val="center"/>
          </w:tcPr>
          <w:p w14:paraId="53BD798F" w14:textId="77777777" w:rsidR="00825F5D" w:rsidRDefault="00825F5D" w:rsidP="00825F5D">
            <w:pPr>
              <w:spacing w:after="120"/>
              <w:jc w:val="both"/>
              <w:rPr>
                <w:rFonts w:ascii="Times New Roman" w:eastAsia="Times New Roman" w:hAnsi="Times New Roman" w:cs="Times New Roman"/>
                <w:b/>
                <w:bCs/>
                <w:u w:val="single"/>
                <w:lang w:eastAsia="de-DE"/>
              </w:rPr>
            </w:pPr>
            <w:r>
              <w:rPr>
                <w:rFonts w:ascii="Times New Roman" w:eastAsia="Times New Roman" w:hAnsi="Times New Roman" w:cs="Times New Roman"/>
                <w:b/>
                <w:bCs/>
                <w:u w:val="single"/>
                <w:lang w:eastAsia="de-DE"/>
              </w:rPr>
              <w:t>(-) Qualifying holding</w:t>
            </w:r>
            <w:r w:rsidRPr="002E0FCB">
              <w:rPr>
                <w:rFonts w:ascii="Times New Roman" w:eastAsia="Times New Roman" w:hAnsi="Times New Roman" w:cs="Times New Roman"/>
                <w:b/>
                <w:bCs/>
                <w:u w:val="single"/>
                <w:lang w:eastAsia="de-DE"/>
              </w:rPr>
              <w:t xml:space="preserve"> outside the financial sector which exceeds 15% of own funds</w:t>
            </w:r>
          </w:p>
          <w:p w14:paraId="26ED5584" w14:textId="77777777" w:rsidR="00825F5D" w:rsidRPr="00BA1AD7" w:rsidRDefault="00825F5D" w:rsidP="00825F5D">
            <w:pPr>
              <w:spacing w:after="120"/>
              <w:jc w:val="both"/>
              <w:rPr>
                <w:rFonts w:ascii="Times New Roman" w:eastAsia="Times New Roman" w:hAnsi="Times New Roman" w:cs="Times New Roman"/>
                <w:bCs/>
                <w:lang w:eastAsia="de-DE"/>
              </w:rPr>
            </w:pPr>
            <w:r w:rsidRPr="00BA1AD7">
              <w:rPr>
                <w:rFonts w:ascii="Times New Roman" w:eastAsia="Times New Roman" w:hAnsi="Times New Roman" w:cs="Times New Roman"/>
                <w:bCs/>
                <w:lang w:eastAsia="de-DE"/>
              </w:rPr>
              <w:t>Point (a) of Article 10(1) IFR</w:t>
            </w:r>
          </w:p>
        </w:tc>
      </w:tr>
      <w:tr w:rsidR="00825F5D" w:rsidRPr="007D07CA" w14:paraId="7D091CE5" w14:textId="77777777" w:rsidTr="002B149A">
        <w:tc>
          <w:tcPr>
            <w:tcW w:w="1129" w:type="dxa"/>
            <w:vAlign w:val="center"/>
          </w:tcPr>
          <w:p w14:paraId="7F74E964" w14:textId="1E113FF8"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19</w:t>
            </w:r>
          </w:p>
        </w:tc>
        <w:tc>
          <w:tcPr>
            <w:tcW w:w="7620" w:type="dxa"/>
            <w:tcBorders>
              <w:top w:val="nil"/>
              <w:left w:val="single" w:sz="4" w:space="0" w:color="auto"/>
              <w:bottom w:val="single" w:sz="4" w:space="0" w:color="auto"/>
              <w:right w:val="single" w:sz="4" w:space="0" w:color="auto"/>
            </w:tcBorders>
            <w:shd w:val="clear" w:color="auto" w:fill="auto"/>
            <w:vAlign w:val="center"/>
          </w:tcPr>
          <w:p w14:paraId="432A9E89" w14:textId="77777777" w:rsidR="00825F5D" w:rsidRDefault="00825F5D" w:rsidP="00825F5D">
            <w:pPr>
              <w:spacing w:after="120"/>
              <w:jc w:val="both"/>
              <w:rPr>
                <w:rFonts w:ascii="Times New Roman" w:eastAsia="Times New Roman" w:hAnsi="Times New Roman" w:cs="Times New Roman"/>
                <w:b/>
                <w:bCs/>
                <w:u w:val="single"/>
                <w:lang w:eastAsia="de-DE"/>
              </w:rPr>
            </w:pPr>
            <w:r w:rsidRPr="002E0FCB">
              <w:rPr>
                <w:rFonts w:ascii="Times New Roman" w:eastAsia="Times New Roman" w:hAnsi="Times New Roman" w:cs="Times New Roman"/>
                <w:b/>
                <w:bCs/>
                <w:u w:val="single"/>
                <w:lang w:eastAsia="de-DE"/>
              </w:rPr>
              <w:t>(-)</w:t>
            </w:r>
            <w:r w:rsidRPr="00061A56">
              <w:rPr>
                <w:rFonts w:ascii="Times New Roman" w:eastAsia="Times New Roman" w:hAnsi="Times New Roman" w:cs="Times New Roman"/>
                <w:b/>
                <w:bCs/>
                <w:u w:val="single"/>
                <w:lang w:eastAsia="de-DE"/>
              </w:rPr>
              <w:t>Total qualifying holdings in undertaking other than financial sector entities which exceeds 60% of its own funds</w:t>
            </w:r>
          </w:p>
          <w:p w14:paraId="5510B553"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BA1AD7">
              <w:rPr>
                <w:rFonts w:ascii="Times New Roman" w:eastAsia="Times New Roman" w:hAnsi="Times New Roman" w:cs="Times New Roman"/>
                <w:bCs/>
                <w:lang w:eastAsia="de-DE"/>
              </w:rPr>
              <w:t>Point (b) of Article 10(1) IFR</w:t>
            </w:r>
          </w:p>
        </w:tc>
      </w:tr>
      <w:tr w:rsidR="00825F5D" w:rsidRPr="007D07CA" w14:paraId="543670FF" w14:textId="77777777" w:rsidTr="002B149A">
        <w:tc>
          <w:tcPr>
            <w:tcW w:w="1129" w:type="dxa"/>
            <w:vAlign w:val="center"/>
          </w:tcPr>
          <w:p w14:paraId="61A68509" w14:textId="16CFCC7C"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20</w:t>
            </w:r>
          </w:p>
        </w:tc>
        <w:tc>
          <w:tcPr>
            <w:tcW w:w="7620" w:type="dxa"/>
            <w:tcBorders>
              <w:top w:val="nil"/>
              <w:left w:val="single" w:sz="4" w:space="0" w:color="auto"/>
              <w:bottom w:val="single" w:sz="4" w:space="0" w:color="auto"/>
              <w:right w:val="single" w:sz="4" w:space="0" w:color="auto"/>
            </w:tcBorders>
            <w:shd w:val="clear" w:color="auto" w:fill="auto"/>
            <w:vAlign w:val="bottom"/>
          </w:tcPr>
          <w:p w14:paraId="4C4A903F"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CET1 instruments of financial sector entities where the institution does not have a significant investment</w:t>
            </w:r>
          </w:p>
          <w:p w14:paraId="638CA2E4"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2551F526"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(h) of Article 36(1) CRR</w:t>
            </w:r>
          </w:p>
        </w:tc>
      </w:tr>
      <w:tr w:rsidR="00825F5D" w:rsidRPr="007D07CA" w14:paraId="04E7C528" w14:textId="77777777" w:rsidTr="002B149A">
        <w:tc>
          <w:tcPr>
            <w:tcW w:w="1129" w:type="dxa"/>
            <w:vAlign w:val="center"/>
          </w:tcPr>
          <w:p w14:paraId="4799B756" w14:textId="3CE47E26"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21</w:t>
            </w:r>
          </w:p>
        </w:tc>
        <w:tc>
          <w:tcPr>
            <w:tcW w:w="7620" w:type="dxa"/>
            <w:tcBorders>
              <w:top w:val="nil"/>
              <w:left w:val="single" w:sz="4" w:space="0" w:color="auto"/>
              <w:bottom w:val="single" w:sz="4" w:space="0" w:color="auto"/>
              <w:right w:val="single" w:sz="4" w:space="0" w:color="auto"/>
            </w:tcBorders>
            <w:shd w:val="clear" w:color="auto" w:fill="auto"/>
            <w:vAlign w:val="bottom"/>
          </w:tcPr>
          <w:p w14:paraId="6F1B29C4"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(-)Defined benefit pension fund assets</w:t>
            </w:r>
          </w:p>
          <w:p w14:paraId="001E4802"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(b) of Article 9(2) IFR</w:t>
            </w:r>
          </w:p>
          <w:p w14:paraId="24BD1553"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(e) of Article 36(1) CRR</w:t>
            </w:r>
          </w:p>
        </w:tc>
      </w:tr>
      <w:tr w:rsidR="00825F5D" w:rsidRPr="007D07CA" w14:paraId="05EAA7A8" w14:textId="77777777" w:rsidTr="002B149A">
        <w:tc>
          <w:tcPr>
            <w:tcW w:w="1129" w:type="dxa"/>
            <w:vAlign w:val="center"/>
          </w:tcPr>
          <w:p w14:paraId="4A8353A4" w14:textId="24C84E20"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hAnsi="Times New Roman" w:cs="Times New Roman"/>
                <w:color w:val="000000"/>
                <w:sz w:val="24"/>
              </w:rPr>
              <w:t>22</w:t>
            </w:r>
          </w:p>
        </w:tc>
        <w:tc>
          <w:tcPr>
            <w:tcW w:w="7620" w:type="dxa"/>
            <w:tcBorders>
              <w:top w:val="nil"/>
              <w:left w:val="single" w:sz="4" w:space="0" w:color="auto"/>
              <w:bottom w:val="single" w:sz="4" w:space="0" w:color="auto"/>
              <w:right w:val="single" w:sz="4" w:space="0" w:color="auto"/>
            </w:tcBorders>
            <w:shd w:val="clear" w:color="auto" w:fill="auto"/>
            <w:vAlign w:val="bottom"/>
          </w:tcPr>
          <w:p w14:paraId="2B2C98B1"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Other deductions</w:t>
            </w:r>
          </w:p>
          <w:p w14:paraId="68EA772B"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hAnsi="Times New Roman" w:cs="Times New Roman"/>
              </w:rPr>
              <w:t>The sum of any other deductions listed in Article 36(1) CRR.</w:t>
            </w:r>
          </w:p>
        </w:tc>
      </w:tr>
      <w:tr w:rsidR="00825F5D" w:rsidRPr="007D07CA" w14:paraId="2D308E32" w14:textId="77777777" w:rsidTr="00E85018">
        <w:tc>
          <w:tcPr>
            <w:tcW w:w="1129" w:type="dxa"/>
          </w:tcPr>
          <w:p w14:paraId="162E9540" w14:textId="3369DEB1" w:rsidR="00825F5D" w:rsidRPr="007B2049" w:rsidRDefault="00825F5D" w:rsidP="00825F5D">
            <w:pPr>
              <w:spacing w:after="120"/>
              <w:jc w:val="both"/>
              <w:rPr>
                <w:rFonts w:ascii="Times New Roman" w:eastAsia="Times New Roman" w:hAnsi="Times New Roman" w:cs="Times New Roman"/>
                <w:bCs/>
                <w:lang w:eastAsia="de-DE"/>
              </w:rPr>
            </w:pPr>
            <w:r w:rsidRPr="004C0D61">
              <w:rPr>
                <w:rFonts w:ascii="Times New Roman" w:eastAsia="Times New Roman" w:hAnsi="Times New Roman" w:cs="Times New Roman"/>
                <w:bCs/>
                <w:lang w:eastAsia="de-DE"/>
              </w:rPr>
              <w:t>23</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14207B17"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ADDITIONAL TIER 1 CAPITAL</w:t>
            </w:r>
          </w:p>
          <w:p w14:paraId="3D1ED5BB"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Article 9(1) IFR</w:t>
            </w:r>
          </w:p>
          <w:p w14:paraId="62FA3F7F" w14:textId="77777777" w:rsidR="00825F5D" w:rsidRDefault="00825F5D" w:rsidP="00825F5D">
            <w:pPr>
              <w:spacing w:after="120"/>
              <w:jc w:val="both"/>
              <w:rPr>
                <w:rFonts w:ascii="Times New Roman" w:hAnsi="Times New Roman" w:cs="Times New Roman"/>
              </w:rPr>
            </w:pPr>
            <w:r w:rsidRPr="007D07CA">
              <w:rPr>
                <w:rFonts w:ascii="Times New Roman" w:hAnsi="Times New Roman" w:cs="Times New Roman"/>
              </w:rPr>
              <w:t>Article 61 CRR</w:t>
            </w:r>
          </w:p>
          <w:p w14:paraId="3562DFCD" w14:textId="79DC024A"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The total sum of rows (</w:t>
            </w:r>
            <w:r>
              <w:rPr>
                <w:rFonts w:ascii="Times New Roman" w:eastAsia="Times New Roman" w:hAnsi="Times New Roman" w:cs="Times New Roman"/>
                <w:bCs/>
                <w:lang w:eastAsia="de-DE"/>
              </w:rPr>
              <w:t>24</w:t>
            </w:r>
            <w:r w:rsidRPr="007D07CA">
              <w:rPr>
                <w:rFonts w:ascii="Times New Roman" w:eastAsia="Times New Roman" w:hAnsi="Times New Roman" w:cs="Times New Roman"/>
                <w:bCs/>
                <w:lang w:eastAsia="de-DE"/>
              </w:rPr>
              <w:t xml:space="preserve"> – </w:t>
            </w:r>
            <w:r>
              <w:rPr>
                <w:rFonts w:ascii="Times New Roman" w:eastAsia="Times New Roman" w:hAnsi="Times New Roman" w:cs="Times New Roman"/>
                <w:bCs/>
                <w:lang w:eastAsia="de-DE"/>
              </w:rPr>
              <w:t>2</w:t>
            </w:r>
            <w:r w:rsidR="00997774">
              <w:rPr>
                <w:rFonts w:ascii="Times New Roman" w:eastAsia="Times New Roman" w:hAnsi="Times New Roman" w:cs="Times New Roman"/>
                <w:bCs/>
                <w:lang w:eastAsia="de-DE"/>
              </w:rPr>
              <w:t>6</w:t>
            </w:r>
            <w:r>
              <w:rPr>
                <w:rFonts w:ascii="Times New Roman" w:eastAsia="Times New Roman" w:hAnsi="Times New Roman" w:cs="Times New Roman"/>
                <w:bCs/>
                <w:lang w:eastAsia="de-DE"/>
              </w:rPr>
              <w:t xml:space="preserve">) </w:t>
            </w:r>
            <w:proofErr w:type="gramStart"/>
            <w:r>
              <w:rPr>
                <w:rFonts w:ascii="Times New Roman" w:eastAsia="Times New Roman" w:hAnsi="Times New Roman" w:cs="Times New Roman"/>
                <w:bCs/>
                <w:lang w:eastAsia="de-DE"/>
              </w:rPr>
              <w:t>shall be disclosed</w:t>
            </w:r>
            <w:proofErr w:type="gramEnd"/>
            <w:r>
              <w:rPr>
                <w:rFonts w:ascii="Times New Roman" w:eastAsia="Times New Roman" w:hAnsi="Times New Roman" w:cs="Times New Roman"/>
                <w:bCs/>
                <w:lang w:eastAsia="de-DE"/>
              </w:rPr>
              <w:t>.</w:t>
            </w:r>
          </w:p>
        </w:tc>
      </w:tr>
      <w:tr w:rsidR="00825F5D" w:rsidRPr="007D07CA" w14:paraId="34BF4E76" w14:textId="77777777" w:rsidTr="00970F84">
        <w:tc>
          <w:tcPr>
            <w:tcW w:w="1129" w:type="dxa"/>
          </w:tcPr>
          <w:p w14:paraId="3ACBDC05" w14:textId="0850CF24" w:rsidR="00825F5D" w:rsidRPr="007B2049"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24</w:t>
            </w:r>
          </w:p>
        </w:tc>
        <w:tc>
          <w:tcPr>
            <w:tcW w:w="7620" w:type="dxa"/>
            <w:tcBorders>
              <w:top w:val="nil"/>
              <w:left w:val="single" w:sz="4" w:space="0" w:color="auto"/>
              <w:bottom w:val="single" w:sz="4" w:space="0" w:color="auto"/>
              <w:right w:val="single" w:sz="4" w:space="0" w:color="auto"/>
            </w:tcBorders>
            <w:shd w:val="clear" w:color="auto" w:fill="auto"/>
            <w:vAlign w:val="bottom"/>
          </w:tcPr>
          <w:p w14:paraId="39C48D13"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4464E2E6" w14:textId="77777777" w:rsidR="00825F5D" w:rsidRPr="00972BBA" w:rsidRDefault="00825F5D" w:rsidP="00825F5D">
            <w:pPr>
              <w:spacing w:after="120"/>
              <w:jc w:val="both"/>
              <w:rPr>
                <w:rFonts w:ascii="Times New Roman" w:eastAsia="Times New Roman" w:hAnsi="Times New Roman" w:cs="Times New Roman"/>
                <w:bCs/>
                <w:szCs w:val="22"/>
                <w:lang w:eastAsia="de-DE"/>
              </w:rPr>
            </w:pPr>
            <w:r w:rsidRPr="00972BBA">
              <w:rPr>
                <w:rFonts w:ascii="Times New Roman" w:eastAsia="Times New Roman" w:hAnsi="Times New Roman" w:cs="Times New Roman"/>
                <w:bCs/>
                <w:szCs w:val="22"/>
                <w:lang w:eastAsia="de-DE"/>
              </w:rPr>
              <w:lastRenderedPageBreak/>
              <w:t>Point (i) of Article 9(1) IFR</w:t>
            </w:r>
          </w:p>
          <w:p w14:paraId="6D6178F4" w14:textId="77777777" w:rsidR="00825F5D" w:rsidRPr="002B149A" w:rsidRDefault="00825F5D" w:rsidP="00825F5D">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t>Point (a) of Article 51 and Articles 52, 53 and 54 CRR</w:t>
            </w:r>
          </w:p>
          <w:p w14:paraId="4F6A1BF4" w14:textId="22D7075D" w:rsidR="00825F5D" w:rsidRPr="007D07CA" w:rsidRDefault="00825F5D" w:rsidP="00825F5D">
            <w:pPr>
              <w:spacing w:after="120"/>
              <w:jc w:val="both"/>
              <w:rPr>
                <w:rFonts w:ascii="Times New Roman" w:eastAsia="Times New Roman" w:hAnsi="Times New Roman" w:cs="Times New Roman"/>
                <w:b/>
                <w:bCs/>
                <w:u w:val="single"/>
                <w:lang w:eastAsia="de-DE"/>
              </w:rPr>
            </w:pPr>
            <w:r w:rsidRPr="002B149A">
              <w:rPr>
                <w:rStyle w:val="FormatvorlageInstructionsTabelleText"/>
                <w:rFonts w:ascii="Times New Roman" w:hAnsi="Times New Roman"/>
                <w:sz w:val="22"/>
                <w:szCs w:val="22"/>
              </w:rPr>
              <w:t>The amount to be disclosed shall not include the share premium related to the instruments</w:t>
            </w:r>
          </w:p>
        </w:tc>
      </w:tr>
      <w:tr w:rsidR="00825F5D" w:rsidRPr="007D07CA" w14:paraId="3D747443" w14:textId="77777777" w:rsidTr="00970F84">
        <w:tc>
          <w:tcPr>
            <w:tcW w:w="1129" w:type="dxa"/>
          </w:tcPr>
          <w:p w14:paraId="2A31D125" w14:textId="1F274E1B"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25</w:t>
            </w:r>
          </w:p>
        </w:tc>
        <w:tc>
          <w:tcPr>
            <w:tcW w:w="7620" w:type="dxa"/>
            <w:tcBorders>
              <w:top w:val="nil"/>
              <w:left w:val="single" w:sz="4" w:space="0" w:color="auto"/>
              <w:bottom w:val="single" w:sz="4" w:space="0" w:color="auto"/>
              <w:right w:val="single" w:sz="4" w:space="0" w:color="auto"/>
            </w:tcBorders>
            <w:shd w:val="clear" w:color="auto" w:fill="auto"/>
            <w:vAlign w:val="bottom"/>
          </w:tcPr>
          <w:p w14:paraId="54314ED5"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02AA2BC8" w14:textId="77777777" w:rsidR="00825F5D" w:rsidRPr="002B149A" w:rsidRDefault="00825F5D" w:rsidP="00825F5D">
            <w:pPr>
              <w:spacing w:after="120"/>
              <w:jc w:val="both"/>
              <w:rPr>
                <w:rFonts w:ascii="Times New Roman" w:eastAsia="Times New Roman" w:hAnsi="Times New Roman" w:cs="Times New Roman"/>
                <w:bCs/>
                <w:sz w:val="24"/>
                <w:lang w:eastAsia="de-DE"/>
              </w:rPr>
            </w:pPr>
            <w:r w:rsidRPr="002B149A">
              <w:rPr>
                <w:rFonts w:ascii="Times New Roman" w:eastAsia="Times New Roman" w:hAnsi="Times New Roman" w:cs="Times New Roman"/>
                <w:bCs/>
                <w:sz w:val="24"/>
                <w:lang w:eastAsia="de-DE"/>
              </w:rPr>
              <w:t>Point (i) of Article 9(1) IFR</w:t>
            </w:r>
          </w:p>
          <w:p w14:paraId="555E486F" w14:textId="77777777" w:rsidR="00825F5D" w:rsidRPr="00972BBA" w:rsidRDefault="00825F5D" w:rsidP="00825F5D">
            <w:pPr>
              <w:pStyle w:val="InstructionsText"/>
              <w:rPr>
                <w:rStyle w:val="FormatvorlageInstructionsTabelleText"/>
                <w:rFonts w:ascii="Times New Roman" w:hAnsi="Times New Roman"/>
                <w:sz w:val="22"/>
              </w:rPr>
            </w:pPr>
            <w:r w:rsidRPr="00972BBA">
              <w:rPr>
                <w:rStyle w:val="FormatvorlageInstructionsTabelleText"/>
                <w:rFonts w:ascii="Times New Roman" w:hAnsi="Times New Roman"/>
                <w:sz w:val="22"/>
              </w:rPr>
              <w:t>Point (b) of Article 51 CRR</w:t>
            </w:r>
          </w:p>
          <w:p w14:paraId="1D0DADAF" w14:textId="77777777" w:rsidR="00825F5D" w:rsidRPr="002B149A" w:rsidRDefault="00825F5D" w:rsidP="00825F5D">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t>Share premium has the same meaning as under the applicable accounting standard.</w:t>
            </w:r>
          </w:p>
          <w:p w14:paraId="30CCD782" w14:textId="7FA86FF5" w:rsidR="00825F5D" w:rsidRPr="007D07CA" w:rsidRDefault="00825F5D" w:rsidP="00825F5D">
            <w:pPr>
              <w:spacing w:after="120"/>
              <w:jc w:val="both"/>
              <w:rPr>
                <w:rFonts w:ascii="Times New Roman" w:eastAsia="Times New Roman" w:hAnsi="Times New Roman" w:cs="Times New Roman"/>
                <w:b/>
                <w:bCs/>
                <w:u w:val="single"/>
                <w:lang w:eastAsia="de-DE"/>
              </w:rPr>
            </w:pPr>
            <w:r w:rsidRPr="002B149A">
              <w:rPr>
                <w:rStyle w:val="FormatvorlageInstructionsTabelleText"/>
                <w:rFonts w:ascii="Times New Roman" w:hAnsi="Times New Roman"/>
                <w:sz w:val="22"/>
              </w:rPr>
              <w:t xml:space="preserve">The amount to </w:t>
            </w:r>
            <w:proofErr w:type="gramStart"/>
            <w:r w:rsidRPr="002B149A">
              <w:rPr>
                <w:rStyle w:val="FormatvorlageInstructionsTabelleText"/>
                <w:rFonts w:ascii="Times New Roman" w:hAnsi="Times New Roman"/>
                <w:sz w:val="22"/>
              </w:rPr>
              <w:t>be disclosed</w:t>
            </w:r>
            <w:proofErr w:type="gramEnd"/>
            <w:r w:rsidRPr="002B149A">
              <w:rPr>
                <w:rStyle w:val="FormatvorlageInstructionsTabelleText"/>
                <w:rFonts w:ascii="Times New Roman" w:hAnsi="Times New Roman"/>
                <w:sz w:val="22"/>
              </w:rPr>
              <w:t xml:space="preserve"> in this item shall be the part related to the "Paid up capital instruments".</w:t>
            </w:r>
          </w:p>
        </w:tc>
      </w:tr>
      <w:tr w:rsidR="00825F5D" w:rsidRPr="007D07CA" w14:paraId="1760D382" w14:textId="77777777" w:rsidTr="00970F84">
        <w:tc>
          <w:tcPr>
            <w:tcW w:w="1129" w:type="dxa"/>
          </w:tcPr>
          <w:p w14:paraId="379D069B" w14:textId="41EC13DC"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26</w:t>
            </w:r>
          </w:p>
        </w:tc>
        <w:tc>
          <w:tcPr>
            <w:tcW w:w="7620" w:type="dxa"/>
            <w:tcBorders>
              <w:top w:val="nil"/>
              <w:left w:val="single" w:sz="4" w:space="0" w:color="auto"/>
              <w:bottom w:val="single" w:sz="4" w:space="0" w:color="auto"/>
              <w:right w:val="single" w:sz="4" w:space="0" w:color="auto"/>
            </w:tcBorders>
            <w:shd w:val="clear" w:color="auto" w:fill="auto"/>
            <w:vAlign w:val="bottom"/>
          </w:tcPr>
          <w:p w14:paraId="1E13411A"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TOTAL DEDUCTIONS FROM ADDITIONAL TIER 1</w:t>
            </w:r>
          </w:p>
          <w:p w14:paraId="63B53F49" w14:textId="77777777" w:rsidR="00825F5D" w:rsidRPr="007D07CA" w:rsidRDefault="00825F5D" w:rsidP="00825F5D">
            <w:pPr>
              <w:spacing w:before="60" w:after="60"/>
              <w:rPr>
                <w:rFonts w:ascii="Times New Roman" w:hAnsi="Times New Roman" w:cs="Times New Roman"/>
              </w:rPr>
            </w:pPr>
            <w:r w:rsidRPr="007D07CA">
              <w:rPr>
                <w:rFonts w:ascii="Times New Roman" w:hAnsi="Times New Roman" w:cs="Times New Roman"/>
              </w:rPr>
              <w:t>Article 56 of CRR</w:t>
            </w:r>
          </w:p>
          <w:p w14:paraId="3B49C03E" w14:textId="03254C46"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The total sum of r</w:t>
            </w:r>
            <w:r>
              <w:rPr>
                <w:rFonts w:ascii="Times New Roman" w:eastAsia="Times New Roman" w:hAnsi="Times New Roman" w:cs="Times New Roman"/>
                <w:bCs/>
                <w:lang w:eastAsia="de-DE"/>
              </w:rPr>
              <w:t>ows (27 and 28)</w:t>
            </w:r>
            <w:r w:rsidRPr="007D07CA">
              <w:rPr>
                <w:rFonts w:ascii="Times New Roman" w:eastAsia="Times New Roman" w:hAnsi="Times New Roman" w:cs="Times New Roman"/>
                <w:bCs/>
                <w:lang w:eastAsia="de-DE"/>
              </w:rPr>
              <w:t xml:space="preserve"> shall be </w:t>
            </w:r>
            <w:r>
              <w:rPr>
                <w:rFonts w:ascii="Times New Roman" w:eastAsia="Times New Roman" w:hAnsi="Times New Roman" w:cs="Times New Roman"/>
                <w:bCs/>
                <w:lang w:eastAsia="de-DE"/>
              </w:rPr>
              <w:t>disclosed</w:t>
            </w:r>
          </w:p>
        </w:tc>
      </w:tr>
      <w:tr w:rsidR="00825F5D" w:rsidRPr="007D07CA" w14:paraId="7F3187B5" w14:textId="77777777" w:rsidTr="00970F84">
        <w:tc>
          <w:tcPr>
            <w:tcW w:w="1129" w:type="dxa"/>
          </w:tcPr>
          <w:p w14:paraId="789ED28D" w14:textId="48EBBA2C"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27</w:t>
            </w:r>
          </w:p>
        </w:tc>
        <w:tc>
          <w:tcPr>
            <w:tcW w:w="7620" w:type="dxa"/>
            <w:tcBorders>
              <w:top w:val="nil"/>
              <w:left w:val="single" w:sz="4" w:space="0" w:color="auto"/>
              <w:bottom w:val="single" w:sz="4" w:space="0" w:color="auto"/>
              <w:right w:val="single" w:sz="4" w:space="0" w:color="auto"/>
            </w:tcBorders>
            <w:shd w:val="clear" w:color="auto" w:fill="auto"/>
            <w:vAlign w:val="bottom"/>
          </w:tcPr>
          <w:p w14:paraId="00007180"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Own AT1 instruments</w:t>
            </w:r>
          </w:p>
          <w:p w14:paraId="2C0EDBCC" w14:textId="77777777" w:rsidR="00825F5D" w:rsidRPr="002B149A" w:rsidRDefault="00825F5D" w:rsidP="00825F5D">
            <w:pPr>
              <w:spacing w:after="120"/>
              <w:jc w:val="both"/>
              <w:rPr>
                <w:rFonts w:ascii="Times New Roman" w:eastAsia="Times New Roman" w:hAnsi="Times New Roman" w:cs="Times New Roman"/>
                <w:bCs/>
                <w:sz w:val="24"/>
                <w:lang w:eastAsia="de-DE"/>
              </w:rPr>
            </w:pPr>
            <w:r w:rsidRPr="002B149A">
              <w:rPr>
                <w:rFonts w:ascii="Times New Roman" w:eastAsia="Times New Roman" w:hAnsi="Times New Roman" w:cs="Times New Roman"/>
                <w:bCs/>
                <w:sz w:val="24"/>
                <w:lang w:eastAsia="de-DE"/>
              </w:rPr>
              <w:t>Point (i) of Article 9(1) IFR</w:t>
            </w:r>
          </w:p>
          <w:p w14:paraId="5112DF9A" w14:textId="77777777" w:rsidR="00825F5D" w:rsidRPr="00972BBA" w:rsidRDefault="00825F5D" w:rsidP="00825F5D">
            <w:pPr>
              <w:pStyle w:val="InstructionsText"/>
              <w:rPr>
                <w:rStyle w:val="FormatvorlageInstructionsTabelleText"/>
                <w:rFonts w:ascii="Times New Roman" w:eastAsiaTheme="minorHAnsi" w:hAnsi="Times New Roman"/>
                <w:bCs/>
                <w:sz w:val="22"/>
                <w:lang w:eastAsia="en-US"/>
              </w:rPr>
            </w:pPr>
            <w:r w:rsidRPr="00972BBA">
              <w:rPr>
                <w:rStyle w:val="FormatvorlageInstructionsTabelleText"/>
                <w:rFonts w:ascii="Times New Roman" w:hAnsi="Times New Roman"/>
                <w:sz w:val="22"/>
              </w:rPr>
              <w:t>Point (b) of Article 52(1), point (a) of Article 56 and Article 57 CRR</w:t>
            </w:r>
          </w:p>
          <w:p w14:paraId="5C18EAF0" w14:textId="77777777" w:rsidR="00825F5D" w:rsidRPr="002B149A" w:rsidRDefault="00825F5D" w:rsidP="00825F5D">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t>Own AT1 instruments held by the investment firm at the reporting date. Subject to exceptions in Article 57 CRR.</w:t>
            </w:r>
          </w:p>
          <w:p w14:paraId="58FA83C8" w14:textId="77777777" w:rsidR="00825F5D" w:rsidRDefault="00825F5D" w:rsidP="00825F5D">
            <w:pPr>
              <w:pStyle w:val="InstructionsText"/>
              <w:rPr>
                <w:rStyle w:val="FormatvorlageInstructionsTabelleText"/>
                <w:rFonts w:ascii="Times New Roman" w:hAnsi="Times New Roman"/>
              </w:rPr>
            </w:pPr>
            <w:r w:rsidRPr="002B149A">
              <w:rPr>
                <w:rStyle w:val="FormatvorlageInstructionsTabelleText"/>
                <w:rFonts w:ascii="Times New Roman" w:hAnsi="Times New Roman"/>
                <w:sz w:val="22"/>
              </w:rPr>
              <w:t>The amount to be disclosed shall include the share premium related to the own shares</w:t>
            </w:r>
            <w:r>
              <w:rPr>
                <w:rStyle w:val="FormatvorlageInstructionsTabelleText"/>
                <w:rFonts w:ascii="Times New Roman" w:hAnsi="Times New Roman"/>
              </w:rPr>
              <w:t>.</w:t>
            </w:r>
          </w:p>
          <w:p w14:paraId="08B0BC39" w14:textId="1E2A548E" w:rsidR="00825F5D" w:rsidRPr="002B149A" w:rsidRDefault="00825F5D" w:rsidP="00825F5D">
            <w:pPr>
              <w:pStyle w:val="InstructionsText"/>
              <w:rPr>
                <w:sz w:val="20"/>
              </w:rPr>
            </w:pPr>
          </w:p>
        </w:tc>
      </w:tr>
      <w:tr w:rsidR="00825F5D" w:rsidRPr="007D07CA" w14:paraId="08C316CF" w14:textId="77777777" w:rsidTr="00970F84">
        <w:tc>
          <w:tcPr>
            <w:tcW w:w="1129" w:type="dxa"/>
          </w:tcPr>
          <w:p w14:paraId="2A302304" w14:textId="1652124A"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28</w:t>
            </w:r>
          </w:p>
        </w:tc>
        <w:tc>
          <w:tcPr>
            <w:tcW w:w="7620" w:type="dxa"/>
            <w:tcBorders>
              <w:top w:val="nil"/>
              <w:left w:val="single" w:sz="4" w:space="0" w:color="auto"/>
              <w:bottom w:val="single" w:sz="4" w:space="0" w:color="auto"/>
              <w:right w:val="single" w:sz="4" w:space="0" w:color="auto"/>
            </w:tcBorders>
            <w:shd w:val="clear" w:color="auto" w:fill="auto"/>
            <w:vAlign w:val="bottom"/>
          </w:tcPr>
          <w:p w14:paraId="13BC1876"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AT1 instruments of financial sector entities where the institution does not have a significant investment</w:t>
            </w:r>
          </w:p>
          <w:p w14:paraId="32032FB3"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3F49AEC8"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Point (c) of Article 56 CRR</w:t>
            </w:r>
          </w:p>
        </w:tc>
      </w:tr>
      <w:tr w:rsidR="00825F5D" w:rsidRPr="00BA1AD7" w14:paraId="703C6A26" w14:textId="77777777" w:rsidTr="00970F84">
        <w:tc>
          <w:tcPr>
            <w:tcW w:w="1129" w:type="dxa"/>
          </w:tcPr>
          <w:p w14:paraId="3F4EC91C" w14:textId="6594655E"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29</w:t>
            </w:r>
          </w:p>
        </w:tc>
        <w:tc>
          <w:tcPr>
            <w:tcW w:w="7620" w:type="dxa"/>
            <w:tcBorders>
              <w:top w:val="single" w:sz="8" w:space="0" w:color="auto"/>
              <w:left w:val="single" w:sz="4" w:space="0" w:color="auto"/>
              <w:bottom w:val="single" w:sz="4" w:space="0" w:color="auto"/>
              <w:right w:val="single" w:sz="4" w:space="0" w:color="auto"/>
            </w:tcBorders>
            <w:shd w:val="clear" w:color="auto" w:fill="auto"/>
            <w:vAlign w:val="bottom"/>
          </w:tcPr>
          <w:p w14:paraId="4C85FCB4" w14:textId="77777777" w:rsidR="00825F5D" w:rsidRPr="00BA1AD7" w:rsidRDefault="00825F5D" w:rsidP="00825F5D">
            <w:pPr>
              <w:spacing w:after="120"/>
              <w:jc w:val="both"/>
              <w:rPr>
                <w:rFonts w:ascii="Times New Roman" w:eastAsia="Times New Roman" w:hAnsi="Times New Roman" w:cs="Times New Roman"/>
                <w:b/>
                <w:bCs/>
                <w:u w:val="single"/>
                <w:lang w:val="fr-FR" w:eastAsia="de-DE"/>
              </w:rPr>
            </w:pPr>
            <w:r w:rsidRPr="00BA1AD7">
              <w:rPr>
                <w:rFonts w:ascii="Times New Roman" w:eastAsia="Times New Roman" w:hAnsi="Times New Roman" w:cs="Times New Roman"/>
                <w:b/>
                <w:bCs/>
                <w:u w:val="single"/>
                <w:lang w:val="fr-FR" w:eastAsia="de-DE"/>
              </w:rPr>
              <w:t>TIER 2 CAPITAL</w:t>
            </w:r>
          </w:p>
          <w:p w14:paraId="4B3C74CF" w14:textId="77777777" w:rsidR="00825F5D" w:rsidRPr="00972BBA" w:rsidRDefault="00825F5D" w:rsidP="00825F5D">
            <w:pPr>
              <w:spacing w:after="120"/>
              <w:jc w:val="both"/>
              <w:rPr>
                <w:rFonts w:ascii="Times New Roman" w:eastAsia="Times New Roman" w:hAnsi="Times New Roman" w:cs="Times New Roman"/>
                <w:bCs/>
                <w:szCs w:val="22"/>
                <w:lang w:val="fr-FR" w:eastAsia="de-DE"/>
              </w:rPr>
            </w:pPr>
            <w:r w:rsidRPr="00972BBA">
              <w:rPr>
                <w:rFonts w:ascii="Times New Roman" w:eastAsia="Times New Roman" w:hAnsi="Times New Roman" w:cs="Times New Roman"/>
                <w:bCs/>
                <w:szCs w:val="22"/>
                <w:lang w:val="fr-FR" w:eastAsia="de-DE"/>
              </w:rPr>
              <w:t>Article 9(1) IFR</w:t>
            </w:r>
          </w:p>
          <w:p w14:paraId="695A06DB" w14:textId="77777777" w:rsidR="00825F5D" w:rsidRPr="002B149A" w:rsidRDefault="00825F5D" w:rsidP="00825F5D">
            <w:pPr>
              <w:spacing w:after="120"/>
              <w:jc w:val="both"/>
              <w:rPr>
                <w:rStyle w:val="FormatvorlageInstructionsTabelleText"/>
                <w:rFonts w:ascii="Times New Roman" w:hAnsi="Times New Roman"/>
                <w:sz w:val="22"/>
                <w:szCs w:val="22"/>
                <w:lang w:val="fr-FR"/>
              </w:rPr>
            </w:pPr>
            <w:r w:rsidRPr="002B149A">
              <w:rPr>
                <w:rStyle w:val="FormatvorlageInstructionsTabelleText"/>
                <w:rFonts w:ascii="Times New Roman" w:hAnsi="Times New Roman"/>
                <w:sz w:val="22"/>
                <w:szCs w:val="22"/>
                <w:lang w:val="fr-FR"/>
              </w:rPr>
              <w:t>Article 71 CRR</w:t>
            </w:r>
          </w:p>
          <w:p w14:paraId="3DC601B6" w14:textId="1EA69A4B" w:rsidR="00825F5D" w:rsidRPr="00BA1AD7" w:rsidRDefault="00825F5D" w:rsidP="00825F5D">
            <w:pPr>
              <w:pStyle w:val="CommentText"/>
            </w:pPr>
            <w:r w:rsidRPr="00972BBA">
              <w:rPr>
                <w:rFonts w:ascii="Times New Roman" w:eastAsia="Times New Roman" w:hAnsi="Times New Roman" w:cs="Times New Roman"/>
                <w:bCs/>
                <w:sz w:val="22"/>
                <w:szCs w:val="22"/>
                <w:lang w:eastAsia="de-DE"/>
              </w:rPr>
              <w:t>The total sum of rows (</w:t>
            </w:r>
            <w:r>
              <w:rPr>
                <w:rFonts w:ascii="Times New Roman" w:eastAsia="Times New Roman" w:hAnsi="Times New Roman" w:cs="Times New Roman"/>
                <w:bCs/>
                <w:sz w:val="22"/>
                <w:szCs w:val="22"/>
                <w:lang w:eastAsia="de-DE"/>
              </w:rPr>
              <w:t>30</w:t>
            </w:r>
            <w:r w:rsidRPr="00972BBA">
              <w:rPr>
                <w:rFonts w:ascii="Times New Roman" w:eastAsia="Times New Roman" w:hAnsi="Times New Roman" w:cs="Times New Roman"/>
                <w:bCs/>
                <w:sz w:val="22"/>
                <w:szCs w:val="22"/>
                <w:lang w:eastAsia="de-DE"/>
              </w:rPr>
              <w:t xml:space="preserve"> – 3</w:t>
            </w:r>
            <w:r w:rsidR="00997774">
              <w:rPr>
                <w:rFonts w:ascii="Times New Roman" w:eastAsia="Times New Roman" w:hAnsi="Times New Roman" w:cs="Times New Roman"/>
                <w:bCs/>
                <w:sz w:val="22"/>
                <w:szCs w:val="22"/>
                <w:lang w:eastAsia="de-DE"/>
              </w:rPr>
              <w:t>3</w:t>
            </w:r>
            <w:r w:rsidRPr="00972BBA">
              <w:rPr>
                <w:rFonts w:ascii="Times New Roman" w:eastAsia="Times New Roman" w:hAnsi="Times New Roman" w:cs="Times New Roman"/>
                <w:bCs/>
                <w:sz w:val="22"/>
                <w:szCs w:val="22"/>
                <w:lang w:eastAsia="de-DE"/>
              </w:rPr>
              <w:t xml:space="preserve">) </w:t>
            </w:r>
            <w:proofErr w:type="gramStart"/>
            <w:r w:rsidRPr="00972BBA">
              <w:rPr>
                <w:rFonts w:ascii="Times New Roman" w:eastAsia="Times New Roman" w:hAnsi="Times New Roman" w:cs="Times New Roman"/>
                <w:bCs/>
                <w:sz w:val="22"/>
                <w:szCs w:val="22"/>
                <w:lang w:eastAsia="de-DE"/>
              </w:rPr>
              <w:t xml:space="preserve">shall be </w:t>
            </w:r>
            <w:r w:rsidRPr="002B149A">
              <w:rPr>
                <w:rStyle w:val="FormatvorlageInstructionsTabelleText"/>
                <w:rFonts w:ascii="Times New Roman" w:eastAsiaTheme="majorEastAsia" w:hAnsi="Times New Roman"/>
                <w:sz w:val="22"/>
                <w:szCs w:val="22"/>
              </w:rPr>
              <w:t>disclosed</w:t>
            </w:r>
            <w:proofErr w:type="gramEnd"/>
            <w:r w:rsidRPr="00972BBA">
              <w:rPr>
                <w:rFonts w:ascii="Times New Roman" w:eastAsia="Times New Roman" w:hAnsi="Times New Roman" w:cs="Times New Roman"/>
                <w:bCs/>
                <w:sz w:val="22"/>
                <w:szCs w:val="22"/>
                <w:lang w:eastAsia="de-DE"/>
              </w:rPr>
              <w:t>.</w:t>
            </w:r>
          </w:p>
        </w:tc>
      </w:tr>
      <w:tr w:rsidR="00825F5D" w:rsidRPr="007D07CA" w14:paraId="4B45D918" w14:textId="77777777" w:rsidTr="00970F84">
        <w:tc>
          <w:tcPr>
            <w:tcW w:w="1129" w:type="dxa"/>
          </w:tcPr>
          <w:p w14:paraId="58C11523" w14:textId="7879DF6C"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30</w:t>
            </w:r>
          </w:p>
        </w:tc>
        <w:tc>
          <w:tcPr>
            <w:tcW w:w="7620" w:type="dxa"/>
            <w:tcBorders>
              <w:top w:val="nil"/>
              <w:left w:val="single" w:sz="4" w:space="0" w:color="auto"/>
              <w:bottom w:val="single" w:sz="4" w:space="0" w:color="auto"/>
              <w:right w:val="single" w:sz="4" w:space="0" w:color="auto"/>
            </w:tcBorders>
            <w:shd w:val="clear" w:color="auto" w:fill="auto"/>
            <w:vAlign w:val="bottom"/>
          </w:tcPr>
          <w:p w14:paraId="0254B7C2"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Paid up capital instruments</w:t>
            </w:r>
          </w:p>
          <w:p w14:paraId="071A515E" w14:textId="77777777" w:rsidR="00825F5D" w:rsidRPr="00972BBA" w:rsidRDefault="00825F5D" w:rsidP="00825F5D">
            <w:pPr>
              <w:spacing w:after="120"/>
              <w:jc w:val="both"/>
              <w:rPr>
                <w:rFonts w:ascii="Times New Roman" w:eastAsia="Times New Roman" w:hAnsi="Times New Roman" w:cs="Times New Roman"/>
                <w:bCs/>
                <w:szCs w:val="22"/>
                <w:lang w:eastAsia="de-DE"/>
              </w:rPr>
            </w:pPr>
            <w:r w:rsidRPr="00972BBA">
              <w:rPr>
                <w:rFonts w:ascii="Times New Roman" w:eastAsia="Times New Roman" w:hAnsi="Times New Roman" w:cs="Times New Roman"/>
                <w:bCs/>
                <w:szCs w:val="22"/>
                <w:lang w:eastAsia="de-DE"/>
              </w:rPr>
              <w:t>Point (i) of Article 9(1) IFR</w:t>
            </w:r>
          </w:p>
          <w:p w14:paraId="17B025FF" w14:textId="77777777" w:rsidR="00825F5D" w:rsidRPr="00972BBA" w:rsidRDefault="00825F5D" w:rsidP="00825F5D">
            <w:pPr>
              <w:pStyle w:val="InstructionsText"/>
              <w:rPr>
                <w:rStyle w:val="FormatvorlageInstructionsTabelleText"/>
                <w:rFonts w:ascii="Times New Roman" w:eastAsiaTheme="minorHAnsi" w:hAnsi="Times New Roman"/>
                <w:bCs/>
                <w:sz w:val="22"/>
                <w:lang w:eastAsia="en-US"/>
              </w:rPr>
            </w:pPr>
            <w:r w:rsidRPr="00972BBA">
              <w:rPr>
                <w:rStyle w:val="FormatvorlageInstructionsTabelleText"/>
                <w:rFonts w:ascii="Times New Roman" w:hAnsi="Times New Roman"/>
                <w:sz w:val="22"/>
              </w:rPr>
              <w:t>Point (a) of Article 62, Articles 63 and 65 CRR</w:t>
            </w:r>
          </w:p>
          <w:p w14:paraId="5BAE5D80" w14:textId="5DCB1F78" w:rsidR="00825F5D" w:rsidRPr="007D07CA" w:rsidRDefault="00825F5D" w:rsidP="00825F5D">
            <w:pPr>
              <w:spacing w:after="120"/>
              <w:jc w:val="both"/>
              <w:rPr>
                <w:rFonts w:ascii="Times New Roman" w:eastAsia="Times New Roman" w:hAnsi="Times New Roman" w:cs="Times New Roman"/>
                <w:b/>
                <w:bCs/>
                <w:u w:val="single"/>
                <w:lang w:eastAsia="de-DE"/>
              </w:rPr>
            </w:pPr>
            <w:r w:rsidRPr="002B149A">
              <w:rPr>
                <w:rStyle w:val="FormatvorlageInstructionsTabelleText"/>
                <w:rFonts w:ascii="Times New Roman" w:hAnsi="Times New Roman"/>
                <w:sz w:val="22"/>
                <w:szCs w:val="22"/>
              </w:rPr>
              <w:t>The amount to be</w:t>
            </w:r>
            <w:r w:rsidRPr="002B149A">
              <w:rPr>
                <w:rStyle w:val="FormatvorlageInstructionsTabelleText"/>
                <w:rFonts w:ascii="Times New Roman" w:eastAsiaTheme="majorEastAsia" w:hAnsi="Times New Roman"/>
                <w:sz w:val="22"/>
                <w:szCs w:val="22"/>
              </w:rPr>
              <w:t xml:space="preserve"> disclosed</w:t>
            </w:r>
            <w:r w:rsidRPr="002B149A">
              <w:rPr>
                <w:rStyle w:val="FormatvorlageInstructionsTabelleText"/>
                <w:rFonts w:ascii="Times New Roman" w:hAnsi="Times New Roman"/>
                <w:sz w:val="22"/>
                <w:szCs w:val="22"/>
              </w:rPr>
              <w:t xml:space="preserve"> shall not include the share premium related to the instruments</w:t>
            </w:r>
          </w:p>
        </w:tc>
      </w:tr>
      <w:tr w:rsidR="00825F5D" w:rsidRPr="007D07CA" w14:paraId="09BD9CA5" w14:textId="77777777" w:rsidTr="00970F84">
        <w:tc>
          <w:tcPr>
            <w:tcW w:w="1129" w:type="dxa"/>
          </w:tcPr>
          <w:p w14:paraId="51A64AEE" w14:textId="767D2A91"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31</w:t>
            </w:r>
          </w:p>
        </w:tc>
        <w:tc>
          <w:tcPr>
            <w:tcW w:w="7620" w:type="dxa"/>
            <w:tcBorders>
              <w:top w:val="nil"/>
              <w:left w:val="single" w:sz="4" w:space="0" w:color="auto"/>
              <w:bottom w:val="single" w:sz="4" w:space="0" w:color="auto"/>
              <w:right w:val="single" w:sz="4" w:space="0" w:color="auto"/>
            </w:tcBorders>
            <w:shd w:val="clear" w:color="auto" w:fill="auto"/>
            <w:vAlign w:val="bottom"/>
          </w:tcPr>
          <w:p w14:paraId="739564CC"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Share premium </w:t>
            </w:r>
          </w:p>
          <w:p w14:paraId="4548EC3B" w14:textId="77777777" w:rsidR="00825F5D" w:rsidRPr="00972BBA" w:rsidRDefault="00825F5D" w:rsidP="00825F5D">
            <w:pPr>
              <w:spacing w:after="120"/>
              <w:jc w:val="both"/>
              <w:rPr>
                <w:rFonts w:ascii="Times New Roman" w:eastAsia="Times New Roman" w:hAnsi="Times New Roman" w:cs="Times New Roman"/>
                <w:bCs/>
                <w:szCs w:val="22"/>
                <w:lang w:eastAsia="de-DE"/>
              </w:rPr>
            </w:pPr>
            <w:r w:rsidRPr="00972BBA">
              <w:rPr>
                <w:rFonts w:ascii="Times New Roman" w:eastAsia="Times New Roman" w:hAnsi="Times New Roman" w:cs="Times New Roman"/>
                <w:bCs/>
                <w:szCs w:val="22"/>
                <w:lang w:eastAsia="de-DE"/>
              </w:rPr>
              <w:t>Point (i) of Article 9(1) IFR</w:t>
            </w:r>
          </w:p>
          <w:p w14:paraId="199B72AC" w14:textId="77777777" w:rsidR="00825F5D" w:rsidRPr="00972BBA" w:rsidRDefault="00825F5D" w:rsidP="00825F5D">
            <w:pPr>
              <w:pStyle w:val="InstructionsText"/>
              <w:rPr>
                <w:rStyle w:val="FormatvorlageInstructionsTabelleText"/>
                <w:rFonts w:ascii="Times New Roman" w:hAnsi="Times New Roman"/>
                <w:sz w:val="22"/>
              </w:rPr>
            </w:pPr>
            <w:r w:rsidRPr="00972BBA">
              <w:rPr>
                <w:rStyle w:val="FormatvorlageInstructionsTabelleText"/>
                <w:rFonts w:ascii="Times New Roman" w:hAnsi="Times New Roman"/>
                <w:sz w:val="22"/>
              </w:rPr>
              <w:t>Point (b) of Article 62 and Article 65 CRR</w:t>
            </w:r>
          </w:p>
          <w:p w14:paraId="7B8ADEC9" w14:textId="77777777" w:rsidR="00825F5D" w:rsidRPr="002B149A" w:rsidRDefault="00825F5D" w:rsidP="00825F5D">
            <w:pPr>
              <w:pStyle w:val="InstructionsText"/>
              <w:rPr>
                <w:rStyle w:val="FormatvorlageInstructionsTabelleText"/>
                <w:rFonts w:ascii="Times New Roman" w:hAnsi="Times New Roman"/>
                <w:sz w:val="22"/>
              </w:rPr>
            </w:pPr>
            <w:r w:rsidRPr="002B149A">
              <w:rPr>
                <w:rStyle w:val="FormatvorlageInstructionsTabelleText"/>
                <w:rFonts w:ascii="Times New Roman" w:hAnsi="Times New Roman"/>
                <w:sz w:val="22"/>
              </w:rPr>
              <w:t xml:space="preserve">Share premium has the same meaning as under the applicable accounting standard. </w:t>
            </w:r>
          </w:p>
          <w:p w14:paraId="1991CEF7" w14:textId="5F604881" w:rsidR="00825F5D" w:rsidRPr="007D07CA" w:rsidRDefault="00825F5D" w:rsidP="00825F5D">
            <w:pPr>
              <w:pStyle w:val="InstructionsText"/>
            </w:pPr>
            <w:r w:rsidRPr="002B149A">
              <w:rPr>
                <w:rStyle w:val="FormatvorlageInstructionsTabelleText"/>
                <w:rFonts w:ascii="Times New Roman" w:hAnsi="Times New Roman"/>
                <w:sz w:val="22"/>
              </w:rPr>
              <w:t xml:space="preserve">The amount to </w:t>
            </w:r>
            <w:proofErr w:type="gramStart"/>
            <w:r w:rsidRPr="002B149A">
              <w:rPr>
                <w:rStyle w:val="FormatvorlageInstructionsTabelleText"/>
                <w:rFonts w:ascii="Times New Roman" w:hAnsi="Times New Roman"/>
                <w:sz w:val="22"/>
              </w:rPr>
              <w:t>be disclosed</w:t>
            </w:r>
            <w:proofErr w:type="gramEnd"/>
            <w:r w:rsidRPr="002B149A">
              <w:rPr>
                <w:rStyle w:val="FormatvorlageInstructionsTabelleText"/>
                <w:rFonts w:ascii="Times New Roman" w:hAnsi="Times New Roman"/>
                <w:sz w:val="22"/>
              </w:rPr>
              <w:t xml:space="preserve"> in this item shall be the part related to the "Paid up capital instruments".</w:t>
            </w:r>
          </w:p>
        </w:tc>
      </w:tr>
      <w:tr w:rsidR="00825F5D" w:rsidRPr="007D07CA" w14:paraId="667237FA" w14:textId="77777777" w:rsidTr="00970F84">
        <w:tc>
          <w:tcPr>
            <w:tcW w:w="1129" w:type="dxa"/>
          </w:tcPr>
          <w:p w14:paraId="4A2F2149" w14:textId="3AD6F217"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32</w:t>
            </w:r>
          </w:p>
        </w:tc>
        <w:tc>
          <w:tcPr>
            <w:tcW w:w="7620" w:type="dxa"/>
            <w:tcBorders>
              <w:top w:val="nil"/>
              <w:left w:val="single" w:sz="4" w:space="0" w:color="auto"/>
              <w:bottom w:val="single" w:sz="4" w:space="0" w:color="auto"/>
              <w:right w:val="single" w:sz="4" w:space="0" w:color="auto"/>
            </w:tcBorders>
            <w:shd w:val="clear" w:color="auto" w:fill="auto"/>
            <w:vAlign w:val="bottom"/>
          </w:tcPr>
          <w:p w14:paraId="0D1CC1F8"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xml:space="preserve">Subordinated loans </w:t>
            </w:r>
          </w:p>
          <w:p w14:paraId="2349EF68" w14:textId="77777777" w:rsidR="00825F5D" w:rsidRPr="00972BBA" w:rsidRDefault="00825F5D" w:rsidP="00825F5D">
            <w:pPr>
              <w:pStyle w:val="InstructionsText"/>
            </w:pPr>
            <w:r w:rsidRPr="00972BBA">
              <w:rPr>
                <w:rStyle w:val="FormatvorlageInstructionsTabelleText"/>
                <w:rFonts w:ascii="Times New Roman" w:hAnsi="Times New Roman"/>
                <w:sz w:val="22"/>
              </w:rPr>
              <w:t>Point (b) of Article 62 and Article 63 CRR</w:t>
            </w:r>
          </w:p>
        </w:tc>
      </w:tr>
      <w:tr w:rsidR="00825F5D" w:rsidRPr="007D07CA" w14:paraId="1C69497E" w14:textId="77777777" w:rsidTr="00970F84">
        <w:tc>
          <w:tcPr>
            <w:tcW w:w="1129" w:type="dxa"/>
          </w:tcPr>
          <w:p w14:paraId="46DA71CC" w14:textId="6312281B"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33</w:t>
            </w:r>
          </w:p>
        </w:tc>
        <w:tc>
          <w:tcPr>
            <w:tcW w:w="7620" w:type="dxa"/>
            <w:tcBorders>
              <w:top w:val="nil"/>
              <w:left w:val="single" w:sz="4" w:space="0" w:color="auto"/>
              <w:bottom w:val="single" w:sz="4" w:space="0" w:color="auto"/>
              <w:right w:val="single" w:sz="4" w:space="0" w:color="auto"/>
            </w:tcBorders>
            <w:shd w:val="clear" w:color="auto" w:fill="auto"/>
            <w:vAlign w:val="bottom"/>
          </w:tcPr>
          <w:p w14:paraId="454C823D"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TOTAL DEDUCTIONS FROM TIER 2</w:t>
            </w:r>
          </w:p>
          <w:p w14:paraId="232D43EA" w14:textId="77777777" w:rsidR="00825F5D" w:rsidRPr="007D07CA" w:rsidRDefault="00825F5D" w:rsidP="00825F5D">
            <w:pPr>
              <w:spacing w:after="120"/>
              <w:jc w:val="both"/>
              <w:rPr>
                <w:rFonts w:ascii="Times New Roman" w:hAnsi="Times New Roman" w:cs="Times New Roman"/>
              </w:rPr>
            </w:pPr>
            <w:r w:rsidRPr="007D07CA">
              <w:rPr>
                <w:rFonts w:ascii="Times New Roman" w:hAnsi="Times New Roman" w:cs="Times New Roman"/>
              </w:rPr>
              <w:t>Article 66 of CRR</w:t>
            </w:r>
          </w:p>
          <w:p w14:paraId="1A93351D" w14:textId="7EBC40AF"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The total sum of rows (</w:t>
            </w:r>
            <w:r>
              <w:rPr>
                <w:rFonts w:ascii="Times New Roman" w:eastAsia="Times New Roman" w:hAnsi="Times New Roman" w:cs="Times New Roman"/>
                <w:bCs/>
                <w:lang w:eastAsia="de-DE"/>
              </w:rPr>
              <w:t>34</w:t>
            </w:r>
            <w:r w:rsidRPr="007D07CA">
              <w:rPr>
                <w:rFonts w:ascii="Times New Roman" w:eastAsia="Times New Roman" w:hAnsi="Times New Roman" w:cs="Times New Roman"/>
                <w:bCs/>
                <w:lang w:eastAsia="de-DE"/>
              </w:rPr>
              <w:t xml:space="preserve"> – </w:t>
            </w:r>
            <w:r>
              <w:rPr>
                <w:rFonts w:ascii="Times New Roman" w:eastAsia="Times New Roman" w:hAnsi="Times New Roman" w:cs="Times New Roman"/>
                <w:bCs/>
                <w:lang w:eastAsia="de-DE"/>
              </w:rPr>
              <w:t>35</w:t>
            </w:r>
            <w:r w:rsidRPr="007D07CA">
              <w:rPr>
                <w:rFonts w:ascii="Times New Roman" w:eastAsia="Times New Roman" w:hAnsi="Times New Roman" w:cs="Times New Roman"/>
                <w:bCs/>
                <w:lang w:eastAsia="de-DE"/>
              </w:rPr>
              <w:t>) shall be reported</w:t>
            </w:r>
          </w:p>
        </w:tc>
      </w:tr>
      <w:tr w:rsidR="00825F5D" w:rsidRPr="007D07CA" w14:paraId="4F3B8AD0" w14:textId="77777777" w:rsidTr="00970F84">
        <w:tc>
          <w:tcPr>
            <w:tcW w:w="1129" w:type="dxa"/>
          </w:tcPr>
          <w:p w14:paraId="0E3523D8" w14:textId="170A7476"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34</w:t>
            </w:r>
          </w:p>
        </w:tc>
        <w:tc>
          <w:tcPr>
            <w:tcW w:w="7620" w:type="dxa"/>
            <w:tcBorders>
              <w:top w:val="nil"/>
              <w:left w:val="single" w:sz="4" w:space="0" w:color="auto"/>
              <w:bottom w:val="single" w:sz="4" w:space="0" w:color="auto"/>
              <w:right w:val="single" w:sz="4" w:space="0" w:color="auto"/>
            </w:tcBorders>
            <w:shd w:val="clear" w:color="auto" w:fill="auto"/>
            <w:vAlign w:val="bottom"/>
          </w:tcPr>
          <w:p w14:paraId="27ACCA5F"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Own T2 instruments</w:t>
            </w:r>
          </w:p>
          <w:p w14:paraId="2ADC5B21"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(i) of Article 9(1) IFR</w:t>
            </w:r>
          </w:p>
          <w:p w14:paraId="62A0D8CD" w14:textId="77777777" w:rsidR="00825F5D" w:rsidRPr="007D07CA" w:rsidRDefault="00825F5D" w:rsidP="00825F5D">
            <w:pPr>
              <w:pStyle w:val="InstructionsText"/>
              <w:rPr>
                <w:rStyle w:val="FormatvorlageInstructionsTabelleText"/>
                <w:rFonts w:ascii="Times New Roman" w:hAnsi="Times New Roman"/>
              </w:rPr>
            </w:pPr>
            <w:r w:rsidRPr="007D07CA">
              <w:rPr>
                <w:rStyle w:val="FormatvorlageInstructionsTabelleText"/>
                <w:rFonts w:ascii="Times New Roman" w:hAnsi="Times New Roman"/>
              </w:rPr>
              <w:t>Point (b)(i) of Article 63, point (a) of Article 66, and Article 67 CRR</w:t>
            </w:r>
          </w:p>
          <w:p w14:paraId="4FAA2C2E" w14:textId="77777777" w:rsidR="00825F5D" w:rsidRPr="007D07CA" w:rsidRDefault="00825F5D" w:rsidP="00825F5D">
            <w:pPr>
              <w:pStyle w:val="InstructionsText"/>
              <w:rPr>
                <w:rStyle w:val="FormatvorlageInstructionsTabelleText"/>
                <w:rFonts w:ascii="Times New Roman" w:hAnsi="Times New Roman"/>
              </w:rPr>
            </w:pPr>
            <w:r w:rsidRPr="007D07CA">
              <w:rPr>
                <w:rStyle w:val="FormatvorlageInstructionsTabelleText"/>
                <w:rFonts w:ascii="Times New Roman" w:hAnsi="Times New Roman"/>
              </w:rPr>
              <w:t>Own T2 instruments held by the reporting institution or group at the reporting date. Subject to exceptions in Article 67 CRR.</w:t>
            </w:r>
          </w:p>
          <w:p w14:paraId="4E6DB647" w14:textId="0C124EA0" w:rsidR="00825F5D" w:rsidRPr="007D07CA" w:rsidRDefault="00825F5D" w:rsidP="00825F5D">
            <w:pPr>
              <w:pStyle w:val="InstructionsText"/>
              <w:rPr>
                <w:rStyle w:val="FormatvorlageInstructionsTabelleText"/>
                <w:rFonts w:ascii="Times New Roman" w:hAnsi="Times New Roman"/>
              </w:rPr>
            </w:pPr>
            <w:r w:rsidRPr="007D07CA">
              <w:rPr>
                <w:rStyle w:val="FormatvorlageInstructionsTabelleText"/>
                <w:rFonts w:ascii="Times New Roman" w:hAnsi="Times New Roman"/>
              </w:rPr>
              <w:t xml:space="preserve">Holdings on shares included as "Capital instruments not eligible" </w:t>
            </w:r>
            <w:proofErr w:type="gramStart"/>
            <w:r w:rsidRPr="007D07CA">
              <w:rPr>
                <w:rStyle w:val="FormatvorlageInstructionsTabelleText"/>
                <w:rFonts w:ascii="Times New Roman" w:hAnsi="Times New Roman"/>
              </w:rPr>
              <w:t xml:space="preserve">shall not be </w:t>
            </w:r>
            <w:r>
              <w:rPr>
                <w:rStyle w:val="FormatvorlageInstructionsTabelleText"/>
                <w:rFonts w:ascii="Times New Roman" w:hAnsi="Times New Roman"/>
              </w:rPr>
              <w:t>disclosed</w:t>
            </w:r>
            <w:proofErr w:type="gramEnd"/>
            <w:r w:rsidRPr="007D07CA">
              <w:rPr>
                <w:rStyle w:val="FormatvorlageInstructionsTabelleText"/>
                <w:rFonts w:ascii="Times New Roman" w:hAnsi="Times New Roman"/>
              </w:rPr>
              <w:t xml:space="preserve"> in this row.</w:t>
            </w:r>
          </w:p>
          <w:p w14:paraId="61F6AC44" w14:textId="4F7DECAD" w:rsidR="00825F5D" w:rsidRPr="007D07CA" w:rsidRDefault="00825F5D" w:rsidP="00825F5D">
            <w:pPr>
              <w:pStyle w:val="InstructionsText"/>
            </w:pPr>
            <w:r w:rsidRPr="007D07CA">
              <w:rPr>
                <w:rStyle w:val="FormatvorlageInstructionsTabelleText"/>
                <w:rFonts w:ascii="Times New Roman" w:hAnsi="Times New Roman"/>
              </w:rPr>
              <w:t xml:space="preserve">The amount to be </w:t>
            </w:r>
            <w:r>
              <w:rPr>
                <w:rStyle w:val="FormatvorlageInstructionsTabelleText"/>
                <w:rFonts w:ascii="Times New Roman" w:hAnsi="Times New Roman"/>
              </w:rPr>
              <w:t xml:space="preserve">disclosed </w:t>
            </w:r>
            <w:r w:rsidRPr="007D07CA">
              <w:rPr>
                <w:rStyle w:val="FormatvorlageInstructionsTabelleText"/>
                <w:rFonts w:ascii="Times New Roman" w:hAnsi="Times New Roman"/>
              </w:rPr>
              <w:t>shall include the share premium related to the own shares.</w:t>
            </w:r>
          </w:p>
        </w:tc>
      </w:tr>
      <w:tr w:rsidR="00825F5D" w:rsidRPr="007D07CA" w14:paraId="4A847D5B" w14:textId="77777777" w:rsidTr="00970F84">
        <w:tc>
          <w:tcPr>
            <w:tcW w:w="1129" w:type="dxa"/>
            <w:tcBorders>
              <w:bottom w:val="single" w:sz="4" w:space="0" w:color="auto"/>
            </w:tcBorders>
          </w:tcPr>
          <w:p w14:paraId="3A492CCC" w14:textId="07228227" w:rsidR="00825F5D" w:rsidRPr="007D07CA" w:rsidRDefault="00825F5D" w:rsidP="00825F5D">
            <w:pPr>
              <w:spacing w:after="120"/>
              <w:jc w:val="both"/>
              <w:rPr>
                <w:rFonts w:ascii="Times New Roman" w:eastAsia="Times New Roman" w:hAnsi="Times New Roman" w:cs="Times New Roman"/>
                <w:bCs/>
                <w:lang w:eastAsia="de-DE"/>
              </w:rPr>
            </w:pPr>
            <w:r>
              <w:rPr>
                <w:rFonts w:ascii="Times New Roman" w:eastAsia="Times New Roman" w:hAnsi="Times New Roman" w:cs="Times New Roman"/>
                <w:bCs/>
                <w:lang w:eastAsia="de-DE"/>
              </w:rPr>
              <w:t>35</w:t>
            </w:r>
          </w:p>
        </w:tc>
        <w:tc>
          <w:tcPr>
            <w:tcW w:w="7620" w:type="dxa"/>
            <w:tcBorders>
              <w:top w:val="nil"/>
              <w:left w:val="single" w:sz="4" w:space="0" w:color="auto"/>
              <w:bottom w:val="single" w:sz="4" w:space="0" w:color="auto"/>
              <w:right w:val="single" w:sz="4" w:space="0" w:color="auto"/>
            </w:tcBorders>
            <w:shd w:val="clear" w:color="auto" w:fill="auto"/>
            <w:vAlign w:val="bottom"/>
          </w:tcPr>
          <w:p w14:paraId="244862C8"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
                <w:bCs/>
                <w:u w:val="single"/>
                <w:lang w:eastAsia="de-DE"/>
              </w:rPr>
              <w:t>(-) T2 instruments of financial sector entities where the institution does not have a significant investment</w:t>
            </w:r>
          </w:p>
          <w:p w14:paraId="08024FE0" w14:textId="77777777" w:rsidR="00825F5D" w:rsidRPr="007D07CA" w:rsidRDefault="00825F5D" w:rsidP="00825F5D">
            <w:pPr>
              <w:spacing w:after="120"/>
              <w:jc w:val="both"/>
              <w:rPr>
                <w:rFonts w:ascii="Times New Roman" w:eastAsia="Times New Roman" w:hAnsi="Times New Roman" w:cs="Times New Roman"/>
                <w:bCs/>
                <w:lang w:eastAsia="de-DE"/>
              </w:rPr>
            </w:pPr>
            <w:r w:rsidRPr="007D07CA">
              <w:rPr>
                <w:rFonts w:ascii="Times New Roman" w:eastAsia="Times New Roman" w:hAnsi="Times New Roman" w:cs="Times New Roman"/>
                <w:bCs/>
                <w:lang w:eastAsia="de-DE"/>
              </w:rPr>
              <w:t>Point (c) of Article 9(2) IFR</w:t>
            </w:r>
          </w:p>
          <w:p w14:paraId="5BBF0736" w14:textId="77777777" w:rsidR="00825F5D" w:rsidRPr="007D07CA" w:rsidRDefault="00825F5D" w:rsidP="00825F5D">
            <w:pPr>
              <w:spacing w:after="120"/>
              <w:jc w:val="both"/>
              <w:rPr>
                <w:rFonts w:ascii="Times New Roman" w:eastAsia="Times New Roman" w:hAnsi="Times New Roman" w:cs="Times New Roman"/>
                <w:b/>
                <w:bCs/>
                <w:u w:val="single"/>
                <w:lang w:eastAsia="de-DE"/>
              </w:rPr>
            </w:pPr>
            <w:r w:rsidRPr="007D07CA">
              <w:rPr>
                <w:rFonts w:ascii="Times New Roman" w:eastAsia="Times New Roman" w:hAnsi="Times New Roman" w:cs="Times New Roman"/>
                <w:bCs/>
                <w:lang w:eastAsia="de-DE"/>
              </w:rPr>
              <w:t xml:space="preserve">Point (c) of Article </w:t>
            </w:r>
            <w:r>
              <w:rPr>
                <w:rFonts w:ascii="Times New Roman" w:eastAsia="Times New Roman" w:hAnsi="Times New Roman" w:cs="Times New Roman"/>
                <w:bCs/>
                <w:lang w:eastAsia="de-DE"/>
              </w:rPr>
              <w:t>66</w:t>
            </w:r>
            <w:r w:rsidRPr="007D07CA">
              <w:rPr>
                <w:rFonts w:ascii="Times New Roman" w:eastAsia="Times New Roman" w:hAnsi="Times New Roman" w:cs="Times New Roman"/>
                <w:bCs/>
                <w:lang w:eastAsia="de-DE"/>
              </w:rPr>
              <w:t xml:space="preserve"> CRR</w:t>
            </w:r>
          </w:p>
        </w:tc>
      </w:tr>
    </w:tbl>
    <w:p w14:paraId="1A00C213" w14:textId="6DBF6E79" w:rsidR="001F2493" w:rsidRDefault="001F2493" w:rsidP="00267DE1">
      <w:pPr>
        <w:rPr>
          <w:rFonts w:ascii="Times New Roman" w:hAnsi="Times New Roman" w:cs="Times New Roman"/>
          <w:b/>
          <w:bCs/>
          <w:sz w:val="24"/>
        </w:rPr>
      </w:pPr>
    </w:p>
    <w:p w14:paraId="63FE0ABF" w14:textId="77777777" w:rsidR="00970F84" w:rsidRPr="00107FFE" w:rsidRDefault="00970F84" w:rsidP="00267DE1">
      <w:pPr>
        <w:rPr>
          <w:rFonts w:ascii="Times New Roman" w:hAnsi="Times New Roman" w:cs="Times New Roman"/>
          <w:b/>
          <w:bCs/>
          <w:sz w:val="24"/>
        </w:rPr>
      </w:pPr>
    </w:p>
    <w:p w14:paraId="058122C2" w14:textId="0E40C3CF" w:rsidR="00267DE1" w:rsidRPr="00107FFE" w:rsidRDefault="00267DE1" w:rsidP="00267DE1">
      <w:pPr>
        <w:rPr>
          <w:rFonts w:ascii="Times New Roman" w:hAnsi="Times New Roman" w:cs="Times New Roman"/>
          <w:b/>
          <w:bCs/>
          <w:sz w:val="24"/>
        </w:rPr>
      </w:pPr>
      <w:r w:rsidRPr="00107FFE">
        <w:rPr>
          <w:rFonts w:ascii="Times New Roman" w:hAnsi="Times New Roman" w:cs="Times New Roman"/>
          <w:b/>
          <w:bCs/>
          <w:sz w:val="24"/>
        </w:rPr>
        <w:t xml:space="preserve">Template </w:t>
      </w:r>
      <w:r w:rsidR="00BE4814" w:rsidRPr="00107FFE">
        <w:rPr>
          <w:rFonts w:ascii="Times New Roman" w:hAnsi="Times New Roman" w:cs="Times New Roman"/>
          <w:b/>
          <w:bCs/>
          <w:sz w:val="24"/>
        </w:rPr>
        <w:t xml:space="preserve">EU </w:t>
      </w:r>
      <w:r w:rsidR="008F025A" w:rsidRPr="00107FFE">
        <w:rPr>
          <w:rFonts w:ascii="Times New Roman" w:hAnsi="Times New Roman" w:cs="Times New Roman"/>
          <w:b/>
          <w:bCs/>
          <w:sz w:val="24"/>
        </w:rPr>
        <w:t>IF</w:t>
      </w:r>
      <w:r w:rsidR="0062489A" w:rsidRPr="00107FFE">
        <w:rPr>
          <w:rFonts w:ascii="Times New Roman" w:hAnsi="Times New Roman" w:cs="Times New Roman"/>
          <w:b/>
          <w:bCs/>
          <w:sz w:val="24"/>
        </w:rPr>
        <w:t xml:space="preserve"> CC2</w:t>
      </w:r>
      <w:r w:rsidR="00241556" w:rsidRPr="00107FFE">
        <w:rPr>
          <w:rFonts w:ascii="Times New Roman" w:hAnsi="Times New Roman" w:cs="Times New Roman"/>
          <w:b/>
          <w:bCs/>
          <w:sz w:val="24"/>
        </w:rPr>
        <w:t xml:space="preserve"> – Reconciliation of regulatory own funds to balance sheet</w:t>
      </w:r>
      <w:r w:rsidR="00081467" w:rsidRPr="00107FFE">
        <w:rPr>
          <w:rFonts w:ascii="Times New Roman" w:hAnsi="Times New Roman" w:cs="Times New Roman"/>
          <w:b/>
          <w:bCs/>
          <w:sz w:val="24"/>
        </w:rPr>
        <w:t xml:space="preserve"> in the audited financial statements</w:t>
      </w:r>
    </w:p>
    <w:p w14:paraId="461F16F6" w14:textId="77777777" w:rsidR="00267DE1" w:rsidRPr="00107FFE" w:rsidRDefault="00267DE1">
      <w:pPr>
        <w:rPr>
          <w:rFonts w:ascii="Times New Roman" w:hAnsi="Times New Roman" w:cs="Times New Roman"/>
          <w:b/>
          <w:sz w:val="24"/>
        </w:rPr>
      </w:pPr>
    </w:p>
    <w:p w14:paraId="31C0B4D5" w14:textId="04DDB0BF" w:rsidR="00267DE1" w:rsidRPr="00107FFE" w:rsidRDefault="0062489A" w:rsidP="007335CF">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Investment firms</w:t>
      </w:r>
      <w:r w:rsidR="00267DE1" w:rsidRPr="00107FFE">
        <w:rPr>
          <w:rFonts w:ascii="Times New Roman" w:hAnsi="Times New Roman" w:cs="Times New Roman"/>
          <w:bCs/>
          <w:sz w:val="24"/>
        </w:rPr>
        <w:t xml:space="preserve"> shall apply the instructions provided in this Annex in order to complete </w:t>
      </w:r>
      <w:r w:rsidR="007335CF" w:rsidRPr="00107FFE">
        <w:rPr>
          <w:rFonts w:ascii="Times New Roman" w:hAnsi="Times New Roman" w:cs="Times New Roman"/>
          <w:bCs/>
          <w:sz w:val="24"/>
        </w:rPr>
        <w:t xml:space="preserve">template EU </w:t>
      </w:r>
      <w:r w:rsidR="00B12C9C" w:rsidRPr="00107FFE">
        <w:rPr>
          <w:rFonts w:ascii="Times New Roman" w:hAnsi="Times New Roman" w:cs="Times New Roman"/>
          <w:bCs/>
          <w:sz w:val="24"/>
        </w:rPr>
        <w:t xml:space="preserve">IF </w:t>
      </w:r>
      <w:r w:rsidR="007335CF" w:rsidRPr="00107FFE">
        <w:rPr>
          <w:rFonts w:ascii="Times New Roman" w:hAnsi="Times New Roman" w:cs="Times New Roman"/>
          <w:bCs/>
          <w:sz w:val="24"/>
        </w:rPr>
        <w:t>CC2</w:t>
      </w:r>
      <w:r w:rsidR="00267DE1" w:rsidRPr="00107FFE">
        <w:rPr>
          <w:rFonts w:ascii="Times New Roman" w:hAnsi="Times New Roman" w:cs="Times New Roman"/>
          <w:bCs/>
          <w:sz w:val="24"/>
        </w:rPr>
        <w:t xml:space="preserve"> as presented in Annex </w:t>
      </w:r>
      <w:r w:rsidR="00536C62" w:rsidRPr="00107FFE">
        <w:rPr>
          <w:rFonts w:ascii="Times New Roman" w:hAnsi="Times New Roman" w:cs="Times New Roman"/>
          <w:bCs/>
          <w:sz w:val="24"/>
        </w:rPr>
        <w:t>V</w:t>
      </w:r>
      <w:r w:rsidR="00CE5E92">
        <w:rPr>
          <w:rFonts w:ascii="Times New Roman" w:hAnsi="Times New Roman" w:cs="Times New Roman"/>
          <w:bCs/>
          <w:sz w:val="24"/>
        </w:rPr>
        <w:t>I</w:t>
      </w:r>
      <w:r w:rsidR="008F2190" w:rsidRPr="00107FFE">
        <w:rPr>
          <w:rFonts w:ascii="Times New Roman" w:hAnsi="Times New Roman" w:cs="Times New Roman"/>
          <w:bCs/>
          <w:sz w:val="24"/>
        </w:rPr>
        <w:t>,</w:t>
      </w:r>
      <w:r w:rsidR="008F025A" w:rsidRPr="00107FFE">
        <w:rPr>
          <w:rFonts w:ascii="Times New Roman" w:hAnsi="Times New Roman" w:cs="Times New Roman"/>
          <w:bCs/>
          <w:sz w:val="24"/>
        </w:rPr>
        <w:t xml:space="preserve"> in accordance with Article 49</w:t>
      </w:r>
      <w:r w:rsidR="00FF36BE">
        <w:rPr>
          <w:rFonts w:ascii="Times New Roman" w:hAnsi="Times New Roman" w:cs="Times New Roman"/>
          <w:bCs/>
          <w:sz w:val="24"/>
        </w:rPr>
        <w:t xml:space="preserve">(1) point </w:t>
      </w:r>
      <w:r w:rsidR="008F025A" w:rsidRPr="00107FFE">
        <w:rPr>
          <w:rFonts w:ascii="Times New Roman" w:hAnsi="Times New Roman" w:cs="Times New Roman"/>
          <w:bCs/>
          <w:sz w:val="24"/>
        </w:rPr>
        <w:t>(a) IFR.</w:t>
      </w:r>
    </w:p>
    <w:p w14:paraId="5A02A571" w14:textId="22E405C1" w:rsidR="00785FA0" w:rsidRPr="00107FFE" w:rsidRDefault="0062489A" w:rsidP="00FC5DAA">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Investment firms</w:t>
      </w:r>
      <w:r w:rsidR="00267DE1" w:rsidRPr="00107FFE">
        <w:rPr>
          <w:rFonts w:ascii="Times New Roman" w:hAnsi="Times New Roman" w:cs="Times New Roman"/>
          <w:bCs/>
          <w:sz w:val="24"/>
        </w:rPr>
        <w:t xml:space="preserve"> </w:t>
      </w:r>
      <w:r w:rsidR="00544B12" w:rsidRPr="00107FFE">
        <w:rPr>
          <w:rFonts w:ascii="Times New Roman" w:hAnsi="Times New Roman" w:cs="Times New Roman"/>
          <w:bCs/>
          <w:sz w:val="24"/>
        </w:rPr>
        <w:t>shall</w:t>
      </w:r>
      <w:r w:rsidR="0032171F" w:rsidRPr="00107FFE">
        <w:rPr>
          <w:rFonts w:ascii="Times New Roman" w:hAnsi="Times New Roman" w:cs="Times New Roman"/>
          <w:bCs/>
          <w:sz w:val="24"/>
        </w:rPr>
        <w:t xml:space="preserve"> </w:t>
      </w:r>
      <w:r w:rsidR="00DF1A0E" w:rsidRPr="00107FFE">
        <w:rPr>
          <w:rFonts w:ascii="Times New Roman" w:hAnsi="Times New Roman" w:cs="Times New Roman"/>
          <w:bCs/>
          <w:sz w:val="24"/>
        </w:rPr>
        <w:t xml:space="preserve">disclose </w:t>
      </w:r>
      <w:r w:rsidR="001B66D7" w:rsidRPr="00107FFE">
        <w:rPr>
          <w:rFonts w:ascii="Times New Roman" w:hAnsi="Times New Roman" w:cs="Times New Roman"/>
          <w:bCs/>
          <w:sz w:val="24"/>
        </w:rPr>
        <w:t>the balance sheet</w:t>
      </w:r>
      <w:r w:rsidR="00DF1A0E" w:rsidRPr="00107FFE">
        <w:rPr>
          <w:rFonts w:ascii="Times New Roman" w:hAnsi="Times New Roman" w:cs="Times New Roman"/>
          <w:bCs/>
          <w:sz w:val="24"/>
        </w:rPr>
        <w:t xml:space="preserve"> included</w:t>
      </w:r>
      <w:r w:rsidR="001B66D7" w:rsidRPr="00107FFE">
        <w:rPr>
          <w:rFonts w:ascii="Times New Roman" w:hAnsi="Times New Roman" w:cs="Times New Roman"/>
          <w:bCs/>
          <w:sz w:val="24"/>
        </w:rPr>
        <w:t xml:space="preserve"> in their published financial statements</w:t>
      </w:r>
      <w:r w:rsidR="00785FA0" w:rsidRPr="00107FFE">
        <w:rPr>
          <w:rFonts w:ascii="Times New Roman" w:hAnsi="Times New Roman" w:cs="Times New Roman"/>
          <w:bCs/>
          <w:sz w:val="24"/>
        </w:rPr>
        <w:t>. Financial statements shall be the audited financial statements for the year-end disclosures.</w:t>
      </w:r>
    </w:p>
    <w:p w14:paraId="282E5C21" w14:textId="5CC086D5" w:rsidR="003156DA" w:rsidRPr="00107FFE" w:rsidRDefault="003156DA" w:rsidP="00FC5DAA">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T</w:t>
      </w:r>
      <w:r w:rsidR="00785FA0" w:rsidRPr="00107FFE">
        <w:rPr>
          <w:rFonts w:ascii="Times New Roman" w:hAnsi="Times New Roman" w:cs="Times New Roman"/>
          <w:bCs/>
          <w:sz w:val="24"/>
        </w:rPr>
        <w:t xml:space="preserve">he rows of the template are flexible and </w:t>
      </w:r>
      <w:proofErr w:type="gramStart"/>
      <w:r w:rsidR="00A95602" w:rsidRPr="00107FFE">
        <w:rPr>
          <w:rFonts w:ascii="Times New Roman" w:hAnsi="Times New Roman" w:cs="Times New Roman"/>
          <w:bCs/>
          <w:sz w:val="24"/>
        </w:rPr>
        <w:t xml:space="preserve">shall </w:t>
      </w:r>
      <w:r w:rsidR="00785FA0" w:rsidRPr="00107FFE">
        <w:rPr>
          <w:rFonts w:ascii="Times New Roman" w:hAnsi="Times New Roman" w:cs="Times New Roman"/>
          <w:bCs/>
          <w:sz w:val="24"/>
        </w:rPr>
        <w:t>be disclosed</w:t>
      </w:r>
      <w:proofErr w:type="gramEnd"/>
      <w:r w:rsidR="00785FA0" w:rsidRPr="00107FFE">
        <w:rPr>
          <w:rFonts w:ascii="Times New Roman" w:hAnsi="Times New Roman" w:cs="Times New Roman"/>
          <w:bCs/>
          <w:sz w:val="24"/>
        </w:rPr>
        <w:t xml:space="preserve"> by </w:t>
      </w:r>
      <w:r w:rsidR="0062489A" w:rsidRPr="00107FFE">
        <w:rPr>
          <w:rFonts w:ascii="Times New Roman" w:hAnsi="Times New Roman" w:cs="Times New Roman"/>
          <w:bCs/>
          <w:sz w:val="24"/>
        </w:rPr>
        <w:t>investment firms</w:t>
      </w:r>
      <w:r w:rsidR="00785FA0" w:rsidRPr="00107FFE">
        <w:rPr>
          <w:rFonts w:ascii="Times New Roman" w:hAnsi="Times New Roman" w:cs="Times New Roman"/>
          <w:bCs/>
          <w:sz w:val="24"/>
        </w:rPr>
        <w:t xml:space="preserve"> in line with their financial statements</w:t>
      </w:r>
      <w:r w:rsidRPr="00107FFE">
        <w:rPr>
          <w:rFonts w:ascii="Times New Roman" w:hAnsi="Times New Roman" w:cs="Times New Roman"/>
          <w:bCs/>
          <w:sz w:val="24"/>
        </w:rPr>
        <w:t>.</w:t>
      </w:r>
      <w:r w:rsidR="00785FA0" w:rsidRPr="00107FFE">
        <w:rPr>
          <w:rFonts w:ascii="Times New Roman" w:hAnsi="Times New Roman" w:cs="Times New Roman"/>
          <w:bCs/>
          <w:sz w:val="24"/>
        </w:rPr>
        <w:t xml:space="preserve"> </w:t>
      </w:r>
      <w:r w:rsidRPr="00107FFE">
        <w:rPr>
          <w:rFonts w:ascii="Times New Roman" w:hAnsi="Times New Roman" w:cs="Times New Roman"/>
          <w:bCs/>
          <w:sz w:val="24"/>
        </w:rPr>
        <w:t xml:space="preserve">Own funds items in the audited financial statements shall include all items that are components of or are deducted from regulatory own funds, including equity, liabilities such as debt, or other balance sheet lines that affect regulatory own funds such as intangible assets, goodwill, deferred tax assets. </w:t>
      </w:r>
      <w:r w:rsidR="0062489A" w:rsidRPr="00107FFE">
        <w:rPr>
          <w:rFonts w:ascii="Times New Roman" w:hAnsi="Times New Roman" w:cs="Times New Roman"/>
          <w:bCs/>
          <w:sz w:val="24"/>
        </w:rPr>
        <w:t>Investment firms</w:t>
      </w:r>
      <w:r w:rsidRPr="00107FFE">
        <w:rPr>
          <w:rFonts w:ascii="Times New Roman" w:hAnsi="Times New Roman" w:cs="Times New Roman"/>
          <w:bCs/>
          <w:sz w:val="24"/>
        </w:rPr>
        <w:t xml:space="preserve"> shall expand the own funds items of the balance sheet as necessary in order to ensure that all of the components included in the </w:t>
      </w:r>
      <w:r w:rsidR="008F2190" w:rsidRPr="00107FFE">
        <w:rPr>
          <w:rFonts w:ascii="Times New Roman" w:hAnsi="Times New Roman" w:cs="Times New Roman"/>
          <w:bCs/>
          <w:sz w:val="24"/>
        </w:rPr>
        <w:t xml:space="preserve">composition of </w:t>
      </w:r>
      <w:r w:rsidRPr="00107FFE">
        <w:rPr>
          <w:rFonts w:ascii="Times New Roman" w:hAnsi="Times New Roman" w:cs="Times New Roman"/>
          <w:bCs/>
          <w:sz w:val="24"/>
        </w:rPr>
        <w:t xml:space="preserve">own funds disclosure template (template </w:t>
      </w:r>
      <w:r w:rsidR="00BE4814" w:rsidRPr="00107FFE">
        <w:rPr>
          <w:rFonts w:ascii="Times New Roman" w:hAnsi="Times New Roman" w:cs="Times New Roman"/>
          <w:bCs/>
          <w:sz w:val="24"/>
        </w:rPr>
        <w:t>EU</w:t>
      </w:r>
      <w:r w:rsidR="00B12C9C" w:rsidRPr="00107FFE">
        <w:rPr>
          <w:rFonts w:ascii="Times New Roman" w:hAnsi="Times New Roman" w:cs="Times New Roman"/>
          <w:bCs/>
          <w:sz w:val="24"/>
        </w:rPr>
        <w:t xml:space="preserve"> IF</w:t>
      </w:r>
      <w:r w:rsidR="00BE4814" w:rsidRPr="00107FFE">
        <w:rPr>
          <w:rFonts w:ascii="Times New Roman" w:hAnsi="Times New Roman" w:cs="Times New Roman"/>
          <w:bCs/>
          <w:sz w:val="24"/>
        </w:rPr>
        <w:t xml:space="preserve"> </w:t>
      </w:r>
      <w:r w:rsidRPr="00107FFE">
        <w:rPr>
          <w:rFonts w:ascii="Times New Roman" w:hAnsi="Times New Roman" w:cs="Times New Roman"/>
          <w:bCs/>
          <w:sz w:val="24"/>
        </w:rPr>
        <w:t xml:space="preserve">CC1) appear separately. </w:t>
      </w:r>
      <w:r w:rsidR="0062489A" w:rsidRPr="00107FFE">
        <w:rPr>
          <w:rFonts w:ascii="Times New Roman" w:hAnsi="Times New Roman" w:cs="Times New Roman"/>
          <w:bCs/>
          <w:sz w:val="24"/>
        </w:rPr>
        <w:t>Investment firms</w:t>
      </w:r>
      <w:r w:rsidRPr="00107FFE">
        <w:rPr>
          <w:rFonts w:ascii="Times New Roman" w:hAnsi="Times New Roman" w:cs="Times New Roman"/>
          <w:bCs/>
          <w:sz w:val="24"/>
        </w:rPr>
        <w:t xml:space="preserve"> shall only expand elements of the balance sheet up to the level of granularity that is necessary for deriving the components required by template</w:t>
      </w:r>
      <w:r w:rsidR="00BE4814" w:rsidRPr="00107FFE">
        <w:rPr>
          <w:rFonts w:ascii="Times New Roman" w:hAnsi="Times New Roman" w:cs="Times New Roman"/>
          <w:bCs/>
          <w:sz w:val="24"/>
        </w:rPr>
        <w:t xml:space="preserve"> EU</w:t>
      </w:r>
      <w:r w:rsidR="00B12C9C" w:rsidRPr="00107FFE">
        <w:rPr>
          <w:rFonts w:ascii="Times New Roman" w:hAnsi="Times New Roman" w:cs="Times New Roman"/>
          <w:bCs/>
          <w:sz w:val="24"/>
        </w:rPr>
        <w:t xml:space="preserve"> IF</w:t>
      </w:r>
      <w:r w:rsidRPr="00107FFE">
        <w:rPr>
          <w:rFonts w:ascii="Times New Roman" w:hAnsi="Times New Roman" w:cs="Times New Roman"/>
          <w:bCs/>
          <w:sz w:val="24"/>
        </w:rPr>
        <w:t xml:space="preserve"> CC1.</w:t>
      </w:r>
      <w:r w:rsidR="00A95602" w:rsidRPr="00107FFE">
        <w:rPr>
          <w:rFonts w:ascii="Times New Roman" w:hAnsi="Times New Roman" w:cs="Times New Roman"/>
          <w:bCs/>
          <w:sz w:val="24"/>
        </w:rPr>
        <w:t xml:space="preserve"> Disclosure shall be proportionate to the complexity of the </w:t>
      </w:r>
      <w:r w:rsidR="00B12C9C" w:rsidRPr="00107FFE">
        <w:rPr>
          <w:rFonts w:ascii="Times New Roman" w:hAnsi="Times New Roman" w:cs="Times New Roman"/>
          <w:bCs/>
          <w:sz w:val="24"/>
        </w:rPr>
        <w:t>investment firm</w:t>
      </w:r>
      <w:r w:rsidR="00A95602" w:rsidRPr="00107FFE">
        <w:rPr>
          <w:rFonts w:ascii="Times New Roman" w:hAnsi="Times New Roman" w:cs="Times New Roman"/>
          <w:bCs/>
          <w:sz w:val="24"/>
        </w:rPr>
        <w:t>'s balance sheet.</w:t>
      </w:r>
    </w:p>
    <w:p w14:paraId="33CFD474" w14:textId="1EF64873" w:rsidR="00785FA0" w:rsidRPr="00107FFE" w:rsidRDefault="003156DA" w:rsidP="00FC5DAA">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T</w:t>
      </w:r>
      <w:r w:rsidR="00785FA0" w:rsidRPr="00107FFE">
        <w:rPr>
          <w:rFonts w:ascii="Times New Roman" w:hAnsi="Times New Roman" w:cs="Times New Roman"/>
          <w:bCs/>
          <w:sz w:val="24"/>
        </w:rPr>
        <w:t xml:space="preserve">he columns are fixed and </w:t>
      </w:r>
      <w:r w:rsidR="00A95602" w:rsidRPr="00107FFE">
        <w:rPr>
          <w:rFonts w:ascii="Times New Roman" w:hAnsi="Times New Roman" w:cs="Times New Roman"/>
          <w:bCs/>
          <w:sz w:val="24"/>
        </w:rPr>
        <w:t>shall</w:t>
      </w:r>
      <w:r w:rsidR="00785FA0" w:rsidRPr="00107FFE">
        <w:rPr>
          <w:rFonts w:ascii="Times New Roman" w:hAnsi="Times New Roman" w:cs="Times New Roman"/>
          <w:bCs/>
          <w:sz w:val="24"/>
        </w:rPr>
        <w:t xml:space="preserve"> be </w:t>
      </w:r>
      <w:r w:rsidR="008C0FCB" w:rsidRPr="00107FFE">
        <w:rPr>
          <w:rFonts w:ascii="Times New Roman" w:hAnsi="Times New Roman" w:cs="Times New Roman"/>
          <w:bCs/>
          <w:sz w:val="24"/>
        </w:rPr>
        <w:t>disclosed</w:t>
      </w:r>
      <w:r w:rsidR="00785FA0" w:rsidRPr="00107FFE">
        <w:rPr>
          <w:rFonts w:ascii="Times New Roman" w:hAnsi="Times New Roman" w:cs="Times New Roman"/>
          <w:bCs/>
          <w:sz w:val="24"/>
        </w:rPr>
        <w:t xml:space="preserve"> as follows:</w:t>
      </w:r>
    </w:p>
    <w:p w14:paraId="0C0515EE" w14:textId="1DC312F2" w:rsidR="00785FA0" w:rsidRPr="00107FFE"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107FFE">
        <w:rPr>
          <w:rFonts w:ascii="Times New Roman" w:hAnsi="Times New Roman" w:cs="Times New Roman"/>
          <w:sz w:val="24"/>
          <w:lang w:val="en-GB"/>
        </w:rPr>
        <w:t xml:space="preserve">Column a: </w:t>
      </w:r>
      <w:r w:rsidR="0062489A" w:rsidRPr="00107FFE">
        <w:rPr>
          <w:rFonts w:ascii="Times New Roman" w:hAnsi="Times New Roman" w:cs="Times New Roman"/>
          <w:sz w:val="24"/>
          <w:lang w:val="en-GB"/>
        </w:rPr>
        <w:t>Investment firms</w:t>
      </w:r>
      <w:r w:rsidRPr="00107FFE">
        <w:rPr>
          <w:rFonts w:ascii="Times New Roman" w:hAnsi="Times New Roman" w:cs="Times New Roman"/>
          <w:sz w:val="24"/>
          <w:lang w:val="en-GB"/>
        </w:rPr>
        <w:t xml:space="preserve"> shall include the figures reported in the balance sheet included in their </w:t>
      </w:r>
      <w:r w:rsidR="00FF36BE">
        <w:rPr>
          <w:rFonts w:ascii="Times New Roman" w:hAnsi="Times New Roman" w:cs="Times New Roman"/>
          <w:sz w:val="24"/>
          <w:lang w:val="en-GB"/>
        </w:rPr>
        <w:t>audited</w:t>
      </w:r>
      <w:r w:rsidR="00FF36BE" w:rsidRPr="00107FFE">
        <w:rPr>
          <w:rFonts w:ascii="Times New Roman" w:hAnsi="Times New Roman" w:cs="Times New Roman"/>
          <w:sz w:val="24"/>
          <w:lang w:val="en-GB"/>
        </w:rPr>
        <w:t xml:space="preserve"> </w:t>
      </w:r>
      <w:r w:rsidRPr="00107FFE">
        <w:rPr>
          <w:rFonts w:ascii="Times New Roman" w:hAnsi="Times New Roman" w:cs="Times New Roman"/>
          <w:sz w:val="24"/>
          <w:lang w:val="en-GB"/>
        </w:rPr>
        <w:t>financial statements according to the accounting scope of consolidation.</w:t>
      </w:r>
    </w:p>
    <w:p w14:paraId="3A270921" w14:textId="4B9F4C65" w:rsidR="00785FA0" w:rsidRPr="00107FFE" w:rsidRDefault="00785FA0" w:rsidP="00EF0EC9">
      <w:pPr>
        <w:pStyle w:val="numberedparagraph"/>
        <w:numPr>
          <w:ilvl w:val="1"/>
          <w:numId w:val="12"/>
        </w:numPr>
        <w:tabs>
          <w:tab w:val="clear" w:pos="-180"/>
        </w:tabs>
        <w:ind w:left="709"/>
        <w:rPr>
          <w:rFonts w:ascii="Times New Roman" w:hAnsi="Times New Roman" w:cs="Times New Roman"/>
          <w:sz w:val="24"/>
          <w:lang w:val="en-GB"/>
        </w:rPr>
      </w:pPr>
      <w:r w:rsidRPr="00107FFE">
        <w:rPr>
          <w:rFonts w:ascii="Times New Roman" w:hAnsi="Times New Roman" w:cs="Times New Roman"/>
          <w:sz w:val="24"/>
          <w:lang w:val="en-GB"/>
        </w:rPr>
        <w:lastRenderedPageBreak/>
        <w:t xml:space="preserve">Column b: </w:t>
      </w:r>
      <w:r w:rsidR="0062489A" w:rsidRPr="00107FFE">
        <w:rPr>
          <w:rFonts w:ascii="Times New Roman" w:hAnsi="Times New Roman" w:cs="Times New Roman"/>
          <w:sz w:val="24"/>
          <w:lang w:val="en-GB"/>
        </w:rPr>
        <w:t>Investment firms</w:t>
      </w:r>
      <w:r w:rsidRPr="00107FFE">
        <w:rPr>
          <w:rFonts w:ascii="Times New Roman" w:hAnsi="Times New Roman" w:cs="Times New Roman"/>
          <w:sz w:val="24"/>
          <w:lang w:val="en-GB"/>
        </w:rPr>
        <w:t xml:space="preserve"> shall report the figures corresponding to the regulatory scope of consolidation</w:t>
      </w:r>
      <w:r w:rsidR="00536C62" w:rsidRPr="00107FFE">
        <w:rPr>
          <w:rFonts w:ascii="Times New Roman" w:hAnsi="Times New Roman" w:cs="Times New Roman"/>
          <w:sz w:val="24"/>
          <w:lang w:val="en-GB"/>
        </w:rPr>
        <w:t xml:space="preserve">. </w:t>
      </w:r>
    </w:p>
    <w:p w14:paraId="06961445" w14:textId="0DA3D28C" w:rsidR="00785FA0" w:rsidRPr="00107FFE"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107FFE">
        <w:rPr>
          <w:rFonts w:ascii="Times New Roman" w:hAnsi="Times New Roman" w:cs="Times New Roman"/>
          <w:sz w:val="24"/>
          <w:lang w:val="en-GB"/>
        </w:rPr>
        <w:t>Column c</w:t>
      </w:r>
      <w:r w:rsidR="008C700B" w:rsidRPr="00107FFE">
        <w:rPr>
          <w:rFonts w:ascii="Times New Roman" w:hAnsi="Times New Roman" w:cs="Times New Roman"/>
          <w:sz w:val="24"/>
          <w:lang w:val="en-GB"/>
        </w:rPr>
        <w:t>:</w:t>
      </w:r>
      <w:r w:rsidRPr="00107FFE">
        <w:rPr>
          <w:rFonts w:ascii="Times New Roman" w:hAnsi="Times New Roman" w:cs="Times New Roman"/>
          <w:sz w:val="24"/>
          <w:lang w:val="en-GB"/>
        </w:rPr>
        <w:t xml:space="preserve"> </w:t>
      </w:r>
      <w:r w:rsidR="0062489A" w:rsidRPr="00107FFE">
        <w:rPr>
          <w:rFonts w:ascii="Times New Roman" w:hAnsi="Times New Roman" w:cs="Times New Roman"/>
          <w:sz w:val="24"/>
          <w:lang w:val="en-GB"/>
        </w:rPr>
        <w:t>Investment firms</w:t>
      </w:r>
      <w:r w:rsidRPr="00107FFE">
        <w:rPr>
          <w:rFonts w:ascii="Times New Roman" w:hAnsi="Times New Roman" w:cs="Times New Roman"/>
          <w:sz w:val="24"/>
          <w:lang w:val="en-GB"/>
        </w:rPr>
        <w:t xml:space="preserve"> shall include the cross-reference between the own f</w:t>
      </w:r>
      <w:r w:rsidR="00B12C9C" w:rsidRPr="00107FFE">
        <w:rPr>
          <w:rFonts w:ascii="Times New Roman" w:hAnsi="Times New Roman" w:cs="Times New Roman"/>
          <w:sz w:val="24"/>
          <w:lang w:val="en-GB"/>
        </w:rPr>
        <w:t>u</w:t>
      </w:r>
      <w:r w:rsidRPr="00107FFE">
        <w:rPr>
          <w:rFonts w:ascii="Times New Roman" w:hAnsi="Times New Roman" w:cs="Times New Roman"/>
          <w:sz w:val="24"/>
          <w:lang w:val="en-GB"/>
        </w:rPr>
        <w:t>nd</w:t>
      </w:r>
      <w:r w:rsidR="00B12C9C" w:rsidRPr="00107FFE">
        <w:rPr>
          <w:rFonts w:ascii="Times New Roman" w:hAnsi="Times New Roman" w:cs="Times New Roman"/>
          <w:sz w:val="24"/>
          <w:lang w:val="en-GB"/>
        </w:rPr>
        <w:t>s</w:t>
      </w:r>
      <w:r w:rsidRPr="00107FFE">
        <w:rPr>
          <w:rFonts w:ascii="Times New Roman" w:hAnsi="Times New Roman" w:cs="Times New Roman"/>
          <w:sz w:val="24"/>
          <w:lang w:val="en-GB"/>
        </w:rPr>
        <w:t xml:space="preserve"> item in template </w:t>
      </w:r>
      <w:r w:rsidR="00BE4814" w:rsidRPr="00107FFE">
        <w:rPr>
          <w:rFonts w:ascii="Times New Roman" w:hAnsi="Times New Roman" w:cs="Times New Roman"/>
          <w:sz w:val="24"/>
          <w:lang w:val="en-GB"/>
        </w:rPr>
        <w:t xml:space="preserve">EU </w:t>
      </w:r>
      <w:r w:rsidR="002E4658" w:rsidRPr="00107FFE">
        <w:rPr>
          <w:rFonts w:ascii="Times New Roman" w:hAnsi="Times New Roman" w:cs="Times New Roman"/>
          <w:sz w:val="24"/>
          <w:lang w:val="en-GB"/>
        </w:rPr>
        <w:t>IF CC2</w:t>
      </w:r>
      <w:r w:rsidRPr="00107FFE">
        <w:rPr>
          <w:rFonts w:ascii="Times New Roman" w:hAnsi="Times New Roman" w:cs="Times New Roman"/>
          <w:sz w:val="24"/>
          <w:lang w:val="en-GB"/>
        </w:rPr>
        <w:t xml:space="preserve"> and the relevant items in the own funds disclosure template </w:t>
      </w:r>
      <w:r w:rsidR="002E4658" w:rsidRPr="00107FFE">
        <w:rPr>
          <w:rFonts w:ascii="Times New Roman" w:hAnsi="Times New Roman" w:cs="Times New Roman"/>
          <w:sz w:val="24"/>
          <w:lang w:val="en-GB"/>
        </w:rPr>
        <w:t>EU IF CC1</w:t>
      </w:r>
      <w:r w:rsidRPr="00107FFE">
        <w:rPr>
          <w:rFonts w:ascii="Times New Roman" w:hAnsi="Times New Roman" w:cs="Times New Roman"/>
          <w:sz w:val="24"/>
          <w:lang w:val="en-GB"/>
        </w:rPr>
        <w:t>. The reference in column c of template</w:t>
      </w:r>
      <w:r w:rsidR="00BE4814" w:rsidRPr="00107FFE">
        <w:rPr>
          <w:rFonts w:ascii="Times New Roman" w:hAnsi="Times New Roman" w:cs="Times New Roman"/>
          <w:sz w:val="24"/>
          <w:lang w:val="en-GB"/>
        </w:rPr>
        <w:t xml:space="preserve"> EU</w:t>
      </w:r>
      <w:r w:rsidR="00A07858" w:rsidRPr="00107FFE">
        <w:rPr>
          <w:rFonts w:ascii="Times New Roman" w:hAnsi="Times New Roman" w:cs="Times New Roman"/>
          <w:sz w:val="24"/>
          <w:lang w:val="en-GB"/>
        </w:rPr>
        <w:t xml:space="preserve"> IF </w:t>
      </w:r>
      <w:r w:rsidR="002E4658" w:rsidRPr="00107FFE">
        <w:rPr>
          <w:rFonts w:ascii="Times New Roman" w:hAnsi="Times New Roman" w:cs="Times New Roman"/>
          <w:sz w:val="24"/>
          <w:lang w:val="en-GB"/>
        </w:rPr>
        <w:t xml:space="preserve">CC2 </w:t>
      </w:r>
      <w:proofErr w:type="gramStart"/>
      <w:r w:rsidRPr="00107FFE">
        <w:rPr>
          <w:rFonts w:ascii="Times New Roman" w:hAnsi="Times New Roman" w:cs="Times New Roman"/>
          <w:sz w:val="24"/>
          <w:lang w:val="en-GB"/>
        </w:rPr>
        <w:t>will be linked</w:t>
      </w:r>
      <w:proofErr w:type="gramEnd"/>
      <w:r w:rsidRPr="00107FFE">
        <w:rPr>
          <w:rFonts w:ascii="Times New Roman" w:hAnsi="Times New Roman" w:cs="Times New Roman"/>
          <w:sz w:val="24"/>
          <w:lang w:val="en-GB"/>
        </w:rPr>
        <w:t xml:space="preserve"> to the reference included in column b of template </w:t>
      </w:r>
      <w:r w:rsidR="00BE4814" w:rsidRPr="00107FFE">
        <w:rPr>
          <w:rFonts w:ascii="Times New Roman" w:hAnsi="Times New Roman" w:cs="Times New Roman"/>
          <w:sz w:val="24"/>
          <w:lang w:val="en-GB"/>
        </w:rPr>
        <w:t xml:space="preserve">EU </w:t>
      </w:r>
      <w:r w:rsidR="002E4658" w:rsidRPr="00107FFE">
        <w:rPr>
          <w:rFonts w:ascii="Times New Roman" w:hAnsi="Times New Roman" w:cs="Times New Roman"/>
          <w:sz w:val="24"/>
          <w:lang w:val="en-GB"/>
        </w:rPr>
        <w:t>IF CC1</w:t>
      </w:r>
      <w:r w:rsidRPr="00107FFE">
        <w:rPr>
          <w:rFonts w:ascii="Times New Roman" w:hAnsi="Times New Roman" w:cs="Times New Roman"/>
          <w:sz w:val="24"/>
          <w:lang w:val="en-GB"/>
        </w:rPr>
        <w:t>.</w:t>
      </w:r>
    </w:p>
    <w:p w14:paraId="147EA88F" w14:textId="5BA79E3B" w:rsidR="009702C5" w:rsidRPr="00107FFE" w:rsidRDefault="001B66D7" w:rsidP="00FC5DAA">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 xml:space="preserve"> </w:t>
      </w:r>
      <w:r w:rsidR="009702C5" w:rsidRPr="00107FFE">
        <w:rPr>
          <w:rFonts w:ascii="Times New Roman" w:hAnsi="Times New Roman" w:cs="Times New Roman"/>
          <w:bCs/>
          <w:sz w:val="24"/>
        </w:rPr>
        <w:t xml:space="preserve">In the following cases where </w:t>
      </w:r>
      <w:r w:rsidR="0062489A" w:rsidRPr="00107FFE">
        <w:rPr>
          <w:rFonts w:ascii="Times New Roman" w:hAnsi="Times New Roman" w:cs="Times New Roman"/>
          <w:bCs/>
          <w:sz w:val="24"/>
        </w:rPr>
        <w:t>investment firms</w:t>
      </w:r>
      <w:r w:rsidR="009702C5" w:rsidRPr="00107FFE">
        <w:rPr>
          <w:rFonts w:ascii="Times New Roman" w:hAnsi="Times New Roman" w:cs="Times New Roman"/>
          <w:bCs/>
          <w:sz w:val="24"/>
        </w:rPr>
        <w:t>’</w:t>
      </w:r>
      <w:r w:rsidRPr="00107FFE">
        <w:rPr>
          <w:rFonts w:ascii="Times New Roman" w:hAnsi="Times New Roman" w:cs="Times New Roman"/>
          <w:bCs/>
          <w:sz w:val="24"/>
        </w:rPr>
        <w:t xml:space="preserve"> scope of accounting consolidation and its scope of regulatory consolidation are exactly the same, </w:t>
      </w:r>
      <w:r w:rsidR="00FC53BA" w:rsidRPr="00107FFE">
        <w:rPr>
          <w:rFonts w:ascii="Times New Roman" w:hAnsi="Times New Roman" w:cs="Times New Roman"/>
          <w:bCs/>
          <w:sz w:val="24"/>
        </w:rPr>
        <w:t xml:space="preserve">only </w:t>
      </w:r>
      <w:r w:rsidRPr="00107FFE">
        <w:rPr>
          <w:rFonts w:ascii="Times New Roman" w:hAnsi="Times New Roman" w:cs="Times New Roman"/>
          <w:bCs/>
          <w:sz w:val="24"/>
        </w:rPr>
        <w:t xml:space="preserve">column (a) </w:t>
      </w:r>
      <w:r w:rsidR="00A95602" w:rsidRPr="00107FFE">
        <w:rPr>
          <w:rFonts w:ascii="Times New Roman" w:hAnsi="Times New Roman" w:cs="Times New Roman"/>
          <w:bCs/>
          <w:sz w:val="24"/>
        </w:rPr>
        <w:t>shall</w:t>
      </w:r>
      <w:r w:rsidRPr="00107FFE">
        <w:rPr>
          <w:rFonts w:ascii="Times New Roman" w:hAnsi="Times New Roman" w:cs="Times New Roman"/>
          <w:bCs/>
          <w:sz w:val="24"/>
        </w:rPr>
        <w:t xml:space="preserve"> be  </w:t>
      </w:r>
      <w:r w:rsidR="00FC53BA" w:rsidRPr="00107FFE">
        <w:rPr>
          <w:rFonts w:ascii="Times New Roman" w:hAnsi="Times New Roman" w:cs="Times New Roman"/>
          <w:bCs/>
          <w:sz w:val="24"/>
        </w:rPr>
        <w:t xml:space="preserve">filled </w:t>
      </w:r>
      <w:r w:rsidRPr="00107FFE">
        <w:rPr>
          <w:rFonts w:ascii="Times New Roman" w:hAnsi="Times New Roman" w:cs="Times New Roman"/>
          <w:bCs/>
          <w:sz w:val="24"/>
        </w:rPr>
        <w:t xml:space="preserve">and this fact </w:t>
      </w:r>
      <w:r w:rsidR="00A95602" w:rsidRPr="00107FFE">
        <w:rPr>
          <w:rFonts w:ascii="Times New Roman" w:hAnsi="Times New Roman" w:cs="Times New Roman"/>
          <w:bCs/>
          <w:sz w:val="24"/>
        </w:rPr>
        <w:t>shall</w:t>
      </w:r>
      <w:r w:rsidRPr="00107FFE">
        <w:rPr>
          <w:rFonts w:ascii="Times New Roman" w:hAnsi="Times New Roman" w:cs="Times New Roman"/>
          <w:bCs/>
          <w:sz w:val="24"/>
        </w:rPr>
        <w:t xml:space="preserve"> be clearly disclosed</w:t>
      </w:r>
      <w:r w:rsidR="009702C5" w:rsidRPr="00107FFE">
        <w:rPr>
          <w:rFonts w:ascii="Times New Roman" w:hAnsi="Times New Roman" w:cs="Times New Roman"/>
          <w:bCs/>
          <w:sz w:val="24"/>
        </w:rPr>
        <w:t>:</w:t>
      </w:r>
    </w:p>
    <w:p w14:paraId="37C677D8" w14:textId="1B6247E1" w:rsidR="00E27884" w:rsidRPr="00E85018" w:rsidRDefault="009702C5" w:rsidP="00E85018">
      <w:pPr>
        <w:pStyle w:val="numberedparagraph"/>
        <w:numPr>
          <w:ilvl w:val="1"/>
          <w:numId w:val="12"/>
        </w:numPr>
        <w:ind w:left="709"/>
        <w:rPr>
          <w:rFonts w:ascii="Times New Roman" w:hAnsi="Times New Roman" w:cs="Times New Roman"/>
          <w:bCs/>
          <w:sz w:val="24"/>
        </w:rPr>
      </w:pPr>
      <w:proofErr w:type="gramStart"/>
      <w:r w:rsidRPr="00107FFE">
        <w:rPr>
          <w:rFonts w:ascii="Times New Roman" w:hAnsi="Times New Roman" w:cs="Times New Roman"/>
          <w:sz w:val="24"/>
        </w:rPr>
        <w:t xml:space="preserve">Where </w:t>
      </w:r>
      <w:r w:rsidR="0062489A" w:rsidRPr="00107FFE">
        <w:rPr>
          <w:rFonts w:ascii="Times New Roman" w:hAnsi="Times New Roman" w:cs="Times New Roman"/>
          <w:sz w:val="24"/>
        </w:rPr>
        <w:t>investment firms</w:t>
      </w:r>
      <w:r w:rsidRPr="00107FFE">
        <w:rPr>
          <w:rFonts w:ascii="Times New Roman" w:hAnsi="Times New Roman" w:cs="Times New Roman"/>
          <w:sz w:val="24"/>
        </w:rPr>
        <w:t xml:space="preserve"> comply with the obligations laid down in</w:t>
      </w:r>
      <w:r w:rsidR="002E4658" w:rsidRPr="00107FFE">
        <w:rPr>
          <w:rFonts w:ascii="Times New Roman" w:hAnsi="Times New Roman" w:cs="Times New Roman"/>
          <w:sz w:val="24"/>
        </w:rPr>
        <w:t xml:space="preserve"> </w:t>
      </w:r>
      <w:r w:rsidR="002E4658" w:rsidRPr="009E2F32">
        <w:rPr>
          <w:rFonts w:ascii="Times New Roman" w:hAnsi="Times New Roman" w:cs="Times New Roman"/>
          <w:sz w:val="24"/>
        </w:rPr>
        <w:t xml:space="preserve">Part </w:t>
      </w:r>
      <w:r w:rsidR="002E4658" w:rsidRPr="00217948">
        <w:rPr>
          <w:rFonts w:ascii="Times New Roman" w:hAnsi="Times New Roman" w:cs="Times New Roman"/>
          <w:sz w:val="24"/>
        </w:rPr>
        <w:t>Six</w:t>
      </w:r>
      <w:r w:rsidR="002E4658" w:rsidRPr="00107FFE">
        <w:rPr>
          <w:rFonts w:ascii="Times New Roman" w:hAnsi="Times New Roman" w:cs="Times New Roman"/>
          <w:sz w:val="24"/>
        </w:rPr>
        <w:t xml:space="preserve"> of </w:t>
      </w:r>
      <w:r w:rsidR="00A07858" w:rsidRPr="00107FFE">
        <w:rPr>
          <w:rFonts w:ascii="Times New Roman" w:hAnsi="Times New Roman" w:cs="Times New Roman"/>
          <w:sz w:val="24"/>
        </w:rPr>
        <w:t xml:space="preserve"> </w:t>
      </w:r>
      <w:r w:rsidR="00572850" w:rsidRPr="00107FFE">
        <w:rPr>
          <w:rFonts w:ascii="Times New Roman" w:hAnsi="Times New Roman" w:cs="Times New Roman"/>
          <w:sz w:val="24"/>
        </w:rPr>
        <w:t>IFR</w:t>
      </w:r>
      <w:r w:rsidR="002E4658" w:rsidRPr="00107FFE">
        <w:rPr>
          <w:rFonts w:ascii="Times New Roman" w:hAnsi="Times New Roman" w:cs="Times New Roman"/>
          <w:sz w:val="24"/>
        </w:rPr>
        <w:t xml:space="preserve"> on the prudential requirements of investment firms</w:t>
      </w:r>
      <w:r w:rsidR="00A07858" w:rsidRPr="00107FFE">
        <w:rPr>
          <w:rFonts w:ascii="Times New Roman" w:hAnsi="Times New Roman" w:cs="Times New Roman"/>
          <w:sz w:val="24"/>
        </w:rPr>
        <w:t xml:space="preserve"> </w:t>
      </w:r>
      <w:r w:rsidRPr="00107FFE">
        <w:rPr>
          <w:rFonts w:ascii="Times New Roman" w:hAnsi="Times New Roman" w:cs="Times New Roman"/>
          <w:sz w:val="24"/>
        </w:rPr>
        <w:t xml:space="preserve">on a consolidated but the scope of consolidation and the method for consolidation used for the balance sheet in the financial statements are identical to the scope of consolidation and the method for consolidation defined pursuant to </w:t>
      </w:r>
      <w:r w:rsidR="00A41A7E" w:rsidRPr="00107FFE">
        <w:rPr>
          <w:rFonts w:ascii="Times New Roman" w:hAnsi="Times New Roman" w:cs="Times New Roman"/>
          <w:sz w:val="24"/>
        </w:rPr>
        <w:t>Part One, Title II, Chapter 2 of Regulation (EU) No 2033/2019</w:t>
      </w:r>
      <w:r w:rsidRPr="00107FFE">
        <w:rPr>
          <w:rFonts w:ascii="Times New Roman" w:hAnsi="Times New Roman" w:cs="Times New Roman"/>
          <w:sz w:val="24"/>
        </w:rPr>
        <w:t xml:space="preserve">, and </w:t>
      </w:r>
      <w:r w:rsidR="0062489A" w:rsidRPr="00107FFE">
        <w:rPr>
          <w:rFonts w:ascii="Times New Roman" w:hAnsi="Times New Roman" w:cs="Times New Roman"/>
          <w:sz w:val="24"/>
        </w:rPr>
        <w:t>investment firms</w:t>
      </w:r>
      <w:r w:rsidRPr="00107FFE">
        <w:rPr>
          <w:rFonts w:ascii="Times New Roman" w:hAnsi="Times New Roman" w:cs="Times New Roman"/>
          <w:sz w:val="24"/>
        </w:rPr>
        <w:t xml:space="preserve"> clearly state the absence of differences between the respective scopes and methods for consolidation</w:t>
      </w:r>
      <w:r w:rsidR="00536C62" w:rsidRPr="00107FFE">
        <w:rPr>
          <w:rFonts w:ascii="Times New Roman" w:hAnsi="Times New Roman" w:cs="Times New Roman"/>
          <w:sz w:val="24"/>
        </w:rPr>
        <w:t xml:space="preserve"> in accompanying narrative to the template</w:t>
      </w:r>
      <w:r w:rsidRPr="00107FFE">
        <w:rPr>
          <w:rFonts w:ascii="Times New Roman" w:hAnsi="Times New Roman" w:cs="Times New Roman"/>
          <w:sz w:val="24"/>
        </w:rPr>
        <w:t>.</w:t>
      </w:r>
      <w:proofErr w:type="gramEnd"/>
    </w:p>
    <w:p w14:paraId="27145A91" w14:textId="68CBF27B" w:rsidR="009702C5" w:rsidRPr="00107FFE" w:rsidRDefault="009702C5" w:rsidP="00FC5DAA">
      <w:pPr>
        <w:pStyle w:val="numberedparagraph"/>
        <w:numPr>
          <w:ilvl w:val="1"/>
          <w:numId w:val="12"/>
        </w:numPr>
        <w:ind w:left="709"/>
        <w:rPr>
          <w:rFonts w:ascii="Times New Roman" w:hAnsi="Times New Roman" w:cs="Times New Roman"/>
          <w:bCs/>
          <w:sz w:val="24"/>
        </w:rPr>
      </w:pPr>
      <w:r w:rsidRPr="00107FFE">
        <w:rPr>
          <w:rFonts w:ascii="Times New Roman" w:hAnsi="Times New Roman" w:cs="Times New Roman"/>
          <w:sz w:val="24"/>
        </w:rPr>
        <w:t xml:space="preserve">Where </w:t>
      </w:r>
      <w:r w:rsidR="0062489A" w:rsidRPr="00107FFE">
        <w:rPr>
          <w:rFonts w:ascii="Times New Roman" w:hAnsi="Times New Roman" w:cs="Times New Roman"/>
          <w:sz w:val="24"/>
        </w:rPr>
        <w:t>investment firms</w:t>
      </w:r>
      <w:r w:rsidRPr="00107FFE">
        <w:rPr>
          <w:rFonts w:ascii="Times New Roman" w:hAnsi="Times New Roman" w:cs="Times New Roman"/>
          <w:sz w:val="24"/>
        </w:rPr>
        <w:t xml:space="preserve"> meet the ob</w:t>
      </w:r>
      <w:r w:rsidR="000B30B1" w:rsidRPr="00107FFE">
        <w:rPr>
          <w:rFonts w:ascii="Times New Roman" w:hAnsi="Times New Roman" w:cs="Times New Roman"/>
          <w:sz w:val="24"/>
        </w:rPr>
        <w:t xml:space="preserve">ligations laid down in Part Six </w:t>
      </w:r>
      <w:r w:rsidR="00B829D2">
        <w:rPr>
          <w:rFonts w:ascii="Times New Roman" w:hAnsi="Times New Roman" w:cs="Times New Roman"/>
          <w:sz w:val="24"/>
        </w:rPr>
        <w:t xml:space="preserve">IFR </w:t>
      </w:r>
      <w:r w:rsidRPr="00107FFE">
        <w:rPr>
          <w:rFonts w:ascii="Times New Roman" w:hAnsi="Times New Roman" w:cs="Times New Roman"/>
          <w:sz w:val="24"/>
        </w:rPr>
        <w:t>on an individual basis.</w:t>
      </w:r>
    </w:p>
    <w:p w14:paraId="06DC0524" w14:textId="4C3B96FA" w:rsidR="001B66D7" w:rsidRPr="00107FFE" w:rsidRDefault="001B66D7" w:rsidP="001B66D7">
      <w:pPr>
        <w:pStyle w:val="ListParagraph"/>
        <w:rPr>
          <w:rFonts w:ascii="Times New Roman" w:hAnsi="Times New Roman"/>
          <w:bCs/>
          <w:sz w:val="24"/>
          <w:szCs w:val="24"/>
        </w:rPr>
      </w:pPr>
    </w:p>
    <w:p w14:paraId="421E904A" w14:textId="36E9E4D5" w:rsidR="008C700B" w:rsidRPr="00107FFE" w:rsidRDefault="008C700B">
      <w:pPr>
        <w:rPr>
          <w:rFonts w:ascii="Times New Roman" w:hAnsi="Times New Roman" w:cs="Times New Roman"/>
          <w:b/>
          <w:sz w:val="24"/>
        </w:rPr>
      </w:pPr>
      <w:r w:rsidRPr="00107FFE">
        <w:rPr>
          <w:rFonts w:ascii="Times New Roman" w:hAnsi="Times New Roman" w:cs="Times New Roman"/>
          <w:b/>
          <w:sz w:val="24"/>
        </w:rPr>
        <w:br w:type="page"/>
      </w:r>
    </w:p>
    <w:p w14:paraId="3C3B8C28" w14:textId="366B81C1" w:rsidR="004D7854" w:rsidRPr="00107FFE" w:rsidRDefault="00BE4814" w:rsidP="004D7854">
      <w:pPr>
        <w:rPr>
          <w:rFonts w:ascii="Times New Roman" w:hAnsi="Times New Roman" w:cs="Times New Roman"/>
          <w:b/>
          <w:bCs/>
          <w:sz w:val="24"/>
        </w:rPr>
      </w:pPr>
      <w:r w:rsidRPr="00107FFE">
        <w:rPr>
          <w:rFonts w:ascii="Times New Roman" w:hAnsi="Times New Roman" w:cs="Times New Roman"/>
          <w:b/>
          <w:bCs/>
          <w:sz w:val="24"/>
        </w:rPr>
        <w:lastRenderedPageBreak/>
        <w:t xml:space="preserve">Table </w:t>
      </w:r>
      <w:r w:rsidR="00C32777" w:rsidRPr="00107FFE">
        <w:rPr>
          <w:rFonts w:ascii="Times New Roman" w:hAnsi="Times New Roman" w:cs="Times New Roman"/>
          <w:b/>
          <w:bCs/>
          <w:sz w:val="24"/>
        </w:rPr>
        <w:t xml:space="preserve">EU </w:t>
      </w:r>
      <w:r w:rsidR="000B30B1" w:rsidRPr="00107FFE">
        <w:rPr>
          <w:rFonts w:ascii="Times New Roman" w:hAnsi="Times New Roman" w:cs="Times New Roman"/>
          <w:b/>
          <w:bCs/>
          <w:sz w:val="24"/>
        </w:rPr>
        <w:t>IF CCA</w:t>
      </w:r>
      <w:r w:rsidR="00241556" w:rsidRPr="00107FFE">
        <w:rPr>
          <w:rFonts w:ascii="Times New Roman" w:hAnsi="Times New Roman" w:cs="Times New Roman"/>
          <w:b/>
          <w:bCs/>
          <w:sz w:val="24"/>
        </w:rPr>
        <w:t xml:space="preserve"> – Main features of regulatory </w:t>
      </w:r>
      <w:r w:rsidR="00133881" w:rsidRPr="00107FFE">
        <w:rPr>
          <w:rFonts w:ascii="Times New Roman" w:hAnsi="Times New Roman" w:cs="Times New Roman"/>
          <w:b/>
          <w:bCs/>
          <w:sz w:val="24"/>
        </w:rPr>
        <w:t xml:space="preserve">own funds </w:t>
      </w:r>
      <w:r w:rsidR="00241556" w:rsidRPr="00107FFE">
        <w:rPr>
          <w:rFonts w:ascii="Times New Roman" w:hAnsi="Times New Roman" w:cs="Times New Roman"/>
          <w:b/>
          <w:bCs/>
          <w:sz w:val="24"/>
        </w:rPr>
        <w:t>instruments and eligible liabilities instruments.</w:t>
      </w:r>
    </w:p>
    <w:p w14:paraId="537CA575" w14:textId="77777777" w:rsidR="004D7854" w:rsidRPr="00107FFE" w:rsidRDefault="004D7854" w:rsidP="004D7854">
      <w:pPr>
        <w:rPr>
          <w:rFonts w:ascii="Times New Roman" w:hAnsi="Times New Roman" w:cs="Times New Roman"/>
          <w:b/>
          <w:bCs/>
          <w:sz w:val="24"/>
        </w:rPr>
      </w:pPr>
    </w:p>
    <w:p w14:paraId="290CFE39" w14:textId="037A3F07" w:rsidR="009658DE" w:rsidRPr="00107FFE" w:rsidRDefault="0062489A" w:rsidP="00FC5DAA">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Investment firms</w:t>
      </w:r>
      <w:r w:rsidR="009658DE" w:rsidRPr="00107FFE">
        <w:rPr>
          <w:rFonts w:ascii="Times New Roman" w:hAnsi="Times New Roman" w:cs="Times New Roman"/>
          <w:bCs/>
          <w:sz w:val="24"/>
        </w:rPr>
        <w:t xml:space="preserve"> shall apply the instructions provided in this Annex in order to complete </w:t>
      </w:r>
      <w:r w:rsidR="00BE4814" w:rsidRPr="00107FFE">
        <w:rPr>
          <w:rFonts w:ascii="Times New Roman" w:hAnsi="Times New Roman" w:cs="Times New Roman"/>
          <w:bCs/>
          <w:sz w:val="24"/>
        </w:rPr>
        <w:t>table</w:t>
      </w:r>
      <w:r w:rsidR="009658DE" w:rsidRPr="00107FFE">
        <w:rPr>
          <w:rFonts w:ascii="Times New Roman" w:hAnsi="Times New Roman" w:cs="Times New Roman"/>
          <w:bCs/>
          <w:sz w:val="24"/>
        </w:rPr>
        <w:t xml:space="preserve"> </w:t>
      </w:r>
      <w:r w:rsidR="00123F9E" w:rsidRPr="00107FFE">
        <w:rPr>
          <w:rFonts w:ascii="Times New Roman" w:hAnsi="Times New Roman" w:cs="Times New Roman"/>
          <w:bCs/>
          <w:sz w:val="24"/>
        </w:rPr>
        <w:t xml:space="preserve">EU </w:t>
      </w:r>
      <w:r w:rsidR="000B30B1" w:rsidRPr="00107FFE">
        <w:rPr>
          <w:rFonts w:ascii="Times New Roman" w:hAnsi="Times New Roman" w:cs="Times New Roman"/>
          <w:bCs/>
          <w:sz w:val="24"/>
        </w:rPr>
        <w:t>IF CCA</w:t>
      </w:r>
      <w:r w:rsidR="00A07858" w:rsidRPr="00107FFE">
        <w:rPr>
          <w:rFonts w:ascii="Times New Roman" w:hAnsi="Times New Roman" w:cs="Times New Roman"/>
          <w:bCs/>
          <w:sz w:val="24"/>
        </w:rPr>
        <w:t xml:space="preserve"> </w:t>
      </w:r>
      <w:r w:rsidR="009658DE" w:rsidRPr="00107FFE">
        <w:rPr>
          <w:rFonts w:ascii="Times New Roman" w:hAnsi="Times New Roman" w:cs="Times New Roman"/>
          <w:bCs/>
          <w:sz w:val="24"/>
        </w:rPr>
        <w:t>as presented</w:t>
      </w:r>
      <w:r w:rsidR="00267DE1" w:rsidRPr="00107FFE">
        <w:rPr>
          <w:rFonts w:ascii="Times New Roman" w:hAnsi="Times New Roman" w:cs="Times New Roman"/>
          <w:bCs/>
          <w:sz w:val="24"/>
        </w:rPr>
        <w:t xml:space="preserve"> in Annex </w:t>
      </w:r>
      <w:r w:rsidR="00572850" w:rsidRPr="00107FFE">
        <w:rPr>
          <w:rFonts w:ascii="Times New Roman" w:hAnsi="Times New Roman" w:cs="Times New Roman"/>
          <w:bCs/>
          <w:sz w:val="24"/>
        </w:rPr>
        <w:t>VI</w:t>
      </w:r>
      <w:r w:rsidR="00516D85" w:rsidRPr="00107FFE">
        <w:rPr>
          <w:rFonts w:ascii="Times New Roman" w:hAnsi="Times New Roman" w:cs="Times New Roman"/>
          <w:bCs/>
          <w:sz w:val="24"/>
        </w:rPr>
        <w:t>, according to Article</w:t>
      </w:r>
      <w:r w:rsidR="000B30B1" w:rsidRPr="00107FFE">
        <w:rPr>
          <w:rFonts w:ascii="Times New Roman" w:hAnsi="Times New Roman" w:cs="Times New Roman"/>
          <w:bCs/>
          <w:sz w:val="24"/>
        </w:rPr>
        <w:t xml:space="preserve"> 49 (1)(b</w:t>
      </w:r>
      <w:r w:rsidR="00516D85" w:rsidRPr="00107FFE">
        <w:rPr>
          <w:rFonts w:ascii="Times New Roman" w:hAnsi="Times New Roman" w:cs="Times New Roman"/>
          <w:bCs/>
          <w:sz w:val="24"/>
        </w:rPr>
        <w:t xml:space="preserve">) </w:t>
      </w:r>
      <w:r w:rsidR="00B829D2">
        <w:rPr>
          <w:rFonts w:ascii="Times New Roman" w:hAnsi="Times New Roman" w:cs="Times New Roman"/>
          <w:bCs/>
          <w:sz w:val="24"/>
        </w:rPr>
        <w:t>IFR</w:t>
      </w:r>
      <w:r w:rsidR="00516D85" w:rsidRPr="00107FFE">
        <w:rPr>
          <w:rFonts w:ascii="Times New Roman" w:hAnsi="Times New Roman" w:cs="Times New Roman"/>
          <w:bCs/>
          <w:sz w:val="24"/>
        </w:rPr>
        <w:t>.</w:t>
      </w:r>
    </w:p>
    <w:p w14:paraId="72141E91" w14:textId="12A437DC" w:rsidR="009658DE" w:rsidRPr="00107FFE" w:rsidRDefault="0062489A" w:rsidP="000B30B1">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Investment firms</w:t>
      </w:r>
      <w:r w:rsidR="009658DE" w:rsidRPr="00107FFE">
        <w:rPr>
          <w:rFonts w:ascii="Times New Roman" w:hAnsi="Times New Roman" w:cs="Times New Roman"/>
          <w:bCs/>
          <w:sz w:val="24"/>
        </w:rPr>
        <w:t xml:space="preserve"> shall complete </w:t>
      </w:r>
      <w:r w:rsidR="00BE4814" w:rsidRPr="00107FFE">
        <w:rPr>
          <w:rFonts w:ascii="Times New Roman" w:hAnsi="Times New Roman" w:cs="Times New Roman"/>
          <w:bCs/>
          <w:sz w:val="24"/>
        </w:rPr>
        <w:t>table</w:t>
      </w:r>
      <w:r w:rsidR="00A07858" w:rsidRPr="00107FFE">
        <w:rPr>
          <w:rFonts w:ascii="Times New Roman" w:hAnsi="Times New Roman" w:cs="Times New Roman"/>
          <w:bCs/>
          <w:sz w:val="24"/>
        </w:rPr>
        <w:t xml:space="preserve"> </w:t>
      </w:r>
      <w:r w:rsidR="000B30B1" w:rsidRPr="00107FFE">
        <w:rPr>
          <w:rFonts w:ascii="Times New Roman" w:hAnsi="Times New Roman" w:cs="Times New Roman"/>
          <w:bCs/>
          <w:sz w:val="24"/>
        </w:rPr>
        <w:t>EU IF CCA</w:t>
      </w:r>
      <w:r w:rsidR="00BE4814" w:rsidRPr="00107FFE">
        <w:rPr>
          <w:rFonts w:ascii="Times New Roman" w:hAnsi="Times New Roman" w:cs="Times New Roman"/>
          <w:bCs/>
          <w:sz w:val="24"/>
        </w:rPr>
        <w:t xml:space="preserve"> </w:t>
      </w:r>
      <w:r w:rsidR="009658DE" w:rsidRPr="00107FFE">
        <w:rPr>
          <w:rFonts w:ascii="Times New Roman" w:hAnsi="Times New Roman" w:cs="Times New Roman"/>
          <w:bCs/>
          <w:sz w:val="24"/>
        </w:rPr>
        <w:t>for the following categories: Common Equity Tier 1 instruments, Additional Tier 1 instruments</w:t>
      </w:r>
      <w:r w:rsidR="008A482F" w:rsidRPr="00107FFE">
        <w:rPr>
          <w:rFonts w:ascii="Times New Roman" w:hAnsi="Times New Roman" w:cs="Times New Roman"/>
          <w:bCs/>
          <w:sz w:val="24"/>
        </w:rPr>
        <w:t xml:space="preserve"> and</w:t>
      </w:r>
      <w:r w:rsidR="009658DE" w:rsidRPr="00107FFE">
        <w:rPr>
          <w:rFonts w:ascii="Times New Roman" w:hAnsi="Times New Roman" w:cs="Times New Roman"/>
          <w:bCs/>
          <w:sz w:val="24"/>
        </w:rPr>
        <w:t xml:space="preserve"> Tier 2 instruments.</w:t>
      </w:r>
    </w:p>
    <w:p w14:paraId="6865D701" w14:textId="294371EC" w:rsidR="009658DE" w:rsidRPr="00107FFE" w:rsidRDefault="009658DE" w:rsidP="00FC5DAA">
      <w:pPr>
        <w:numPr>
          <w:ilvl w:val="0"/>
          <w:numId w:val="11"/>
        </w:numPr>
        <w:spacing w:before="120" w:after="120"/>
        <w:ind w:left="357" w:hanging="357"/>
        <w:jc w:val="both"/>
        <w:rPr>
          <w:rFonts w:ascii="Times New Roman" w:hAnsi="Times New Roman" w:cs="Times New Roman"/>
          <w:bCs/>
          <w:sz w:val="24"/>
        </w:rPr>
      </w:pPr>
      <w:r w:rsidRPr="00107FFE">
        <w:rPr>
          <w:rFonts w:ascii="Times New Roman" w:hAnsi="Times New Roman" w:cs="Times New Roman"/>
          <w:bCs/>
          <w:sz w:val="24"/>
        </w:rPr>
        <w:t xml:space="preserve">The </w:t>
      </w:r>
      <w:r w:rsidR="00BE4814" w:rsidRPr="00107FFE">
        <w:rPr>
          <w:rFonts w:ascii="Times New Roman" w:hAnsi="Times New Roman" w:cs="Times New Roman"/>
          <w:bCs/>
          <w:sz w:val="24"/>
        </w:rPr>
        <w:t xml:space="preserve">tables </w:t>
      </w:r>
      <w:r w:rsidRPr="00107FFE">
        <w:rPr>
          <w:rFonts w:ascii="Times New Roman" w:hAnsi="Times New Roman" w:cs="Times New Roman"/>
          <w:bCs/>
          <w:sz w:val="24"/>
        </w:rPr>
        <w:t xml:space="preserve">shall comprise </w:t>
      </w:r>
      <w:r w:rsidR="001C4DBD" w:rsidRPr="00107FFE">
        <w:rPr>
          <w:rFonts w:ascii="Times New Roman" w:hAnsi="Times New Roman" w:cs="Times New Roman"/>
          <w:bCs/>
          <w:sz w:val="24"/>
        </w:rPr>
        <w:t xml:space="preserve">separate </w:t>
      </w:r>
      <w:r w:rsidRPr="00107FFE">
        <w:rPr>
          <w:rFonts w:ascii="Times New Roman" w:hAnsi="Times New Roman" w:cs="Times New Roman"/>
          <w:bCs/>
          <w:sz w:val="24"/>
        </w:rPr>
        <w:t>columns with the features of</w:t>
      </w:r>
      <w:r w:rsidR="001C4DBD" w:rsidRPr="00107FFE">
        <w:rPr>
          <w:rFonts w:ascii="Times New Roman" w:hAnsi="Times New Roman" w:cs="Times New Roman"/>
          <w:bCs/>
          <w:sz w:val="24"/>
        </w:rPr>
        <w:t xml:space="preserve"> each</w:t>
      </w:r>
      <w:r w:rsidRPr="00107FFE">
        <w:rPr>
          <w:rFonts w:ascii="Times New Roman" w:hAnsi="Times New Roman" w:cs="Times New Roman"/>
          <w:bCs/>
          <w:sz w:val="24"/>
        </w:rPr>
        <w:t xml:space="preserve"> </w:t>
      </w:r>
      <w:r w:rsidR="00DB0E3D" w:rsidRPr="00107FFE">
        <w:rPr>
          <w:rFonts w:ascii="Times New Roman" w:hAnsi="Times New Roman" w:cs="Times New Roman"/>
          <w:bCs/>
          <w:sz w:val="24"/>
        </w:rPr>
        <w:t xml:space="preserve">regulatory </w:t>
      </w:r>
      <w:r w:rsidR="00516D85" w:rsidRPr="00107FFE">
        <w:rPr>
          <w:rFonts w:ascii="Times New Roman" w:hAnsi="Times New Roman" w:cs="Times New Roman"/>
          <w:bCs/>
          <w:sz w:val="24"/>
        </w:rPr>
        <w:t>own fund instruments</w:t>
      </w:r>
      <w:r w:rsidRPr="00107FFE">
        <w:rPr>
          <w:rFonts w:ascii="Times New Roman" w:hAnsi="Times New Roman" w:cs="Times New Roman"/>
          <w:bCs/>
          <w:sz w:val="24"/>
        </w:rPr>
        <w:t>. In cases where</w:t>
      </w:r>
      <w:r w:rsidR="001C4DBD" w:rsidRPr="00107FFE">
        <w:rPr>
          <w:rFonts w:ascii="Times New Roman" w:hAnsi="Times New Roman" w:cs="Times New Roman"/>
          <w:bCs/>
          <w:sz w:val="24"/>
        </w:rPr>
        <w:t xml:space="preserve"> </w:t>
      </w:r>
      <w:r w:rsidR="00DB0E3D" w:rsidRPr="00107FFE">
        <w:rPr>
          <w:rFonts w:ascii="Times New Roman" w:hAnsi="Times New Roman" w:cs="Times New Roman"/>
          <w:bCs/>
          <w:sz w:val="24"/>
        </w:rPr>
        <w:t xml:space="preserve">different </w:t>
      </w:r>
      <w:r w:rsidRPr="00107FFE">
        <w:rPr>
          <w:rFonts w:ascii="Times New Roman" w:hAnsi="Times New Roman" w:cs="Times New Roman"/>
          <w:bCs/>
          <w:sz w:val="24"/>
        </w:rPr>
        <w:t>instruments of</w:t>
      </w:r>
      <w:r w:rsidR="00536C62" w:rsidRPr="00107FFE">
        <w:rPr>
          <w:rFonts w:ascii="Times New Roman" w:hAnsi="Times New Roman" w:cs="Times New Roman"/>
          <w:bCs/>
          <w:sz w:val="24"/>
        </w:rPr>
        <w:t xml:space="preserve"> </w:t>
      </w:r>
      <w:r w:rsidRPr="00107FFE">
        <w:rPr>
          <w:rFonts w:ascii="Times New Roman" w:hAnsi="Times New Roman" w:cs="Times New Roman"/>
          <w:bCs/>
          <w:sz w:val="24"/>
        </w:rPr>
        <w:t xml:space="preserve">a same category have identical features, </w:t>
      </w:r>
      <w:r w:rsidR="0062489A" w:rsidRPr="00107FFE">
        <w:rPr>
          <w:rFonts w:ascii="Times New Roman" w:hAnsi="Times New Roman" w:cs="Times New Roman"/>
          <w:bCs/>
          <w:sz w:val="24"/>
        </w:rPr>
        <w:t>investment firms</w:t>
      </w:r>
      <w:r w:rsidRPr="00107FFE">
        <w:rPr>
          <w:rFonts w:ascii="Times New Roman" w:hAnsi="Times New Roman" w:cs="Times New Roman"/>
          <w:bCs/>
          <w:sz w:val="24"/>
        </w:rPr>
        <w:t xml:space="preserve"> may complete only one column disclosing these identical features and identify the issuances to which the identical features refer.</w:t>
      </w:r>
      <w:r w:rsidR="001C4DBD" w:rsidRPr="00107FFE">
        <w:rPr>
          <w:rFonts w:ascii="Times New Roman" w:hAnsi="Times New Roman" w:cs="Times New Roman"/>
          <w:bCs/>
          <w:sz w:val="24"/>
        </w:rPr>
        <w:tab/>
      </w:r>
    </w:p>
    <w:p w14:paraId="4E71F401" w14:textId="4F300DD3" w:rsidR="008E0B40" w:rsidRPr="00107FFE" w:rsidRDefault="008E0B40" w:rsidP="00E078B5">
      <w:pPr>
        <w:spacing w:before="120" w:after="120"/>
        <w:jc w:val="both"/>
        <w:rPr>
          <w:rFonts w:ascii="Times New Roman" w:hAnsi="Times New Roman" w:cs="Times New Roman"/>
          <w:bCs/>
          <w:sz w:val="24"/>
        </w:rPr>
      </w:pPr>
    </w:p>
    <w:p w14:paraId="25F640E5" w14:textId="77777777" w:rsidR="009658DE" w:rsidRPr="00107FFE" w:rsidRDefault="009658DE" w:rsidP="009658DE">
      <w:pPr>
        <w:rPr>
          <w:rFonts w:ascii="Times New Roman" w:hAnsi="Times New Roman" w:cs="Times New Roman"/>
          <w:sz w:val="24"/>
        </w:rPr>
      </w:pP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7661"/>
      </w:tblGrid>
      <w:tr w:rsidR="009658DE" w:rsidRPr="00107FFE" w14:paraId="524B5BB4" w14:textId="77777777" w:rsidTr="00E1293C">
        <w:trPr>
          <w:trHeight w:val="259"/>
        </w:trPr>
        <w:tc>
          <w:tcPr>
            <w:tcW w:w="8691" w:type="dxa"/>
            <w:gridSpan w:val="2"/>
            <w:shd w:val="clear" w:color="auto" w:fill="D9D9D9" w:themeFill="background1" w:themeFillShade="D9"/>
          </w:tcPr>
          <w:p w14:paraId="73244A82" w14:textId="42796C39" w:rsidR="009658DE" w:rsidRPr="00107FFE" w:rsidRDefault="009658DE" w:rsidP="00516D85">
            <w:pPr>
              <w:rPr>
                <w:rFonts w:ascii="Times New Roman" w:eastAsia="Times New Roman" w:hAnsi="Times New Roman" w:cs="Times New Roman"/>
                <w:b/>
                <w:bCs/>
                <w:color w:val="000000"/>
                <w:sz w:val="24"/>
                <w:lang w:val="en-GB" w:eastAsia="ja-JP"/>
              </w:rPr>
            </w:pPr>
            <w:r w:rsidRPr="00107FFE">
              <w:rPr>
                <w:rFonts w:ascii="Times New Roman" w:eastAsia="Times New Roman" w:hAnsi="Times New Roman" w:cs="Times New Roman"/>
                <w:b/>
                <w:bCs/>
                <w:color w:val="000000"/>
                <w:sz w:val="24"/>
                <w:lang w:val="en-GB" w:eastAsia="ja-JP"/>
              </w:rPr>
              <w:t xml:space="preserve">Instructions for completing the </w:t>
            </w:r>
            <w:r w:rsidR="00516D85" w:rsidRPr="00107FFE">
              <w:rPr>
                <w:rFonts w:ascii="Times New Roman" w:eastAsia="Times New Roman" w:hAnsi="Times New Roman" w:cs="Times New Roman"/>
                <w:b/>
                <w:bCs/>
                <w:color w:val="000000"/>
                <w:sz w:val="24"/>
                <w:lang w:val="en-GB" w:eastAsia="ja-JP"/>
              </w:rPr>
              <w:t xml:space="preserve">regulatory own funds </w:t>
            </w:r>
            <w:r w:rsidR="009B6F48" w:rsidRPr="00107FFE">
              <w:rPr>
                <w:rFonts w:ascii="Times New Roman" w:eastAsia="Times New Roman" w:hAnsi="Times New Roman" w:cs="Times New Roman"/>
                <w:b/>
                <w:bCs/>
                <w:color w:val="000000"/>
                <w:sz w:val="24"/>
                <w:lang w:val="en-GB" w:eastAsia="ja-JP"/>
              </w:rPr>
              <w:t xml:space="preserve">and eligible liabilities </w:t>
            </w:r>
            <w:r w:rsidRPr="00107FFE">
              <w:rPr>
                <w:rFonts w:ascii="Times New Roman" w:eastAsia="Times New Roman" w:hAnsi="Times New Roman" w:cs="Times New Roman"/>
                <w:b/>
                <w:bCs/>
                <w:color w:val="000000"/>
                <w:sz w:val="24"/>
                <w:lang w:val="en-GB" w:eastAsia="ja-JP"/>
              </w:rPr>
              <w:t xml:space="preserve">instruments main features </w:t>
            </w:r>
            <w:r w:rsidR="00BE4814" w:rsidRPr="00107FFE">
              <w:rPr>
                <w:rFonts w:ascii="Times New Roman" w:eastAsia="Times New Roman" w:hAnsi="Times New Roman" w:cs="Times New Roman"/>
                <w:b/>
                <w:bCs/>
                <w:color w:val="000000"/>
                <w:sz w:val="24"/>
                <w:lang w:val="en-GB" w:eastAsia="ja-JP"/>
              </w:rPr>
              <w:t>table</w:t>
            </w:r>
          </w:p>
        </w:tc>
      </w:tr>
      <w:tr w:rsidR="00516D85" w:rsidRPr="00107FFE" w14:paraId="30732083" w14:textId="77777777" w:rsidTr="00E1293C">
        <w:trPr>
          <w:trHeight w:val="259"/>
        </w:trPr>
        <w:tc>
          <w:tcPr>
            <w:tcW w:w="1030" w:type="dxa"/>
            <w:shd w:val="clear" w:color="auto" w:fill="D9D9D9" w:themeFill="background1" w:themeFillShade="D9"/>
            <w:vAlign w:val="center"/>
          </w:tcPr>
          <w:p w14:paraId="578DA64A" w14:textId="398417E2" w:rsidR="00516D85" w:rsidRPr="00107FFE" w:rsidRDefault="00516D85" w:rsidP="00123F9E">
            <w:pPr>
              <w:rPr>
                <w:rFonts w:ascii="Times New Roman" w:eastAsia="Times New Roman" w:hAnsi="Times New Roman" w:cs="Times New Roman"/>
                <w:b/>
                <w:bCs/>
                <w:color w:val="000000"/>
                <w:sz w:val="24"/>
                <w:lang w:val="en-GB" w:eastAsia="ja-JP"/>
              </w:rPr>
            </w:pPr>
            <w:r w:rsidRPr="00107FFE">
              <w:rPr>
                <w:rFonts w:ascii="Times New Roman" w:eastAsia="Times New Roman" w:hAnsi="Times New Roman" w:cs="Times New Roman"/>
                <w:b/>
                <w:bCs/>
                <w:color w:val="000000"/>
                <w:sz w:val="24"/>
                <w:lang w:val="en-GB" w:eastAsia="ja-JP"/>
              </w:rPr>
              <w:t>Row number</w:t>
            </w:r>
          </w:p>
        </w:tc>
        <w:tc>
          <w:tcPr>
            <w:tcW w:w="7661" w:type="dxa"/>
            <w:shd w:val="clear" w:color="auto" w:fill="D9D9D9" w:themeFill="background1" w:themeFillShade="D9"/>
            <w:noWrap/>
            <w:vAlign w:val="bottom"/>
          </w:tcPr>
          <w:p w14:paraId="70315ABE" w14:textId="07C959BF" w:rsidR="00516D85" w:rsidRPr="00107FFE" w:rsidRDefault="00516D85" w:rsidP="00123F9E">
            <w:pPr>
              <w:rPr>
                <w:rFonts w:ascii="Times New Roman" w:eastAsia="Times New Roman" w:hAnsi="Times New Roman" w:cs="Times New Roman"/>
                <w:b/>
                <w:bCs/>
                <w:color w:val="000000"/>
                <w:sz w:val="24"/>
                <w:lang w:val="en-GB" w:eastAsia="ja-JP"/>
              </w:rPr>
            </w:pPr>
            <w:r w:rsidRPr="00107FFE">
              <w:rPr>
                <w:rFonts w:ascii="Times New Roman" w:eastAsia="Times New Roman" w:hAnsi="Times New Roman" w:cs="Times New Roman"/>
                <w:b/>
                <w:bCs/>
                <w:color w:val="000000"/>
                <w:sz w:val="24"/>
                <w:lang w:val="en-GB" w:eastAsia="ja-JP"/>
              </w:rPr>
              <w:t>Explanation</w:t>
            </w:r>
          </w:p>
        </w:tc>
      </w:tr>
      <w:tr w:rsidR="00C60DFD" w:rsidRPr="00107FFE" w14:paraId="3EBF7E04" w14:textId="77777777" w:rsidTr="00E1293C">
        <w:trPr>
          <w:trHeight w:val="259"/>
        </w:trPr>
        <w:tc>
          <w:tcPr>
            <w:tcW w:w="1030" w:type="dxa"/>
            <w:vAlign w:val="center"/>
          </w:tcPr>
          <w:p w14:paraId="3009F99C" w14:textId="79C6BD21"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w:t>
            </w:r>
          </w:p>
        </w:tc>
        <w:tc>
          <w:tcPr>
            <w:tcW w:w="7661" w:type="dxa"/>
            <w:shd w:val="clear" w:color="auto" w:fill="auto"/>
            <w:noWrap/>
            <w:vAlign w:val="bottom"/>
          </w:tcPr>
          <w:p w14:paraId="2817A8AF" w14:textId="7BFB05B9" w:rsidR="00572850" w:rsidRPr="00107FFE" w:rsidRDefault="00572850"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Issuer</w:t>
            </w:r>
          </w:p>
          <w:p w14:paraId="09B99AC2" w14:textId="3D6D6064"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Identifies issuer legal entity.</w:t>
            </w:r>
          </w:p>
          <w:p w14:paraId="3072CA16"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C60DFD" w:rsidRPr="00107FFE" w14:paraId="632AB141" w14:textId="77777777" w:rsidTr="00E1293C">
        <w:trPr>
          <w:trHeight w:val="259"/>
        </w:trPr>
        <w:tc>
          <w:tcPr>
            <w:tcW w:w="1030" w:type="dxa"/>
            <w:vAlign w:val="center"/>
          </w:tcPr>
          <w:p w14:paraId="535238FE" w14:textId="71AB947B"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w:t>
            </w:r>
          </w:p>
        </w:tc>
        <w:tc>
          <w:tcPr>
            <w:tcW w:w="7661" w:type="dxa"/>
            <w:shd w:val="clear" w:color="auto" w:fill="auto"/>
            <w:noWrap/>
            <w:vAlign w:val="bottom"/>
          </w:tcPr>
          <w:p w14:paraId="48AF8E03" w14:textId="73B4D615" w:rsidR="00572850" w:rsidRPr="00107FFE" w:rsidRDefault="00572850"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Unique identifier (e.g. CUSIP, ISIN or Bloomberg identifier for private placement)</w:t>
            </w:r>
          </w:p>
          <w:p w14:paraId="14614470" w14:textId="4D942DD8"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Unique identifier (e.g. CUSIP, ISIN or Bloomberg identifier for private placement).</w:t>
            </w:r>
          </w:p>
          <w:p w14:paraId="728B4032" w14:textId="77777777"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i/>
                <w:sz w:val="24"/>
                <w:lang w:eastAsia="ja-JP"/>
              </w:rPr>
              <w:t>Free text</w:t>
            </w:r>
          </w:p>
        </w:tc>
      </w:tr>
      <w:tr w:rsidR="00C60DFD" w:rsidRPr="00107FFE" w14:paraId="5E8C812B" w14:textId="77777777" w:rsidTr="00E1293C">
        <w:trPr>
          <w:trHeight w:val="259"/>
        </w:trPr>
        <w:tc>
          <w:tcPr>
            <w:tcW w:w="1030" w:type="dxa"/>
            <w:vAlign w:val="center"/>
          </w:tcPr>
          <w:p w14:paraId="13E1B407" w14:textId="744E49CC"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w:t>
            </w:r>
          </w:p>
        </w:tc>
        <w:tc>
          <w:tcPr>
            <w:tcW w:w="7661" w:type="dxa"/>
            <w:shd w:val="clear" w:color="auto" w:fill="auto"/>
            <w:noWrap/>
            <w:vAlign w:val="bottom"/>
          </w:tcPr>
          <w:p w14:paraId="5FDD6C81" w14:textId="7C05E992" w:rsidR="00572850" w:rsidRPr="00107FFE" w:rsidRDefault="00572850" w:rsidP="00C60DFD">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Public or private placement</w:t>
            </w:r>
          </w:p>
          <w:p w14:paraId="54C41C3A" w14:textId="7385676B" w:rsidR="00C60DFD" w:rsidRPr="00107FFE" w:rsidRDefault="00C60DFD" w:rsidP="00C60DFD">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if the instrument </w:t>
            </w:r>
            <w:proofErr w:type="gramStart"/>
            <w:r w:rsidRPr="00107FFE">
              <w:rPr>
                <w:rFonts w:ascii="Times New Roman" w:eastAsia="Times New Roman" w:hAnsi="Times New Roman" w:cs="Times New Roman"/>
                <w:sz w:val="24"/>
                <w:lang w:eastAsia="ja-JP"/>
              </w:rPr>
              <w:t>has been publicly or privately placed</w:t>
            </w:r>
            <w:proofErr w:type="gramEnd"/>
            <w:r w:rsidRPr="00107FFE">
              <w:rPr>
                <w:rFonts w:ascii="Times New Roman" w:eastAsia="Times New Roman" w:hAnsi="Times New Roman" w:cs="Times New Roman"/>
                <w:sz w:val="24"/>
                <w:lang w:eastAsia="ja-JP"/>
              </w:rPr>
              <w:t>.</w:t>
            </w:r>
          </w:p>
          <w:p w14:paraId="027BB2F1" w14:textId="77777777"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i/>
                <w:sz w:val="24"/>
                <w:lang w:eastAsia="ja-JP"/>
              </w:rPr>
              <w:t>Select from menu: [Public] [Private]</w:t>
            </w:r>
          </w:p>
        </w:tc>
      </w:tr>
      <w:tr w:rsidR="00C60DFD" w:rsidRPr="00107FFE" w14:paraId="0BA4119C" w14:textId="77777777" w:rsidTr="00E1293C">
        <w:trPr>
          <w:trHeight w:val="259"/>
        </w:trPr>
        <w:tc>
          <w:tcPr>
            <w:tcW w:w="1030" w:type="dxa"/>
            <w:vAlign w:val="center"/>
          </w:tcPr>
          <w:p w14:paraId="77DEE473" w14:textId="0500D4E1"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4</w:t>
            </w:r>
          </w:p>
        </w:tc>
        <w:tc>
          <w:tcPr>
            <w:tcW w:w="7661" w:type="dxa"/>
            <w:shd w:val="clear" w:color="auto" w:fill="auto"/>
            <w:noWrap/>
            <w:vAlign w:val="bottom"/>
          </w:tcPr>
          <w:p w14:paraId="669086F3" w14:textId="0649D644" w:rsidR="00F117AF" w:rsidRPr="00107FFE" w:rsidRDefault="00F117AF" w:rsidP="00C60DFD">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Governing law(s) of the instrument</w:t>
            </w:r>
          </w:p>
          <w:p w14:paraId="3CEF07D0" w14:textId="427A3D5A" w:rsidR="00C60DFD" w:rsidRPr="00107FFE" w:rsidRDefault="00C60DFD" w:rsidP="00C60DFD">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the governing law(s) of the instrument. </w:t>
            </w:r>
          </w:p>
          <w:p w14:paraId="390B901A"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 xml:space="preserve">Free text </w:t>
            </w:r>
          </w:p>
        </w:tc>
      </w:tr>
      <w:tr w:rsidR="00C60DFD" w:rsidRPr="00107FFE" w14:paraId="34702AA9" w14:textId="77777777" w:rsidTr="00E1293C">
        <w:trPr>
          <w:trHeight w:val="259"/>
        </w:trPr>
        <w:tc>
          <w:tcPr>
            <w:tcW w:w="1030" w:type="dxa"/>
            <w:vAlign w:val="center"/>
          </w:tcPr>
          <w:p w14:paraId="688C11D5" w14:textId="17C74295"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5</w:t>
            </w:r>
          </w:p>
        </w:tc>
        <w:tc>
          <w:tcPr>
            <w:tcW w:w="7661" w:type="dxa"/>
            <w:shd w:val="clear" w:color="auto" w:fill="auto"/>
            <w:noWrap/>
            <w:vAlign w:val="bottom"/>
          </w:tcPr>
          <w:p w14:paraId="497BF908" w14:textId="2A6CB88F"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Instrument type (types to be specified by each jurisdiction)</w:t>
            </w:r>
          </w:p>
          <w:p w14:paraId="60951728" w14:textId="368C8FF8"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instrument type, varying by jurisdiction.  </w:t>
            </w:r>
          </w:p>
          <w:p w14:paraId="760DDF99" w14:textId="4F55E8AE"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lastRenderedPageBreak/>
              <w:t>For CET1 instruments, select name of the instrument in the CET1 list published by the EBA.</w:t>
            </w:r>
          </w:p>
          <w:p w14:paraId="4EFBFEF0" w14:textId="1BB09EA6"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For other instruments, select from: menu options to be provided to investment firms by each jurisdiction – legal references of IFR articles for each type of instrument to be inserted</w:t>
            </w:r>
          </w:p>
        </w:tc>
      </w:tr>
      <w:tr w:rsidR="00C60DFD" w:rsidRPr="00107FFE" w14:paraId="5E17573D" w14:textId="77777777" w:rsidTr="00E1293C">
        <w:trPr>
          <w:trHeight w:val="259"/>
        </w:trPr>
        <w:tc>
          <w:tcPr>
            <w:tcW w:w="1030" w:type="dxa"/>
            <w:vAlign w:val="center"/>
          </w:tcPr>
          <w:p w14:paraId="4E215755" w14:textId="311411F6"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lastRenderedPageBreak/>
              <w:t>6</w:t>
            </w:r>
          </w:p>
        </w:tc>
        <w:tc>
          <w:tcPr>
            <w:tcW w:w="7661" w:type="dxa"/>
            <w:shd w:val="clear" w:color="auto" w:fill="auto"/>
            <w:noWrap/>
            <w:vAlign w:val="bottom"/>
          </w:tcPr>
          <w:p w14:paraId="367E74DB" w14:textId="70987E66"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Amount </w:t>
            </w:r>
            <w:proofErr w:type="spellStart"/>
            <w:r w:rsidRPr="00107FFE">
              <w:rPr>
                <w:rFonts w:ascii="Times New Roman" w:eastAsia="Times New Roman" w:hAnsi="Times New Roman" w:cs="Times New Roman"/>
                <w:sz w:val="24"/>
                <w:lang w:eastAsia="ja-JP"/>
              </w:rPr>
              <w:t>recognised</w:t>
            </w:r>
            <w:proofErr w:type="spellEnd"/>
            <w:r w:rsidRPr="00107FFE">
              <w:rPr>
                <w:rFonts w:ascii="Times New Roman" w:eastAsia="Times New Roman" w:hAnsi="Times New Roman" w:cs="Times New Roman"/>
                <w:sz w:val="24"/>
                <w:lang w:eastAsia="ja-JP"/>
              </w:rPr>
              <w:t xml:space="preserve"> in regulatory capital (Currency in million, as of most recent reporting date)</w:t>
            </w:r>
          </w:p>
          <w:p w14:paraId="70202BB9" w14:textId="7FFA0AD4"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the amount </w:t>
            </w:r>
            <w:proofErr w:type="spellStart"/>
            <w:r w:rsidRPr="00107FFE">
              <w:rPr>
                <w:rFonts w:ascii="Times New Roman" w:eastAsia="Times New Roman" w:hAnsi="Times New Roman" w:cs="Times New Roman"/>
                <w:sz w:val="24"/>
                <w:lang w:eastAsia="ja-JP"/>
              </w:rPr>
              <w:t>recognised</w:t>
            </w:r>
            <w:proofErr w:type="spellEnd"/>
            <w:r w:rsidRPr="00107FFE">
              <w:rPr>
                <w:rFonts w:ascii="Times New Roman" w:eastAsia="Times New Roman" w:hAnsi="Times New Roman" w:cs="Times New Roman"/>
                <w:sz w:val="24"/>
                <w:lang w:eastAsia="ja-JP"/>
              </w:rPr>
              <w:t xml:space="preserve"> in regulatory own funds (total amount of the instrument </w:t>
            </w:r>
            <w:proofErr w:type="spellStart"/>
            <w:r w:rsidRPr="00107FFE">
              <w:rPr>
                <w:rFonts w:ascii="Times New Roman" w:eastAsia="Times New Roman" w:hAnsi="Times New Roman" w:cs="Times New Roman"/>
                <w:sz w:val="24"/>
                <w:lang w:eastAsia="ja-JP"/>
              </w:rPr>
              <w:t>recognised</w:t>
            </w:r>
            <w:proofErr w:type="spellEnd"/>
            <w:r w:rsidRPr="00107FFE">
              <w:rPr>
                <w:rFonts w:ascii="Times New Roman" w:eastAsia="Times New Roman" w:hAnsi="Times New Roman" w:cs="Times New Roman"/>
                <w:sz w:val="24"/>
                <w:lang w:eastAsia="ja-JP"/>
              </w:rPr>
              <w:t xml:space="preserve"> before transitional provisions for the relevant level of the disclosure - currency used for the reporting obligations).</w:t>
            </w:r>
          </w:p>
          <w:p w14:paraId="1D3A3BDD" w14:textId="3204D9A6"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 xml:space="preserve">Free text – specify in particular if some parts of the instruments are in different tiers of the regulatory own funds and if the amount </w:t>
            </w:r>
            <w:proofErr w:type="spellStart"/>
            <w:r w:rsidRPr="00107FFE">
              <w:rPr>
                <w:rFonts w:ascii="Times New Roman" w:eastAsia="Times New Roman" w:hAnsi="Times New Roman" w:cs="Times New Roman"/>
                <w:i/>
                <w:sz w:val="24"/>
                <w:lang w:eastAsia="ja-JP"/>
              </w:rPr>
              <w:t>recognised</w:t>
            </w:r>
            <w:proofErr w:type="spellEnd"/>
            <w:r w:rsidRPr="00107FFE">
              <w:rPr>
                <w:rFonts w:ascii="Times New Roman" w:eastAsia="Times New Roman" w:hAnsi="Times New Roman" w:cs="Times New Roman"/>
                <w:i/>
                <w:sz w:val="24"/>
                <w:lang w:eastAsia="ja-JP"/>
              </w:rPr>
              <w:t xml:space="preserve"> in regulatory own funds is different from the amount issued.</w:t>
            </w:r>
          </w:p>
        </w:tc>
      </w:tr>
      <w:tr w:rsidR="00C60DFD" w:rsidRPr="00107FFE" w14:paraId="52BB0598" w14:textId="77777777" w:rsidTr="00E1293C">
        <w:trPr>
          <w:trHeight w:val="259"/>
        </w:trPr>
        <w:tc>
          <w:tcPr>
            <w:tcW w:w="1030" w:type="dxa"/>
            <w:vAlign w:val="center"/>
          </w:tcPr>
          <w:p w14:paraId="407AA3B7" w14:textId="64D91FB8"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7</w:t>
            </w:r>
          </w:p>
        </w:tc>
        <w:tc>
          <w:tcPr>
            <w:tcW w:w="7661" w:type="dxa"/>
            <w:shd w:val="clear" w:color="auto" w:fill="auto"/>
            <w:noWrap/>
            <w:vAlign w:val="bottom"/>
          </w:tcPr>
          <w:p w14:paraId="4005F12B" w14:textId="5B616CDA"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Nominal amount of instrument</w:t>
            </w:r>
          </w:p>
          <w:p w14:paraId="3BE7742E" w14:textId="027AE73E"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Nominal amount of instrument (in currency of issuance and currency used for the reporting obligations).</w:t>
            </w:r>
          </w:p>
          <w:p w14:paraId="3960D43D"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C60DFD" w:rsidRPr="00107FFE" w14:paraId="66FA3247" w14:textId="77777777" w:rsidTr="00E1293C">
        <w:trPr>
          <w:trHeight w:val="259"/>
        </w:trPr>
        <w:tc>
          <w:tcPr>
            <w:tcW w:w="1030" w:type="dxa"/>
            <w:vAlign w:val="center"/>
          </w:tcPr>
          <w:p w14:paraId="6BD28576" w14:textId="15E9CADA"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8</w:t>
            </w:r>
          </w:p>
        </w:tc>
        <w:tc>
          <w:tcPr>
            <w:tcW w:w="7661" w:type="dxa"/>
            <w:shd w:val="clear" w:color="auto" w:fill="auto"/>
            <w:noWrap/>
            <w:vAlign w:val="bottom"/>
          </w:tcPr>
          <w:p w14:paraId="01DB9771" w14:textId="7A461320"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Issue price</w:t>
            </w:r>
          </w:p>
          <w:p w14:paraId="0656F9A1" w14:textId="74808783"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Issue price of instrument.</w:t>
            </w:r>
          </w:p>
          <w:p w14:paraId="51B34F68"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C60DFD" w:rsidRPr="00107FFE" w14:paraId="4B285FA0" w14:textId="77777777" w:rsidTr="00E1293C">
        <w:trPr>
          <w:trHeight w:val="259"/>
        </w:trPr>
        <w:tc>
          <w:tcPr>
            <w:tcW w:w="1030" w:type="dxa"/>
            <w:vAlign w:val="center"/>
          </w:tcPr>
          <w:p w14:paraId="2767C468" w14:textId="3A8F606F"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9</w:t>
            </w:r>
          </w:p>
        </w:tc>
        <w:tc>
          <w:tcPr>
            <w:tcW w:w="7661" w:type="dxa"/>
            <w:shd w:val="clear" w:color="auto" w:fill="auto"/>
            <w:noWrap/>
            <w:vAlign w:val="bottom"/>
          </w:tcPr>
          <w:p w14:paraId="7013C598" w14:textId="0270887D"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Redemption price</w:t>
            </w:r>
          </w:p>
          <w:p w14:paraId="52E691DD" w14:textId="0195EF8E"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Redemption price of instrument.</w:t>
            </w:r>
          </w:p>
          <w:p w14:paraId="72769B15"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C60DFD" w:rsidRPr="00107FFE" w14:paraId="6CAF4E2A" w14:textId="77777777" w:rsidTr="00E1293C">
        <w:trPr>
          <w:trHeight w:val="259"/>
        </w:trPr>
        <w:tc>
          <w:tcPr>
            <w:tcW w:w="1030" w:type="dxa"/>
            <w:vAlign w:val="center"/>
          </w:tcPr>
          <w:p w14:paraId="66E965A6" w14:textId="48DA51FB"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10</w:t>
            </w:r>
          </w:p>
        </w:tc>
        <w:tc>
          <w:tcPr>
            <w:tcW w:w="7661" w:type="dxa"/>
            <w:shd w:val="clear" w:color="auto" w:fill="auto"/>
            <w:noWrap/>
            <w:vAlign w:val="bottom"/>
          </w:tcPr>
          <w:p w14:paraId="7F1FABE8" w14:textId="06C800C4"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Accounting classification</w:t>
            </w:r>
          </w:p>
          <w:p w14:paraId="22ED7A0E" w14:textId="0CBB0E49"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accounting classification.  </w:t>
            </w:r>
          </w:p>
          <w:p w14:paraId="0B704262"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 xml:space="preserve">Select from menu: [Shareholders’ equity] [Liability – </w:t>
            </w:r>
            <w:proofErr w:type="spellStart"/>
            <w:r w:rsidRPr="00107FFE">
              <w:rPr>
                <w:rFonts w:ascii="Times New Roman" w:eastAsia="Times New Roman" w:hAnsi="Times New Roman" w:cs="Times New Roman"/>
                <w:i/>
                <w:sz w:val="24"/>
                <w:lang w:eastAsia="ja-JP"/>
              </w:rPr>
              <w:t>amortised</w:t>
            </w:r>
            <w:proofErr w:type="spellEnd"/>
            <w:r w:rsidRPr="00107FFE">
              <w:rPr>
                <w:rFonts w:ascii="Times New Roman" w:eastAsia="Times New Roman" w:hAnsi="Times New Roman" w:cs="Times New Roman"/>
                <w:i/>
                <w:sz w:val="24"/>
                <w:lang w:eastAsia="ja-JP"/>
              </w:rPr>
              <w:t xml:space="preserve"> cost] [Liability – fair value option] [Non-controlling interest in consolidated subsidiary]</w:t>
            </w:r>
          </w:p>
        </w:tc>
      </w:tr>
      <w:tr w:rsidR="00C60DFD" w:rsidRPr="00107FFE" w14:paraId="3DB1577D" w14:textId="77777777" w:rsidTr="00E1293C">
        <w:trPr>
          <w:trHeight w:val="259"/>
        </w:trPr>
        <w:tc>
          <w:tcPr>
            <w:tcW w:w="1030" w:type="dxa"/>
            <w:vAlign w:val="center"/>
          </w:tcPr>
          <w:p w14:paraId="1C5693AD" w14:textId="4D2EEA3A"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11</w:t>
            </w:r>
          </w:p>
        </w:tc>
        <w:tc>
          <w:tcPr>
            <w:tcW w:w="7661" w:type="dxa"/>
            <w:shd w:val="clear" w:color="auto" w:fill="auto"/>
            <w:noWrap/>
            <w:vAlign w:val="bottom"/>
          </w:tcPr>
          <w:p w14:paraId="69D8C991" w14:textId="527F85C2"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Original date of issuance</w:t>
            </w:r>
          </w:p>
          <w:p w14:paraId="406C1569" w14:textId="460FDE87"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lastRenderedPageBreak/>
              <w:t>Specifies date of issuance.</w:t>
            </w:r>
          </w:p>
          <w:p w14:paraId="0D7E3484" w14:textId="77777777"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i/>
                <w:sz w:val="24"/>
                <w:lang w:eastAsia="ja-JP"/>
              </w:rPr>
              <w:t>Free text</w:t>
            </w:r>
          </w:p>
        </w:tc>
      </w:tr>
      <w:tr w:rsidR="00C60DFD" w:rsidRPr="00107FFE" w14:paraId="11AF4C64" w14:textId="77777777" w:rsidTr="00E1293C">
        <w:trPr>
          <w:trHeight w:val="259"/>
        </w:trPr>
        <w:tc>
          <w:tcPr>
            <w:tcW w:w="1030" w:type="dxa"/>
            <w:vAlign w:val="center"/>
          </w:tcPr>
          <w:p w14:paraId="57761E57" w14:textId="7772942D"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lastRenderedPageBreak/>
              <w:t>12</w:t>
            </w:r>
          </w:p>
        </w:tc>
        <w:tc>
          <w:tcPr>
            <w:tcW w:w="7661" w:type="dxa"/>
            <w:shd w:val="clear" w:color="auto" w:fill="auto"/>
            <w:noWrap/>
            <w:vAlign w:val="bottom"/>
          </w:tcPr>
          <w:p w14:paraId="02477350" w14:textId="6F1D3568"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Perpetual or dated</w:t>
            </w:r>
          </w:p>
          <w:p w14:paraId="6976D7D4" w14:textId="1443A617"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Specifies whether dated or perpetual.</w:t>
            </w:r>
          </w:p>
          <w:p w14:paraId="0F42D342"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[Perpetual] [Dated]</w:t>
            </w:r>
          </w:p>
        </w:tc>
      </w:tr>
      <w:tr w:rsidR="00C60DFD" w:rsidRPr="00107FFE" w14:paraId="4BE37209" w14:textId="77777777" w:rsidTr="00E1293C">
        <w:trPr>
          <w:trHeight w:val="259"/>
        </w:trPr>
        <w:tc>
          <w:tcPr>
            <w:tcW w:w="1030" w:type="dxa"/>
            <w:vAlign w:val="center"/>
          </w:tcPr>
          <w:p w14:paraId="0D1261C3" w14:textId="29270AB7"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13</w:t>
            </w:r>
          </w:p>
        </w:tc>
        <w:tc>
          <w:tcPr>
            <w:tcW w:w="7661" w:type="dxa"/>
            <w:shd w:val="clear" w:color="auto" w:fill="auto"/>
            <w:noWrap/>
            <w:vAlign w:val="bottom"/>
          </w:tcPr>
          <w:p w14:paraId="657E5379" w14:textId="6A871297"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Original maturity date</w:t>
            </w:r>
          </w:p>
          <w:p w14:paraId="153D299E" w14:textId="4796210A"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For dated instrument, specifies original maturity date (day, month and year). For perpetual instrument put </w:t>
            </w:r>
            <w:proofErr w:type="spellStart"/>
            <w:r w:rsidRPr="00107FFE">
              <w:rPr>
                <w:rFonts w:ascii="Times New Roman" w:eastAsia="Times New Roman" w:hAnsi="Times New Roman" w:cs="Times New Roman"/>
                <w:sz w:val="24"/>
                <w:lang w:eastAsia="ja-JP"/>
              </w:rPr>
              <w:t>‘no</w:t>
            </w:r>
            <w:proofErr w:type="spellEnd"/>
            <w:r w:rsidRPr="00107FFE">
              <w:rPr>
                <w:rFonts w:ascii="Times New Roman" w:eastAsia="Times New Roman" w:hAnsi="Times New Roman" w:cs="Times New Roman"/>
                <w:sz w:val="24"/>
                <w:lang w:eastAsia="ja-JP"/>
              </w:rPr>
              <w:t xml:space="preserve"> maturity’. </w:t>
            </w:r>
          </w:p>
          <w:p w14:paraId="66725994" w14:textId="77777777"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i/>
                <w:sz w:val="24"/>
                <w:lang w:eastAsia="ja-JP"/>
              </w:rPr>
              <w:t>Free text</w:t>
            </w:r>
          </w:p>
        </w:tc>
      </w:tr>
      <w:tr w:rsidR="00C60DFD" w:rsidRPr="00107FFE" w14:paraId="5FC8C1A5" w14:textId="77777777" w:rsidTr="00E1293C">
        <w:trPr>
          <w:trHeight w:val="259"/>
        </w:trPr>
        <w:tc>
          <w:tcPr>
            <w:tcW w:w="1030" w:type="dxa"/>
            <w:vAlign w:val="center"/>
          </w:tcPr>
          <w:p w14:paraId="6F9A92FE" w14:textId="0A72629D"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14</w:t>
            </w:r>
          </w:p>
        </w:tc>
        <w:tc>
          <w:tcPr>
            <w:tcW w:w="7661" w:type="dxa"/>
            <w:shd w:val="clear" w:color="auto" w:fill="auto"/>
            <w:noWrap/>
            <w:vAlign w:val="bottom"/>
          </w:tcPr>
          <w:p w14:paraId="069B4B35" w14:textId="1F1F0B09"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Issuer call subject to prior supervisory approval</w:t>
            </w:r>
          </w:p>
          <w:p w14:paraId="1805FE4E" w14:textId="4BAEA922"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Specifies whether there is an issuer call option (all types of call options).</w:t>
            </w:r>
          </w:p>
          <w:p w14:paraId="38F9BCB2"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[Yes] [No]</w:t>
            </w:r>
          </w:p>
        </w:tc>
      </w:tr>
      <w:tr w:rsidR="00C60DFD" w:rsidRPr="00107FFE" w14:paraId="753CC710" w14:textId="77777777" w:rsidTr="00E1293C">
        <w:trPr>
          <w:trHeight w:val="259"/>
        </w:trPr>
        <w:tc>
          <w:tcPr>
            <w:tcW w:w="1030" w:type="dxa"/>
            <w:vAlign w:val="center"/>
          </w:tcPr>
          <w:p w14:paraId="33B9ADA2" w14:textId="1F0B14DD"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15</w:t>
            </w:r>
          </w:p>
        </w:tc>
        <w:tc>
          <w:tcPr>
            <w:tcW w:w="7661" w:type="dxa"/>
            <w:shd w:val="clear" w:color="auto" w:fill="auto"/>
            <w:noWrap/>
            <w:vAlign w:val="bottom"/>
          </w:tcPr>
          <w:p w14:paraId="09F7253B" w14:textId="35B0B648"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Optional call date, contingent call dates and redemption amount</w:t>
            </w:r>
          </w:p>
          <w:p w14:paraId="7546FFC2" w14:textId="391C33AC"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For instrument with issuer call option, specifies first date of call if the instrument has a call option on a specific date (day, month and year) and, in addition, specifies whether the instrument has a tax and/or regulatory event call. Also specifies the redemption price. Helps to assess permanence.</w:t>
            </w:r>
          </w:p>
          <w:p w14:paraId="3FCEA27F" w14:textId="77777777" w:rsidR="00C60DFD" w:rsidRPr="00107FFE" w:rsidRDefault="00C60DFD" w:rsidP="00C60DFD">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C60DFD" w:rsidRPr="00107FFE" w14:paraId="6454B231" w14:textId="77777777" w:rsidTr="00E1293C">
        <w:trPr>
          <w:trHeight w:val="259"/>
        </w:trPr>
        <w:tc>
          <w:tcPr>
            <w:tcW w:w="1030" w:type="dxa"/>
            <w:vAlign w:val="center"/>
          </w:tcPr>
          <w:p w14:paraId="37ADA45A" w14:textId="43AD1018" w:rsidR="00C60DFD" w:rsidRPr="00107FFE" w:rsidRDefault="00C60DFD" w:rsidP="00C60DFD">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16</w:t>
            </w:r>
          </w:p>
        </w:tc>
        <w:tc>
          <w:tcPr>
            <w:tcW w:w="7661" w:type="dxa"/>
            <w:shd w:val="clear" w:color="auto" w:fill="auto"/>
            <w:noWrap/>
            <w:vAlign w:val="bottom"/>
          </w:tcPr>
          <w:p w14:paraId="5439AA37" w14:textId="069C30CD" w:rsidR="00F117AF" w:rsidRPr="00107FFE" w:rsidRDefault="00F117AF"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Subsequent call dates, if applicable</w:t>
            </w:r>
          </w:p>
          <w:p w14:paraId="1B86EE22" w14:textId="7EC48545"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Specifies the existence and frequency of subsequent call dates, if applicable. Helps to assess permanence.</w:t>
            </w:r>
          </w:p>
          <w:p w14:paraId="226A553C" w14:textId="77777777" w:rsidR="00C60DFD" w:rsidRPr="00107FFE" w:rsidRDefault="00C60DFD" w:rsidP="00C60DFD">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i/>
                <w:sz w:val="24"/>
                <w:lang w:eastAsia="ja-JP"/>
              </w:rPr>
              <w:t>Free text</w:t>
            </w:r>
          </w:p>
        </w:tc>
      </w:tr>
      <w:tr w:rsidR="00A179AB" w:rsidRPr="00107FFE" w14:paraId="13A0470B" w14:textId="77777777" w:rsidTr="00E1293C">
        <w:trPr>
          <w:trHeight w:val="259"/>
        </w:trPr>
        <w:tc>
          <w:tcPr>
            <w:tcW w:w="1030" w:type="dxa"/>
            <w:vAlign w:val="center"/>
          </w:tcPr>
          <w:p w14:paraId="2044E203" w14:textId="6BAE1F65"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17</w:t>
            </w:r>
          </w:p>
        </w:tc>
        <w:tc>
          <w:tcPr>
            <w:tcW w:w="7661" w:type="dxa"/>
            <w:shd w:val="clear" w:color="auto" w:fill="auto"/>
            <w:noWrap/>
            <w:vAlign w:val="bottom"/>
          </w:tcPr>
          <w:p w14:paraId="5F5E5600" w14:textId="2923C688" w:rsidR="00F117AF" w:rsidRPr="00107FFE" w:rsidRDefault="00F117AF"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Fixed or floating dividend/coupon</w:t>
            </w:r>
          </w:p>
          <w:p w14:paraId="0D9F4943" w14:textId="5364DC25" w:rsidR="00A179AB" w:rsidRPr="00107FFE" w:rsidRDefault="00A179AB"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whether the coupon/dividend </w:t>
            </w:r>
            <w:proofErr w:type="gramStart"/>
            <w:r w:rsidRPr="00107FFE">
              <w:rPr>
                <w:rFonts w:ascii="Times New Roman" w:eastAsia="Times New Roman" w:hAnsi="Times New Roman" w:cs="Times New Roman"/>
                <w:sz w:val="24"/>
                <w:lang w:eastAsia="ja-JP"/>
              </w:rPr>
              <w:t>is:</w:t>
            </w:r>
            <w:proofErr w:type="gramEnd"/>
            <w:r w:rsidRPr="00107FFE">
              <w:rPr>
                <w:rFonts w:ascii="Times New Roman" w:eastAsia="Times New Roman" w:hAnsi="Times New Roman" w:cs="Times New Roman"/>
                <w:sz w:val="24"/>
                <w:lang w:eastAsia="ja-JP"/>
              </w:rPr>
              <w:t xml:space="preserve"> either fixed over the life of the instrument, or floating over the life of the instrument, or currently fixed but will move to a floating rate in the future, or currently floating but will move to a fixed rate in the future. </w:t>
            </w:r>
          </w:p>
          <w:p w14:paraId="32CA3D59"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 xml:space="preserve">Select from menu: [Fixed], [Floating] [Fixed to floating], [Floating to fixed] </w:t>
            </w:r>
          </w:p>
        </w:tc>
      </w:tr>
      <w:tr w:rsidR="00A179AB" w:rsidRPr="00107FFE" w14:paraId="41923853" w14:textId="77777777" w:rsidTr="00E1293C">
        <w:trPr>
          <w:trHeight w:val="259"/>
        </w:trPr>
        <w:tc>
          <w:tcPr>
            <w:tcW w:w="1030" w:type="dxa"/>
            <w:vAlign w:val="center"/>
          </w:tcPr>
          <w:p w14:paraId="06D21DF5" w14:textId="5777DD1E"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lastRenderedPageBreak/>
              <w:t>18</w:t>
            </w:r>
          </w:p>
        </w:tc>
        <w:tc>
          <w:tcPr>
            <w:tcW w:w="7661" w:type="dxa"/>
            <w:shd w:val="clear" w:color="auto" w:fill="auto"/>
            <w:noWrap/>
            <w:vAlign w:val="bottom"/>
          </w:tcPr>
          <w:p w14:paraId="553B2826" w14:textId="3C671A2C" w:rsidR="00F117AF" w:rsidRPr="00107FFE" w:rsidRDefault="00F117AF"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Coupon rate and any related index</w:t>
            </w:r>
          </w:p>
          <w:p w14:paraId="45D3F2E1" w14:textId="7D237B39" w:rsidR="00A179AB" w:rsidRPr="00107FFE" w:rsidRDefault="00A179AB"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the coupon rate of the instrument and any related index that the coupon/dividend rate references. </w:t>
            </w:r>
          </w:p>
          <w:p w14:paraId="6F198863"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 xml:space="preserve">Free text </w:t>
            </w:r>
          </w:p>
        </w:tc>
      </w:tr>
      <w:tr w:rsidR="00A179AB" w:rsidRPr="00107FFE" w14:paraId="60E70E39" w14:textId="77777777" w:rsidTr="00D418D6">
        <w:trPr>
          <w:trHeight w:val="2983"/>
        </w:trPr>
        <w:tc>
          <w:tcPr>
            <w:tcW w:w="1030" w:type="dxa"/>
            <w:vAlign w:val="center"/>
          </w:tcPr>
          <w:p w14:paraId="21879375" w14:textId="13443065"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19</w:t>
            </w:r>
          </w:p>
        </w:tc>
        <w:tc>
          <w:tcPr>
            <w:tcW w:w="7661" w:type="dxa"/>
            <w:shd w:val="clear" w:color="auto" w:fill="auto"/>
            <w:noWrap/>
            <w:vAlign w:val="bottom"/>
          </w:tcPr>
          <w:p w14:paraId="5F738B3D" w14:textId="00110374" w:rsidR="00F117AF" w:rsidRPr="00107FFE" w:rsidRDefault="00F117AF"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Existence of a dividend stopper</w:t>
            </w:r>
          </w:p>
          <w:p w14:paraId="6930B808" w14:textId="429168F0" w:rsidR="00A179AB" w:rsidRPr="00107FFE" w:rsidRDefault="00A179AB"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whether the non-payment of a coupon or dividend on the instrument prohibits the payment of dividends on common shares (i.e. whether there is a dividend stopper). </w:t>
            </w:r>
          </w:p>
          <w:p w14:paraId="0D110485"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 xml:space="preserve">Select from menu: [yes], [no] </w:t>
            </w:r>
          </w:p>
        </w:tc>
      </w:tr>
      <w:tr w:rsidR="00A179AB" w:rsidRPr="00107FFE" w14:paraId="11EDD08A" w14:textId="77777777" w:rsidTr="00E1293C">
        <w:trPr>
          <w:trHeight w:val="259"/>
        </w:trPr>
        <w:tc>
          <w:tcPr>
            <w:tcW w:w="1030" w:type="dxa"/>
            <w:vAlign w:val="center"/>
          </w:tcPr>
          <w:p w14:paraId="1B198B7C" w14:textId="5D7216DA"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20</w:t>
            </w:r>
          </w:p>
        </w:tc>
        <w:tc>
          <w:tcPr>
            <w:tcW w:w="7661" w:type="dxa"/>
            <w:shd w:val="clear" w:color="auto" w:fill="auto"/>
            <w:noWrap/>
            <w:vAlign w:val="bottom"/>
          </w:tcPr>
          <w:p w14:paraId="166B49CF" w14:textId="34B9FD2D"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 Fully discretionary, partially discretionary or mandatory (in terms of timing)</w:t>
            </w:r>
          </w:p>
          <w:p w14:paraId="3E08C14E" w14:textId="544FDA01"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whether the issuer has full discretion, partial discretion or no discretion over whether a coupon/dividend is paid. If the institution </w:t>
            </w:r>
            <w:proofErr w:type="gramStart"/>
            <w:r w:rsidRPr="00107FFE">
              <w:rPr>
                <w:rFonts w:ascii="Times New Roman" w:eastAsia="Times New Roman" w:hAnsi="Times New Roman" w:cs="Times New Roman"/>
                <w:sz w:val="24"/>
                <w:lang w:eastAsia="ja-JP"/>
              </w:rPr>
              <w:t>has</w:t>
            </w:r>
            <w:proofErr w:type="gramEnd"/>
            <w:r w:rsidRPr="00107FFE">
              <w:rPr>
                <w:rFonts w:ascii="Times New Roman" w:eastAsia="Times New Roman" w:hAnsi="Times New Roman" w:cs="Times New Roman"/>
                <w:sz w:val="24"/>
                <w:lang w:eastAsia="ja-JP"/>
              </w:rPr>
              <w:t xml:space="preserve"> full discretion to cancel coupon/dividend payments under all circumstances it must select ‘fully discretionary’ (including when there is a dividend stopper that does not have the effect of preventing the institution from cancelling payments on the instrument). If there are conditions that must be met before payment can be cancelled (e.g. own funds below a certain threshold), the institution must select ‘partially discretionary’. If the institution is unable to cancel the payment outside of </w:t>
            </w:r>
            <w:proofErr w:type="gramStart"/>
            <w:r w:rsidRPr="00107FFE">
              <w:rPr>
                <w:rFonts w:ascii="Times New Roman" w:eastAsia="Times New Roman" w:hAnsi="Times New Roman" w:cs="Times New Roman"/>
                <w:sz w:val="24"/>
                <w:lang w:eastAsia="ja-JP"/>
              </w:rPr>
              <w:t>insolvency</w:t>
            </w:r>
            <w:proofErr w:type="gramEnd"/>
            <w:r w:rsidRPr="00107FFE">
              <w:rPr>
                <w:rFonts w:ascii="Times New Roman" w:eastAsia="Times New Roman" w:hAnsi="Times New Roman" w:cs="Times New Roman"/>
                <w:sz w:val="24"/>
                <w:lang w:eastAsia="ja-JP"/>
              </w:rPr>
              <w:t xml:space="preserve"> the institution must select ‘mandatory’.</w:t>
            </w:r>
          </w:p>
          <w:p w14:paraId="70EC9C15"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[Fully discretionary] [Partially discretionary] [Mandatory]</w:t>
            </w:r>
          </w:p>
          <w:p w14:paraId="402CCE29" w14:textId="437E4604"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i/>
                <w:sz w:val="24"/>
                <w:lang w:eastAsia="ja-JP"/>
              </w:rPr>
              <w:t>Free text (specify the reasons for discretion, existence of dividend pushers, dividend stoppers, ACSM</w:t>
            </w:r>
            <w:r w:rsidR="00FF36BE">
              <w:rPr>
                <w:rFonts w:ascii="Times New Roman" w:eastAsia="Times New Roman" w:hAnsi="Times New Roman" w:cs="Times New Roman"/>
                <w:i/>
                <w:sz w:val="24"/>
                <w:lang w:eastAsia="ja-JP"/>
              </w:rPr>
              <w:t xml:space="preserve"> - </w:t>
            </w:r>
            <w:r w:rsidR="00FF36BE" w:rsidRPr="00FF36BE">
              <w:rPr>
                <w:rFonts w:ascii="Times New Roman" w:eastAsia="Times New Roman" w:hAnsi="Times New Roman" w:cs="Times New Roman"/>
                <w:i/>
                <w:sz w:val="24"/>
                <w:lang w:eastAsia="ja-JP"/>
              </w:rPr>
              <w:t>Alternative Coupon Satisfaction Mechanism</w:t>
            </w:r>
            <w:r w:rsidRPr="00107FFE">
              <w:rPr>
                <w:rFonts w:ascii="Times New Roman" w:eastAsia="Times New Roman" w:hAnsi="Times New Roman" w:cs="Times New Roman"/>
                <w:i/>
                <w:sz w:val="24"/>
                <w:lang w:eastAsia="ja-JP"/>
              </w:rPr>
              <w:t>)</w:t>
            </w:r>
          </w:p>
        </w:tc>
      </w:tr>
      <w:tr w:rsidR="00A179AB" w:rsidRPr="00107FFE" w14:paraId="166A6364" w14:textId="77777777" w:rsidTr="00E1293C">
        <w:trPr>
          <w:trHeight w:val="259"/>
        </w:trPr>
        <w:tc>
          <w:tcPr>
            <w:tcW w:w="1030" w:type="dxa"/>
            <w:vAlign w:val="center"/>
          </w:tcPr>
          <w:p w14:paraId="6B660935" w14:textId="42A4B9B9"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21</w:t>
            </w:r>
          </w:p>
        </w:tc>
        <w:tc>
          <w:tcPr>
            <w:tcW w:w="7661" w:type="dxa"/>
            <w:shd w:val="clear" w:color="auto" w:fill="auto"/>
            <w:noWrap/>
            <w:vAlign w:val="bottom"/>
          </w:tcPr>
          <w:p w14:paraId="36087DE6" w14:textId="19B6B96E"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Fully discretionary, partially discretionary or mandatory (in terms of amount)</w:t>
            </w:r>
          </w:p>
          <w:p w14:paraId="447C369B" w14:textId="0B32C6FD"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Specifies whether the issuer has full discretion, partial discretion or no discretion over the amount of the coupon/dividend.</w:t>
            </w:r>
          </w:p>
          <w:p w14:paraId="6C47B7FD"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[Fully discretionary] [Partially discretionary] [Mandatory]</w:t>
            </w:r>
          </w:p>
        </w:tc>
      </w:tr>
      <w:tr w:rsidR="00A179AB" w:rsidRPr="00107FFE" w14:paraId="0D8C2CE4" w14:textId="77777777" w:rsidTr="00E1293C">
        <w:trPr>
          <w:trHeight w:val="259"/>
        </w:trPr>
        <w:tc>
          <w:tcPr>
            <w:tcW w:w="1030" w:type="dxa"/>
            <w:vAlign w:val="center"/>
          </w:tcPr>
          <w:p w14:paraId="0A73BE2F" w14:textId="732121B4"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22</w:t>
            </w:r>
          </w:p>
        </w:tc>
        <w:tc>
          <w:tcPr>
            <w:tcW w:w="7661" w:type="dxa"/>
            <w:shd w:val="clear" w:color="auto" w:fill="auto"/>
            <w:noWrap/>
            <w:vAlign w:val="bottom"/>
          </w:tcPr>
          <w:p w14:paraId="4E56E0DE" w14:textId="44C009C8"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 Existence of step up or other incentive to redeem</w:t>
            </w:r>
          </w:p>
          <w:p w14:paraId="1553D629" w14:textId="5DB6F160"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lastRenderedPageBreak/>
              <w:t>Specifies whether there is a step-up or other incentive to redeem.</w:t>
            </w:r>
          </w:p>
          <w:p w14:paraId="4C4BA881"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[Yes] [No]</w:t>
            </w:r>
          </w:p>
        </w:tc>
      </w:tr>
      <w:tr w:rsidR="00A179AB" w:rsidRPr="00107FFE" w14:paraId="46012E50" w14:textId="77777777" w:rsidTr="00E1293C">
        <w:trPr>
          <w:trHeight w:val="259"/>
        </w:trPr>
        <w:tc>
          <w:tcPr>
            <w:tcW w:w="1030" w:type="dxa"/>
            <w:vAlign w:val="center"/>
          </w:tcPr>
          <w:p w14:paraId="55A2DA01" w14:textId="60DC7884"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lastRenderedPageBreak/>
              <w:t>23</w:t>
            </w:r>
          </w:p>
        </w:tc>
        <w:tc>
          <w:tcPr>
            <w:tcW w:w="7661" w:type="dxa"/>
            <w:shd w:val="clear" w:color="auto" w:fill="auto"/>
            <w:noWrap/>
            <w:vAlign w:val="bottom"/>
          </w:tcPr>
          <w:p w14:paraId="76FA51B2" w14:textId="5FBC35B2"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Non</w:t>
            </w:r>
            <w:r w:rsidR="00D418D6" w:rsidRPr="00107FFE">
              <w:rPr>
                <w:rFonts w:ascii="Times New Roman" w:eastAsia="Times New Roman" w:hAnsi="Times New Roman" w:cs="Times New Roman"/>
                <w:sz w:val="24"/>
                <w:lang w:eastAsia="ja-JP"/>
              </w:rPr>
              <w:t>-</w:t>
            </w:r>
            <w:r w:rsidRPr="00107FFE">
              <w:rPr>
                <w:rFonts w:ascii="Times New Roman" w:eastAsia="Times New Roman" w:hAnsi="Times New Roman" w:cs="Times New Roman"/>
                <w:sz w:val="24"/>
                <w:lang w:eastAsia="ja-JP"/>
              </w:rPr>
              <w:t>cumulative or cumulative</w:t>
            </w:r>
          </w:p>
          <w:p w14:paraId="63923486" w14:textId="7FC656BB"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Specifies whether dividends / coupons are cumulative or noncumulative.</w:t>
            </w:r>
          </w:p>
          <w:p w14:paraId="7AF5E28D"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[Noncumulative] [Cumulative] [ACSM]</w:t>
            </w:r>
          </w:p>
        </w:tc>
      </w:tr>
      <w:tr w:rsidR="00A179AB" w:rsidRPr="00107FFE" w14:paraId="1A6B741D" w14:textId="77777777" w:rsidTr="00E1293C">
        <w:trPr>
          <w:trHeight w:val="259"/>
        </w:trPr>
        <w:tc>
          <w:tcPr>
            <w:tcW w:w="1030" w:type="dxa"/>
            <w:vAlign w:val="center"/>
          </w:tcPr>
          <w:p w14:paraId="365A8CE7" w14:textId="2A417407"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24</w:t>
            </w:r>
          </w:p>
        </w:tc>
        <w:tc>
          <w:tcPr>
            <w:tcW w:w="7661" w:type="dxa"/>
            <w:shd w:val="clear" w:color="auto" w:fill="auto"/>
            <w:noWrap/>
            <w:vAlign w:val="bottom"/>
          </w:tcPr>
          <w:p w14:paraId="023E648F" w14:textId="32E177E3"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Convertible or non-convertible</w:t>
            </w:r>
          </w:p>
          <w:p w14:paraId="4ADC4B97" w14:textId="117CF7E2"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whether instrument is convertible or not.  </w:t>
            </w:r>
          </w:p>
          <w:p w14:paraId="004CB940"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[Convertible] [Nonconvertible]</w:t>
            </w:r>
          </w:p>
        </w:tc>
      </w:tr>
      <w:tr w:rsidR="00A179AB" w:rsidRPr="00107FFE" w14:paraId="4C978DDB" w14:textId="77777777" w:rsidTr="00E1293C">
        <w:trPr>
          <w:trHeight w:val="259"/>
        </w:trPr>
        <w:tc>
          <w:tcPr>
            <w:tcW w:w="1030" w:type="dxa"/>
            <w:vAlign w:val="center"/>
          </w:tcPr>
          <w:p w14:paraId="2752484A" w14:textId="09DB9438"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25</w:t>
            </w:r>
          </w:p>
        </w:tc>
        <w:tc>
          <w:tcPr>
            <w:tcW w:w="7661" w:type="dxa"/>
            <w:shd w:val="clear" w:color="auto" w:fill="auto"/>
            <w:noWrap/>
            <w:vAlign w:val="bottom"/>
          </w:tcPr>
          <w:p w14:paraId="02246F2E" w14:textId="78823713"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 If convertible, conversion trigger(s)</w:t>
            </w:r>
          </w:p>
          <w:p w14:paraId="1AAC193B" w14:textId="10074666"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the conditions under which the instrument will convert, including point of non-viability. Where one or more authorities have the ability to trigger conversion, the authorities </w:t>
            </w:r>
            <w:proofErr w:type="gramStart"/>
            <w:r w:rsidRPr="00107FFE">
              <w:rPr>
                <w:rFonts w:ascii="Times New Roman" w:eastAsia="Times New Roman" w:hAnsi="Times New Roman" w:cs="Times New Roman"/>
                <w:sz w:val="24"/>
                <w:lang w:eastAsia="ja-JP"/>
              </w:rPr>
              <w:t>shall be listed</w:t>
            </w:r>
            <w:proofErr w:type="gramEnd"/>
            <w:r w:rsidRPr="00107FFE">
              <w:rPr>
                <w:rFonts w:ascii="Times New Roman" w:eastAsia="Times New Roman" w:hAnsi="Times New Roman" w:cs="Times New Roman"/>
                <w:sz w:val="24"/>
                <w:lang w:eastAsia="ja-JP"/>
              </w:rPr>
              <w:t>. For each of the authorities it shall be stated whether it is the terms of the contract of the instrument that provide the legal basis for the authority to trigger conversion (a contractual approach) or whether the legal basis is provided by statutory means (a statutory approach).</w:t>
            </w:r>
          </w:p>
          <w:p w14:paraId="5750AA06"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A179AB" w:rsidRPr="00107FFE" w14:paraId="6FBD4406" w14:textId="77777777" w:rsidTr="00E1293C">
        <w:trPr>
          <w:trHeight w:val="259"/>
        </w:trPr>
        <w:tc>
          <w:tcPr>
            <w:tcW w:w="1030" w:type="dxa"/>
            <w:vAlign w:val="center"/>
          </w:tcPr>
          <w:p w14:paraId="6D29F70D" w14:textId="5943F4F3"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26</w:t>
            </w:r>
          </w:p>
        </w:tc>
        <w:tc>
          <w:tcPr>
            <w:tcW w:w="7661" w:type="dxa"/>
            <w:shd w:val="clear" w:color="auto" w:fill="auto"/>
            <w:noWrap/>
            <w:vAlign w:val="bottom"/>
          </w:tcPr>
          <w:p w14:paraId="1A7248EC" w14:textId="7A4046D2"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convertible, fully or partially</w:t>
            </w:r>
          </w:p>
          <w:p w14:paraId="7DF7AE85" w14:textId="55EDAF7E"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Specifies whether the instrument will always convert fully, may convert fully or partially, or will always convert partially.</w:t>
            </w:r>
          </w:p>
          <w:p w14:paraId="21EF2DD0" w14:textId="61E3602D"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[Always Fully] [Fully or Partially] [Always partially</w:t>
            </w:r>
          </w:p>
        </w:tc>
      </w:tr>
      <w:tr w:rsidR="00A179AB" w:rsidRPr="00107FFE" w14:paraId="72AE83AE" w14:textId="77777777" w:rsidTr="00E1293C">
        <w:trPr>
          <w:trHeight w:val="259"/>
        </w:trPr>
        <w:tc>
          <w:tcPr>
            <w:tcW w:w="1030" w:type="dxa"/>
            <w:vAlign w:val="center"/>
          </w:tcPr>
          <w:p w14:paraId="4AE7949D" w14:textId="1D564CFD"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27</w:t>
            </w:r>
          </w:p>
        </w:tc>
        <w:tc>
          <w:tcPr>
            <w:tcW w:w="7661" w:type="dxa"/>
            <w:shd w:val="clear" w:color="auto" w:fill="auto"/>
            <w:noWrap/>
            <w:vAlign w:val="bottom"/>
          </w:tcPr>
          <w:p w14:paraId="02BFD3E9" w14:textId="44ED8BC2"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convertible, conversion rate</w:t>
            </w:r>
          </w:p>
          <w:p w14:paraId="313D1D62" w14:textId="377E48E9"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rate of conversion into the more </w:t>
            </w:r>
            <w:proofErr w:type="gramStart"/>
            <w:r w:rsidRPr="00107FFE">
              <w:rPr>
                <w:rFonts w:ascii="Times New Roman" w:eastAsia="Times New Roman" w:hAnsi="Times New Roman" w:cs="Times New Roman"/>
                <w:sz w:val="24"/>
                <w:lang w:eastAsia="ja-JP"/>
              </w:rPr>
              <w:t>loss absorbing</w:t>
            </w:r>
            <w:proofErr w:type="gramEnd"/>
            <w:r w:rsidRPr="00107FFE">
              <w:rPr>
                <w:rFonts w:ascii="Times New Roman" w:eastAsia="Times New Roman" w:hAnsi="Times New Roman" w:cs="Times New Roman"/>
                <w:sz w:val="24"/>
                <w:lang w:eastAsia="ja-JP"/>
              </w:rPr>
              <w:t xml:space="preserve"> instrument. </w:t>
            </w:r>
          </w:p>
          <w:p w14:paraId="109D03FC"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A179AB" w:rsidRPr="00107FFE" w14:paraId="3D0692AD" w14:textId="77777777" w:rsidTr="00E1293C">
        <w:trPr>
          <w:trHeight w:val="259"/>
        </w:trPr>
        <w:tc>
          <w:tcPr>
            <w:tcW w:w="1030" w:type="dxa"/>
            <w:vAlign w:val="center"/>
          </w:tcPr>
          <w:p w14:paraId="2BFE9FB3" w14:textId="7730C884"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28</w:t>
            </w:r>
          </w:p>
        </w:tc>
        <w:tc>
          <w:tcPr>
            <w:tcW w:w="7661" w:type="dxa"/>
            <w:shd w:val="clear" w:color="auto" w:fill="auto"/>
            <w:noWrap/>
            <w:vAlign w:val="bottom"/>
          </w:tcPr>
          <w:p w14:paraId="5563EC55" w14:textId="0D3EDFF6"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 If convertible, mandatory or optional conversion</w:t>
            </w:r>
          </w:p>
          <w:p w14:paraId="624168AC" w14:textId="139EFD31"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For convertible instruments, specifies whether conversion is mandatory or optional. </w:t>
            </w:r>
          </w:p>
          <w:p w14:paraId="025975BD"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lastRenderedPageBreak/>
              <w:t>Select from menu: [Mandatory] [Optional] [NA] and [at the option of the holders] [at the option of the issuer] [at the option of both the holders and the issuer]</w:t>
            </w:r>
          </w:p>
        </w:tc>
      </w:tr>
      <w:tr w:rsidR="00A179AB" w:rsidRPr="00107FFE" w14:paraId="0C1A4289" w14:textId="77777777" w:rsidTr="00E1293C">
        <w:trPr>
          <w:trHeight w:val="259"/>
        </w:trPr>
        <w:tc>
          <w:tcPr>
            <w:tcW w:w="1030" w:type="dxa"/>
            <w:vAlign w:val="center"/>
          </w:tcPr>
          <w:p w14:paraId="4035C779" w14:textId="22E2F440"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lastRenderedPageBreak/>
              <w:t>29</w:t>
            </w:r>
          </w:p>
        </w:tc>
        <w:tc>
          <w:tcPr>
            <w:tcW w:w="7661" w:type="dxa"/>
            <w:shd w:val="clear" w:color="auto" w:fill="auto"/>
            <w:noWrap/>
            <w:vAlign w:val="bottom"/>
          </w:tcPr>
          <w:p w14:paraId="1F5A4455" w14:textId="01663ABE"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convertible, specify instrument type convertible into</w:t>
            </w:r>
          </w:p>
          <w:p w14:paraId="6A324884" w14:textId="7D9ED629"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For convertible instruments, specifies instrument type convertible </w:t>
            </w:r>
            <w:proofErr w:type="gramStart"/>
            <w:r w:rsidRPr="00107FFE">
              <w:rPr>
                <w:rFonts w:ascii="Times New Roman" w:eastAsia="Times New Roman" w:hAnsi="Times New Roman" w:cs="Times New Roman"/>
                <w:sz w:val="24"/>
                <w:lang w:eastAsia="ja-JP"/>
              </w:rPr>
              <w:t>into</w:t>
            </w:r>
            <w:proofErr w:type="gramEnd"/>
            <w:r w:rsidRPr="00107FFE">
              <w:rPr>
                <w:rFonts w:ascii="Times New Roman" w:eastAsia="Times New Roman" w:hAnsi="Times New Roman" w:cs="Times New Roman"/>
                <w:sz w:val="24"/>
                <w:lang w:eastAsia="ja-JP"/>
              </w:rPr>
              <w:t xml:space="preserve">. </w:t>
            </w:r>
          </w:p>
          <w:p w14:paraId="2614EECF"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[Common Equity Tier 1] [Additional Tier 1] [Tier 2] [Other]</w:t>
            </w:r>
          </w:p>
        </w:tc>
      </w:tr>
      <w:tr w:rsidR="00A179AB" w:rsidRPr="00107FFE" w14:paraId="4B1AF5B8" w14:textId="77777777" w:rsidTr="00E1293C">
        <w:trPr>
          <w:trHeight w:val="259"/>
        </w:trPr>
        <w:tc>
          <w:tcPr>
            <w:tcW w:w="1030" w:type="dxa"/>
            <w:vAlign w:val="center"/>
          </w:tcPr>
          <w:p w14:paraId="6677323F" w14:textId="433F1CF4"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30</w:t>
            </w:r>
          </w:p>
        </w:tc>
        <w:tc>
          <w:tcPr>
            <w:tcW w:w="7661" w:type="dxa"/>
            <w:shd w:val="clear" w:color="auto" w:fill="auto"/>
            <w:noWrap/>
            <w:vAlign w:val="bottom"/>
          </w:tcPr>
          <w:p w14:paraId="109DA1B0" w14:textId="04AAE098"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convertible, specify issuer of instrument it converts into</w:t>
            </w:r>
          </w:p>
          <w:p w14:paraId="05CF88BC" w14:textId="56DDA8B2"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If convertible, specify issuer of instrument it converts </w:t>
            </w:r>
            <w:proofErr w:type="gramStart"/>
            <w:r w:rsidRPr="00107FFE">
              <w:rPr>
                <w:rFonts w:ascii="Times New Roman" w:eastAsia="Times New Roman" w:hAnsi="Times New Roman" w:cs="Times New Roman"/>
                <w:sz w:val="24"/>
                <w:lang w:eastAsia="ja-JP"/>
              </w:rPr>
              <w:t>into</w:t>
            </w:r>
            <w:proofErr w:type="gramEnd"/>
            <w:r w:rsidRPr="00107FFE">
              <w:rPr>
                <w:rFonts w:ascii="Times New Roman" w:eastAsia="Times New Roman" w:hAnsi="Times New Roman" w:cs="Times New Roman"/>
                <w:sz w:val="24"/>
                <w:lang w:eastAsia="ja-JP"/>
              </w:rPr>
              <w:t>.</w:t>
            </w:r>
          </w:p>
          <w:p w14:paraId="05BD52B7"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A179AB" w:rsidRPr="00107FFE" w14:paraId="0732F7A7" w14:textId="77777777" w:rsidTr="00E1293C">
        <w:trPr>
          <w:trHeight w:val="259"/>
        </w:trPr>
        <w:tc>
          <w:tcPr>
            <w:tcW w:w="1030" w:type="dxa"/>
            <w:vAlign w:val="center"/>
          </w:tcPr>
          <w:p w14:paraId="6451795F" w14:textId="193E8769"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31</w:t>
            </w:r>
          </w:p>
        </w:tc>
        <w:tc>
          <w:tcPr>
            <w:tcW w:w="7661" w:type="dxa"/>
            <w:shd w:val="clear" w:color="auto" w:fill="auto"/>
            <w:noWrap/>
            <w:vAlign w:val="bottom"/>
          </w:tcPr>
          <w:p w14:paraId="6AA5A2A5" w14:textId="5C27FEAE"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Write-down features</w:t>
            </w:r>
          </w:p>
          <w:p w14:paraId="24AA1013" w14:textId="15A4B44D"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whether there is a write down feature. </w:t>
            </w:r>
          </w:p>
          <w:p w14:paraId="2B376539"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[Yes] [No]</w:t>
            </w:r>
          </w:p>
        </w:tc>
      </w:tr>
      <w:tr w:rsidR="00A179AB" w:rsidRPr="00107FFE" w14:paraId="51848DC4" w14:textId="77777777" w:rsidTr="00E1293C">
        <w:trPr>
          <w:trHeight w:val="259"/>
        </w:trPr>
        <w:tc>
          <w:tcPr>
            <w:tcW w:w="1030" w:type="dxa"/>
            <w:vAlign w:val="center"/>
          </w:tcPr>
          <w:p w14:paraId="49538122" w14:textId="64A155CF"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32</w:t>
            </w:r>
          </w:p>
        </w:tc>
        <w:tc>
          <w:tcPr>
            <w:tcW w:w="7661" w:type="dxa"/>
            <w:shd w:val="clear" w:color="auto" w:fill="auto"/>
            <w:noWrap/>
            <w:vAlign w:val="bottom"/>
          </w:tcPr>
          <w:p w14:paraId="249B0381" w14:textId="04479A16" w:rsidR="00F117AF" w:rsidRPr="00107FFE" w:rsidRDefault="00F117AF"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write-down, write-down trigger(s)</w:t>
            </w:r>
          </w:p>
          <w:p w14:paraId="238DC96C" w14:textId="78A31CF6" w:rsidR="00A179AB" w:rsidRPr="00107FFE" w:rsidRDefault="00A179AB" w:rsidP="00A179AB">
            <w:pPr>
              <w:autoSpaceDE w:val="0"/>
              <w:autoSpaceDN w:val="0"/>
              <w:adjustRightInd w:val="0"/>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the triggers at which write-down occurs, including point of non-viability. Where one or more authorities have the ability to trigger write-down, the authorities </w:t>
            </w:r>
            <w:proofErr w:type="gramStart"/>
            <w:r w:rsidRPr="00107FFE">
              <w:rPr>
                <w:rFonts w:ascii="Times New Roman" w:eastAsia="Times New Roman" w:hAnsi="Times New Roman" w:cs="Times New Roman"/>
                <w:sz w:val="24"/>
                <w:lang w:eastAsia="ja-JP"/>
              </w:rPr>
              <w:t>shall be listed</w:t>
            </w:r>
            <w:proofErr w:type="gramEnd"/>
            <w:r w:rsidRPr="00107FFE">
              <w:rPr>
                <w:rFonts w:ascii="Times New Roman" w:eastAsia="Times New Roman" w:hAnsi="Times New Roman" w:cs="Times New Roman"/>
                <w:sz w:val="24"/>
                <w:lang w:eastAsia="ja-JP"/>
              </w:rPr>
              <w:t xml:space="preserve">. For each of the authorities it shall be stated whether it is the terms of the contract of the instrument that provide the legal basis for the authority to trigger write-down (a contractual approach) or whether the legal basis is provided by statutory means (a statutory approach) </w:t>
            </w:r>
          </w:p>
          <w:p w14:paraId="1175066F"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A179AB" w:rsidRPr="00107FFE" w14:paraId="083B4824" w14:textId="77777777" w:rsidTr="00E1293C">
        <w:trPr>
          <w:trHeight w:val="259"/>
        </w:trPr>
        <w:tc>
          <w:tcPr>
            <w:tcW w:w="1030" w:type="dxa"/>
            <w:vAlign w:val="center"/>
          </w:tcPr>
          <w:p w14:paraId="653F6FF1" w14:textId="06DB4D6E"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33</w:t>
            </w:r>
          </w:p>
        </w:tc>
        <w:tc>
          <w:tcPr>
            <w:tcW w:w="7661" w:type="dxa"/>
            <w:shd w:val="clear" w:color="auto" w:fill="auto"/>
            <w:noWrap/>
            <w:vAlign w:val="bottom"/>
          </w:tcPr>
          <w:p w14:paraId="0D97AB01" w14:textId="036CA04F"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write-down, full or partial</w:t>
            </w:r>
          </w:p>
          <w:p w14:paraId="4DB6654A" w14:textId="5957850A"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Specifies whether the instrument will always </w:t>
            </w:r>
            <w:proofErr w:type="gramStart"/>
            <w:r w:rsidRPr="00107FFE">
              <w:rPr>
                <w:rFonts w:ascii="Times New Roman" w:eastAsia="Times New Roman" w:hAnsi="Times New Roman" w:cs="Times New Roman"/>
                <w:sz w:val="24"/>
                <w:lang w:eastAsia="ja-JP"/>
              </w:rPr>
              <w:t>be written down</w:t>
            </w:r>
            <w:proofErr w:type="gramEnd"/>
            <w:r w:rsidRPr="00107FFE">
              <w:rPr>
                <w:rFonts w:ascii="Times New Roman" w:eastAsia="Times New Roman" w:hAnsi="Times New Roman" w:cs="Times New Roman"/>
                <w:sz w:val="24"/>
                <w:lang w:eastAsia="ja-JP"/>
              </w:rPr>
              <w:t xml:space="preserve"> fully, may be written down partially, or will always be written down partially. Helps assess the level of loss absorbency at write-down.</w:t>
            </w:r>
          </w:p>
          <w:p w14:paraId="6958A192"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Select from menu: [Always Fully] [Fully or Partially] [Always partially] ]</w:t>
            </w:r>
          </w:p>
        </w:tc>
      </w:tr>
      <w:tr w:rsidR="00A179AB" w:rsidRPr="00107FFE" w14:paraId="4F1F0376" w14:textId="77777777" w:rsidTr="00E1293C">
        <w:trPr>
          <w:trHeight w:val="259"/>
        </w:trPr>
        <w:tc>
          <w:tcPr>
            <w:tcW w:w="1030" w:type="dxa"/>
            <w:vAlign w:val="center"/>
          </w:tcPr>
          <w:p w14:paraId="654B4858" w14:textId="056131E2"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34</w:t>
            </w:r>
          </w:p>
        </w:tc>
        <w:tc>
          <w:tcPr>
            <w:tcW w:w="7661" w:type="dxa"/>
            <w:shd w:val="clear" w:color="auto" w:fill="auto"/>
            <w:noWrap/>
            <w:vAlign w:val="bottom"/>
          </w:tcPr>
          <w:p w14:paraId="047B0B80" w14:textId="52BA8FF1"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write-down, permanent or temporary</w:t>
            </w:r>
          </w:p>
          <w:p w14:paraId="14234BD0" w14:textId="76C87D47"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For write down instrument, specifies whether write down is permanent or temporary. </w:t>
            </w:r>
          </w:p>
          <w:p w14:paraId="292016FF"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lastRenderedPageBreak/>
              <w:t>Select from menu: [Permanent] [Temporary] [NA]</w:t>
            </w:r>
          </w:p>
        </w:tc>
      </w:tr>
      <w:tr w:rsidR="00A179AB" w:rsidRPr="00107FFE" w14:paraId="656C4ACC" w14:textId="77777777" w:rsidTr="00E1293C">
        <w:trPr>
          <w:trHeight w:val="259"/>
        </w:trPr>
        <w:tc>
          <w:tcPr>
            <w:tcW w:w="1030" w:type="dxa"/>
            <w:vAlign w:val="center"/>
          </w:tcPr>
          <w:p w14:paraId="73D4A300" w14:textId="6D5DED74"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lastRenderedPageBreak/>
              <w:t>35</w:t>
            </w:r>
          </w:p>
        </w:tc>
        <w:tc>
          <w:tcPr>
            <w:tcW w:w="7661" w:type="dxa"/>
            <w:shd w:val="clear" w:color="auto" w:fill="auto"/>
            <w:noWrap/>
            <w:vAlign w:val="bottom"/>
          </w:tcPr>
          <w:p w14:paraId="322141CD" w14:textId="201EE529"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temporary write-down, description of write-up mechanism</w:t>
            </w:r>
          </w:p>
          <w:p w14:paraId="3F7E2EBC" w14:textId="581B8099"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Describes the write-up mechanism.</w:t>
            </w:r>
          </w:p>
          <w:p w14:paraId="66D3C653"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A179AB" w:rsidRPr="00107FFE" w14:paraId="4F841019" w14:textId="77777777" w:rsidTr="00E1293C">
        <w:trPr>
          <w:trHeight w:val="259"/>
        </w:trPr>
        <w:tc>
          <w:tcPr>
            <w:tcW w:w="1030" w:type="dxa"/>
            <w:vAlign w:val="center"/>
          </w:tcPr>
          <w:p w14:paraId="121FF708" w14:textId="7F6247FE"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36</w:t>
            </w:r>
          </w:p>
        </w:tc>
        <w:tc>
          <w:tcPr>
            <w:tcW w:w="7661" w:type="dxa"/>
            <w:shd w:val="clear" w:color="auto" w:fill="auto"/>
            <w:noWrap/>
            <w:vAlign w:val="bottom"/>
          </w:tcPr>
          <w:p w14:paraId="2CAB96EB" w14:textId="15C96E9F"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Non-compliant transitioned features</w:t>
            </w:r>
          </w:p>
          <w:p w14:paraId="6F54A08E" w14:textId="77BACDEB"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Specifi</w:t>
            </w:r>
            <w:r w:rsidR="00F97085" w:rsidRPr="00107FFE">
              <w:rPr>
                <w:rFonts w:ascii="Times New Roman" w:eastAsia="Times New Roman" w:hAnsi="Times New Roman" w:cs="Times New Roman"/>
                <w:sz w:val="24"/>
                <w:lang w:eastAsia="ja-JP"/>
              </w:rPr>
              <w:t>cation</w:t>
            </w:r>
            <w:r w:rsidRPr="00107FFE">
              <w:rPr>
                <w:rFonts w:ascii="Times New Roman" w:eastAsia="Times New Roman" w:hAnsi="Times New Roman" w:cs="Times New Roman"/>
                <w:sz w:val="24"/>
                <w:lang w:eastAsia="ja-JP"/>
              </w:rPr>
              <w:t xml:space="preserve"> </w:t>
            </w:r>
            <w:r w:rsidR="00F97085" w:rsidRPr="00107FFE">
              <w:rPr>
                <w:rFonts w:ascii="Times New Roman" w:eastAsia="Times New Roman" w:hAnsi="Times New Roman" w:cs="Times New Roman"/>
                <w:sz w:val="24"/>
                <w:lang w:eastAsia="ja-JP"/>
              </w:rPr>
              <w:t xml:space="preserve">if </w:t>
            </w:r>
            <w:r w:rsidRPr="00107FFE">
              <w:rPr>
                <w:rFonts w:ascii="Times New Roman" w:eastAsia="Times New Roman" w:hAnsi="Times New Roman" w:cs="Times New Roman"/>
                <w:sz w:val="24"/>
                <w:lang w:eastAsia="ja-JP"/>
              </w:rPr>
              <w:t>there are non-compliant features</w:t>
            </w:r>
            <w:r w:rsidR="00FF36BE">
              <w:rPr>
                <w:rFonts w:ascii="Times New Roman" w:eastAsia="Times New Roman" w:hAnsi="Times New Roman" w:cs="Times New Roman"/>
                <w:sz w:val="24"/>
                <w:lang w:eastAsia="ja-JP"/>
              </w:rPr>
              <w:t>, select from</w:t>
            </w:r>
            <w:r w:rsidR="00F97085" w:rsidRPr="00107FFE">
              <w:rPr>
                <w:rFonts w:ascii="Times New Roman" w:eastAsia="Times New Roman" w:hAnsi="Times New Roman" w:cs="Times New Roman"/>
                <w:sz w:val="24"/>
                <w:lang w:eastAsia="ja-JP"/>
              </w:rPr>
              <w:t xml:space="preserve"> [yes] or not [no]</w:t>
            </w:r>
            <w:r w:rsidRPr="00107FFE">
              <w:rPr>
                <w:rFonts w:ascii="Times New Roman" w:eastAsia="Times New Roman" w:hAnsi="Times New Roman" w:cs="Times New Roman"/>
                <w:sz w:val="24"/>
                <w:lang w:eastAsia="ja-JP"/>
              </w:rPr>
              <w:t>.</w:t>
            </w:r>
          </w:p>
          <w:p w14:paraId="1CA05FB3" w14:textId="2C198028" w:rsidR="00A179AB" w:rsidRPr="00107FFE" w:rsidRDefault="00A179AB" w:rsidP="00A179AB">
            <w:pPr>
              <w:spacing w:after="200" w:line="276" w:lineRule="auto"/>
              <w:jc w:val="both"/>
              <w:rPr>
                <w:rFonts w:ascii="Times New Roman" w:eastAsia="Times New Roman" w:hAnsi="Times New Roman" w:cs="Times New Roman"/>
                <w:i/>
                <w:sz w:val="24"/>
                <w:lang w:eastAsia="ja-JP"/>
              </w:rPr>
            </w:pPr>
          </w:p>
        </w:tc>
      </w:tr>
      <w:tr w:rsidR="00A179AB" w:rsidRPr="00107FFE" w14:paraId="7ADD007C" w14:textId="77777777" w:rsidTr="00E1293C">
        <w:trPr>
          <w:trHeight w:val="259"/>
        </w:trPr>
        <w:tc>
          <w:tcPr>
            <w:tcW w:w="1030" w:type="dxa"/>
            <w:vAlign w:val="center"/>
          </w:tcPr>
          <w:p w14:paraId="186A6028" w14:textId="19C969DD"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37</w:t>
            </w:r>
          </w:p>
        </w:tc>
        <w:tc>
          <w:tcPr>
            <w:tcW w:w="7661" w:type="dxa"/>
            <w:shd w:val="clear" w:color="auto" w:fill="auto"/>
            <w:noWrap/>
            <w:vAlign w:val="bottom"/>
          </w:tcPr>
          <w:p w14:paraId="1EEA4676" w14:textId="0A3F1138"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If yes, specify non-compliant features</w:t>
            </w:r>
          </w:p>
          <w:p w14:paraId="43F7A68A" w14:textId="1AFE0A9F"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If there are non-compliant features, institution shall specify which ones. </w:t>
            </w:r>
          </w:p>
          <w:p w14:paraId="0EBCC4F7" w14:textId="77777777" w:rsidR="00A179AB" w:rsidRPr="00107FFE" w:rsidRDefault="00A179AB" w:rsidP="00A179AB">
            <w:pPr>
              <w:spacing w:after="200" w:line="276" w:lineRule="auto"/>
              <w:jc w:val="both"/>
              <w:rPr>
                <w:rFonts w:ascii="Times New Roman" w:eastAsia="Times New Roman" w:hAnsi="Times New Roman" w:cs="Times New Roman"/>
                <w:i/>
                <w:sz w:val="24"/>
                <w:lang w:eastAsia="ja-JP"/>
              </w:rPr>
            </w:pPr>
            <w:r w:rsidRPr="00107FFE">
              <w:rPr>
                <w:rFonts w:ascii="Times New Roman" w:eastAsia="Times New Roman" w:hAnsi="Times New Roman" w:cs="Times New Roman"/>
                <w:i/>
                <w:sz w:val="24"/>
                <w:lang w:eastAsia="ja-JP"/>
              </w:rPr>
              <w:t>Free text</w:t>
            </w:r>
          </w:p>
        </w:tc>
      </w:tr>
      <w:tr w:rsidR="00A179AB" w:rsidRPr="00107FFE" w14:paraId="3E9AF05B" w14:textId="77777777" w:rsidTr="00E1293C">
        <w:trPr>
          <w:trHeight w:val="259"/>
        </w:trPr>
        <w:tc>
          <w:tcPr>
            <w:tcW w:w="1030" w:type="dxa"/>
            <w:vAlign w:val="center"/>
          </w:tcPr>
          <w:p w14:paraId="354CFA4C" w14:textId="138B4557" w:rsidR="00A179AB" w:rsidRPr="00107FFE" w:rsidRDefault="00A179AB" w:rsidP="00A179AB">
            <w:pPr>
              <w:spacing w:after="200" w:line="276" w:lineRule="auto"/>
              <w:rPr>
                <w:rFonts w:ascii="Times New Roman" w:eastAsia="Times New Roman" w:hAnsi="Times New Roman" w:cs="Times New Roman"/>
                <w:sz w:val="24"/>
                <w:lang w:eastAsia="ja-JP"/>
              </w:rPr>
            </w:pPr>
            <w:r w:rsidRPr="00107FFE">
              <w:rPr>
                <w:rFonts w:ascii="Times New Roman" w:hAnsi="Times New Roman" w:cs="Times New Roman"/>
                <w:color w:val="000000"/>
                <w:sz w:val="24"/>
              </w:rPr>
              <w:t>38</w:t>
            </w:r>
          </w:p>
        </w:tc>
        <w:tc>
          <w:tcPr>
            <w:tcW w:w="7661" w:type="dxa"/>
            <w:shd w:val="clear" w:color="auto" w:fill="auto"/>
            <w:noWrap/>
            <w:vAlign w:val="bottom"/>
          </w:tcPr>
          <w:p w14:paraId="282AA222" w14:textId="37D71D92" w:rsidR="00F117AF" w:rsidRPr="00107FFE" w:rsidRDefault="00F117AF"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 xml:space="preserve">Link to the full term and conditions of the </w:t>
            </w:r>
            <w:r w:rsidR="001F66F3" w:rsidRPr="00107FFE">
              <w:rPr>
                <w:rFonts w:ascii="Times New Roman" w:eastAsia="Times New Roman" w:hAnsi="Times New Roman" w:cs="Times New Roman"/>
                <w:sz w:val="24"/>
                <w:lang w:eastAsia="ja-JP"/>
              </w:rPr>
              <w:t>instrument</w:t>
            </w:r>
            <w:r w:rsidRPr="00107FFE">
              <w:rPr>
                <w:rFonts w:ascii="Times New Roman" w:eastAsia="Times New Roman" w:hAnsi="Times New Roman" w:cs="Times New Roman"/>
                <w:sz w:val="24"/>
                <w:lang w:eastAsia="ja-JP"/>
              </w:rPr>
              <w:t xml:space="preserve"> (signposting)</w:t>
            </w:r>
          </w:p>
          <w:p w14:paraId="652B063B" w14:textId="1E8324E2" w:rsidR="00A179AB" w:rsidRPr="00107FFE" w:rsidRDefault="00A179AB" w:rsidP="00A179AB">
            <w:pPr>
              <w:spacing w:after="200" w:line="276" w:lineRule="auto"/>
              <w:jc w:val="both"/>
              <w:rPr>
                <w:rFonts w:ascii="Times New Roman" w:eastAsia="Times New Roman" w:hAnsi="Times New Roman" w:cs="Times New Roman"/>
                <w:sz w:val="24"/>
                <w:lang w:eastAsia="ja-JP"/>
              </w:rPr>
            </w:pPr>
            <w:r w:rsidRPr="00107FFE">
              <w:rPr>
                <w:rFonts w:ascii="Times New Roman" w:eastAsia="Times New Roman" w:hAnsi="Times New Roman" w:cs="Times New Roman"/>
                <w:sz w:val="24"/>
                <w:lang w:eastAsia="ja-JP"/>
              </w:rPr>
              <w:t>Investment firms shall include the hyperlink that gives access to the prospectus of the issuance, including all the terms and conditions of the instrument.</w:t>
            </w:r>
          </w:p>
        </w:tc>
      </w:tr>
      <w:bookmarkEnd w:id="0"/>
      <w:bookmarkEnd w:id="1"/>
      <w:bookmarkEnd w:id="2"/>
      <w:bookmarkEnd w:id="3"/>
      <w:bookmarkEnd w:id="4"/>
      <w:bookmarkEnd w:id="5"/>
      <w:bookmarkEnd w:id="6"/>
      <w:bookmarkEnd w:id="7"/>
      <w:bookmarkEnd w:id="8"/>
      <w:bookmarkEnd w:id="9"/>
    </w:tbl>
    <w:p w14:paraId="0B687D33" w14:textId="77777777" w:rsidR="004D7854" w:rsidRPr="00107FFE" w:rsidRDefault="004D7854" w:rsidP="004D7854">
      <w:pPr>
        <w:rPr>
          <w:rFonts w:ascii="Times New Roman" w:hAnsi="Times New Roman" w:cs="Times New Roman"/>
          <w:bCs/>
          <w:sz w:val="24"/>
        </w:rPr>
      </w:pPr>
    </w:p>
    <w:sectPr w:rsidR="004D7854" w:rsidRPr="00107FFE" w:rsidSect="000F33D3">
      <w:footerReference w:type="default" r:id="rId8"/>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2351" w14:textId="77777777" w:rsidR="007B2049" w:rsidRDefault="007B2049" w:rsidP="00A00E34">
      <w:r>
        <w:separator/>
      </w:r>
    </w:p>
    <w:p w14:paraId="45BEB431" w14:textId="77777777" w:rsidR="007B2049" w:rsidRDefault="007B2049"/>
  </w:endnote>
  <w:endnote w:type="continuationSeparator" w:id="0">
    <w:p w14:paraId="481BE060" w14:textId="77777777" w:rsidR="007B2049" w:rsidRDefault="007B2049" w:rsidP="00A00E34">
      <w:r>
        <w:continuationSeparator/>
      </w:r>
    </w:p>
    <w:p w14:paraId="707B90B9" w14:textId="77777777" w:rsidR="007B2049" w:rsidRDefault="007B2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04084"/>
      <w:docPartObj>
        <w:docPartGallery w:val="Page Numbers (Bottom of Page)"/>
        <w:docPartUnique/>
      </w:docPartObj>
    </w:sdtPr>
    <w:sdtEndPr>
      <w:rPr>
        <w:noProof/>
      </w:rPr>
    </w:sdtEndPr>
    <w:sdtContent>
      <w:p w14:paraId="44B2B30F" w14:textId="59555699" w:rsidR="007B2049" w:rsidRDefault="007B2049">
        <w:pPr>
          <w:pStyle w:val="Footer"/>
          <w:jc w:val="right"/>
        </w:pPr>
        <w:r>
          <w:fldChar w:fldCharType="begin"/>
        </w:r>
        <w:r>
          <w:instrText xml:space="preserve"> PAGE   \* MERGEFORMAT </w:instrText>
        </w:r>
        <w:r>
          <w:fldChar w:fldCharType="separate"/>
        </w:r>
        <w:r w:rsidR="0066273A">
          <w:rPr>
            <w:noProof/>
          </w:rPr>
          <w:t>21</w:t>
        </w:r>
        <w:r>
          <w:rPr>
            <w:noProof/>
          </w:rPr>
          <w:fldChar w:fldCharType="end"/>
        </w:r>
      </w:p>
    </w:sdtContent>
  </w:sdt>
  <w:p w14:paraId="2302812C" w14:textId="77777777" w:rsidR="007B2049" w:rsidRDefault="007B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835D" w14:textId="77777777" w:rsidR="007B2049" w:rsidRPr="00DB5E8F" w:rsidRDefault="007B2049">
      <w:pPr>
        <w:rPr>
          <w:sz w:val="12"/>
          <w:szCs w:val="12"/>
        </w:rPr>
      </w:pPr>
      <w:r w:rsidRPr="00DB5E8F">
        <w:rPr>
          <w:sz w:val="12"/>
          <w:szCs w:val="12"/>
        </w:rPr>
        <w:separator/>
      </w:r>
    </w:p>
  </w:footnote>
  <w:footnote w:type="continuationSeparator" w:id="0">
    <w:p w14:paraId="49DE89A8" w14:textId="77777777" w:rsidR="007B2049" w:rsidRDefault="007B2049" w:rsidP="00A00E34">
      <w:r>
        <w:continuationSeparator/>
      </w:r>
    </w:p>
    <w:p w14:paraId="7953BDC8" w14:textId="77777777" w:rsidR="007B2049" w:rsidRDefault="007B2049"/>
  </w:footnote>
  <w:footnote w:type="continuationNotice" w:id="1">
    <w:p w14:paraId="70CE7EAB" w14:textId="77777777" w:rsidR="007B2049" w:rsidRDefault="007B204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1785"/>
    <w:multiLevelType w:val="hybridMultilevel"/>
    <w:tmpl w:val="06983DA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80"/>
        </w:tabs>
        <w:ind w:left="-180" w:hanging="360"/>
      </w:p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7503B"/>
    <w:multiLevelType w:val="multilevel"/>
    <w:tmpl w:val="9EF841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1"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2"/>
  </w:num>
  <w:num w:numId="6">
    <w:abstractNumId w:val="1"/>
  </w:num>
  <w:num w:numId="7">
    <w:abstractNumId w:val="11"/>
  </w:num>
  <w:num w:numId="8">
    <w:abstractNumId w:val="8"/>
  </w:num>
  <w:num w:numId="9">
    <w:abstractNumId w:val="0"/>
  </w:num>
  <w:num w:numId="10">
    <w:abstractNumId w:val="4"/>
  </w:num>
  <w:num w:numId="11">
    <w:abstractNumId w:val="10"/>
  </w:num>
  <w:num w:numId="12">
    <w:abstractNumId w:val="3"/>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142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13281"/>
    <w:rsid w:val="000152D6"/>
    <w:rsid w:val="00015DE4"/>
    <w:rsid w:val="000231B7"/>
    <w:rsid w:val="00027CA0"/>
    <w:rsid w:val="00030D65"/>
    <w:rsid w:val="00034F4F"/>
    <w:rsid w:val="00037735"/>
    <w:rsid w:val="00040129"/>
    <w:rsid w:val="0004256C"/>
    <w:rsid w:val="000536DB"/>
    <w:rsid w:val="000607F5"/>
    <w:rsid w:val="00060A3C"/>
    <w:rsid w:val="00060C0E"/>
    <w:rsid w:val="00060F40"/>
    <w:rsid w:val="00062830"/>
    <w:rsid w:val="00062937"/>
    <w:rsid w:val="00066A9A"/>
    <w:rsid w:val="000769C4"/>
    <w:rsid w:val="000774B3"/>
    <w:rsid w:val="00080651"/>
    <w:rsid w:val="00081467"/>
    <w:rsid w:val="00083C33"/>
    <w:rsid w:val="000843CD"/>
    <w:rsid w:val="00085E01"/>
    <w:rsid w:val="000918FE"/>
    <w:rsid w:val="00094824"/>
    <w:rsid w:val="00096C95"/>
    <w:rsid w:val="000A1C81"/>
    <w:rsid w:val="000A2565"/>
    <w:rsid w:val="000A3851"/>
    <w:rsid w:val="000B1645"/>
    <w:rsid w:val="000B30B1"/>
    <w:rsid w:val="000C5A8A"/>
    <w:rsid w:val="000C7FD8"/>
    <w:rsid w:val="000D1FC3"/>
    <w:rsid w:val="000D7A44"/>
    <w:rsid w:val="000E0C27"/>
    <w:rsid w:val="000E6D15"/>
    <w:rsid w:val="000F33D3"/>
    <w:rsid w:val="000F3E72"/>
    <w:rsid w:val="000F3F1B"/>
    <w:rsid w:val="000F607B"/>
    <w:rsid w:val="000F6495"/>
    <w:rsid w:val="000F6FD8"/>
    <w:rsid w:val="001061FA"/>
    <w:rsid w:val="00107CC3"/>
    <w:rsid w:val="00107FFE"/>
    <w:rsid w:val="0011517F"/>
    <w:rsid w:val="00116755"/>
    <w:rsid w:val="00121BB0"/>
    <w:rsid w:val="00121E46"/>
    <w:rsid w:val="00123AEB"/>
    <w:rsid w:val="00123F9E"/>
    <w:rsid w:val="0012686C"/>
    <w:rsid w:val="00126F48"/>
    <w:rsid w:val="0013090C"/>
    <w:rsid w:val="00131C5D"/>
    <w:rsid w:val="00133881"/>
    <w:rsid w:val="00141649"/>
    <w:rsid w:val="00142DF6"/>
    <w:rsid w:val="001459FC"/>
    <w:rsid w:val="00145D24"/>
    <w:rsid w:val="00147499"/>
    <w:rsid w:val="00152832"/>
    <w:rsid w:val="00154596"/>
    <w:rsid w:val="00157440"/>
    <w:rsid w:val="001600FC"/>
    <w:rsid w:val="00163025"/>
    <w:rsid w:val="0016737A"/>
    <w:rsid w:val="001705D7"/>
    <w:rsid w:val="00172007"/>
    <w:rsid w:val="0017330E"/>
    <w:rsid w:val="0017446F"/>
    <w:rsid w:val="00177CB9"/>
    <w:rsid w:val="00181925"/>
    <w:rsid w:val="001834D4"/>
    <w:rsid w:val="00192287"/>
    <w:rsid w:val="001A016C"/>
    <w:rsid w:val="001A2A81"/>
    <w:rsid w:val="001A5BD4"/>
    <w:rsid w:val="001A70A8"/>
    <w:rsid w:val="001B2C0D"/>
    <w:rsid w:val="001B5520"/>
    <w:rsid w:val="001B6017"/>
    <w:rsid w:val="001B66D7"/>
    <w:rsid w:val="001B7A0B"/>
    <w:rsid w:val="001B7EB3"/>
    <w:rsid w:val="001C1FD9"/>
    <w:rsid w:val="001C4DBD"/>
    <w:rsid w:val="001C502A"/>
    <w:rsid w:val="001C5BC2"/>
    <w:rsid w:val="001C788D"/>
    <w:rsid w:val="001D0179"/>
    <w:rsid w:val="001E1188"/>
    <w:rsid w:val="001E3599"/>
    <w:rsid w:val="001E6323"/>
    <w:rsid w:val="001F1CB9"/>
    <w:rsid w:val="001F2493"/>
    <w:rsid w:val="001F66F3"/>
    <w:rsid w:val="001F7501"/>
    <w:rsid w:val="001F7FC2"/>
    <w:rsid w:val="0020146D"/>
    <w:rsid w:val="00205878"/>
    <w:rsid w:val="00212AD1"/>
    <w:rsid w:val="00213D7B"/>
    <w:rsid w:val="00214DEC"/>
    <w:rsid w:val="00217948"/>
    <w:rsid w:val="00224761"/>
    <w:rsid w:val="00224A3F"/>
    <w:rsid w:val="00224D96"/>
    <w:rsid w:val="002277D4"/>
    <w:rsid w:val="002306C7"/>
    <w:rsid w:val="00236399"/>
    <w:rsid w:val="00241556"/>
    <w:rsid w:val="00241BD8"/>
    <w:rsid w:val="002434B0"/>
    <w:rsid w:val="00243BC9"/>
    <w:rsid w:val="00254CA9"/>
    <w:rsid w:val="002560B1"/>
    <w:rsid w:val="00261F5D"/>
    <w:rsid w:val="00263720"/>
    <w:rsid w:val="0026424B"/>
    <w:rsid w:val="00266553"/>
    <w:rsid w:val="00266F94"/>
    <w:rsid w:val="00267DE1"/>
    <w:rsid w:val="0027418E"/>
    <w:rsid w:val="002767AA"/>
    <w:rsid w:val="00276C64"/>
    <w:rsid w:val="00284A9D"/>
    <w:rsid w:val="00284B51"/>
    <w:rsid w:val="00290DA3"/>
    <w:rsid w:val="00295FF7"/>
    <w:rsid w:val="00297132"/>
    <w:rsid w:val="002A0FF0"/>
    <w:rsid w:val="002A3A19"/>
    <w:rsid w:val="002B149A"/>
    <w:rsid w:val="002C0DCF"/>
    <w:rsid w:val="002D1867"/>
    <w:rsid w:val="002D4CB9"/>
    <w:rsid w:val="002E4658"/>
    <w:rsid w:val="002E626C"/>
    <w:rsid w:val="002F2009"/>
    <w:rsid w:val="00300924"/>
    <w:rsid w:val="003025A8"/>
    <w:rsid w:val="00304DDE"/>
    <w:rsid w:val="0030776D"/>
    <w:rsid w:val="003129B6"/>
    <w:rsid w:val="00314D35"/>
    <w:rsid w:val="00314D6E"/>
    <w:rsid w:val="003156DA"/>
    <w:rsid w:val="00317E83"/>
    <w:rsid w:val="00320E57"/>
    <w:rsid w:val="0032171F"/>
    <w:rsid w:val="003221EF"/>
    <w:rsid w:val="00322C23"/>
    <w:rsid w:val="003248A2"/>
    <w:rsid w:val="003402BF"/>
    <w:rsid w:val="00350D0D"/>
    <w:rsid w:val="0035477B"/>
    <w:rsid w:val="00357698"/>
    <w:rsid w:val="003601D5"/>
    <w:rsid w:val="003604AA"/>
    <w:rsid w:val="003604E5"/>
    <w:rsid w:val="00372BEC"/>
    <w:rsid w:val="00373588"/>
    <w:rsid w:val="00376330"/>
    <w:rsid w:val="00382481"/>
    <w:rsid w:val="003910E4"/>
    <w:rsid w:val="00392385"/>
    <w:rsid w:val="003A2097"/>
    <w:rsid w:val="003A4578"/>
    <w:rsid w:val="003B4695"/>
    <w:rsid w:val="003B6A5A"/>
    <w:rsid w:val="003D01F8"/>
    <w:rsid w:val="003D5C73"/>
    <w:rsid w:val="003D6EFC"/>
    <w:rsid w:val="003D7A72"/>
    <w:rsid w:val="003E318D"/>
    <w:rsid w:val="003E4D5A"/>
    <w:rsid w:val="004079C3"/>
    <w:rsid w:val="00407E31"/>
    <w:rsid w:val="00411DE3"/>
    <w:rsid w:val="00412567"/>
    <w:rsid w:val="00415A37"/>
    <w:rsid w:val="004172D1"/>
    <w:rsid w:val="0041780C"/>
    <w:rsid w:val="004226E0"/>
    <w:rsid w:val="00424530"/>
    <w:rsid w:val="004254FA"/>
    <w:rsid w:val="00430220"/>
    <w:rsid w:val="0043182B"/>
    <w:rsid w:val="00431D34"/>
    <w:rsid w:val="0043577F"/>
    <w:rsid w:val="0043675A"/>
    <w:rsid w:val="00441F85"/>
    <w:rsid w:val="00445775"/>
    <w:rsid w:val="004476B6"/>
    <w:rsid w:val="00452468"/>
    <w:rsid w:val="0045301B"/>
    <w:rsid w:val="004541F3"/>
    <w:rsid w:val="00455E0E"/>
    <w:rsid w:val="00457830"/>
    <w:rsid w:val="00464493"/>
    <w:rsid w:val="004719B4"/>
    <w:rsid w:val="00471CA1"/>
    <w:rsid w:val="00471CCE"/>
    <w:rsid w:val="0047368B"/>
    <w:rsid w:val="00475306"/>
    <w:rsid w:val="00481AC4"/>
    <w:rsid w:val="00482FB6"/>
    <w:rsid w:val="0048335C"/>
    <w:rsid w:val="004955E7"/>
    <w:rsid w:val="0049781D"/>
    <w:rsid w:val="004A4358"/>
    <w:rsid w:val="004A5A27"/>
    <w:rsid w:val="004A5D8B"/>
    <w:rsid w:val="004A6748"/>
    <w:rsid w:val="004B0ED2"/>
    <w:rsid w:val="004B12B9"/>
    <w:rsid w:val="004B2FC0"/>
    <w:rsid w:val="004B7784"/>
    <w:rsid w:val="004C1B19"/>
    <w:rsid w:val="004C231D"/>
    <w:rsid w:val="004C320A"/>
    <w:rsid w:val="004C350B"/>
    <w:rsid w:val="004C3E3C"/>
    <w:rsid w:val="004C6392"/>
    <w:rsid w:val="004D1DB2"/>
    <w:rsid w:val="004D3523"/>
    <w:rsid w:val="004D7668"/>
    <w:rsid w:val="004D7854"/>
    <w:rsid w:val="004E1A1F"/>
    <w:rsid w:val="004E405B"/>
    <w:rsid w:val="004F0AB6"/>
    <w:rsid w:val="004F63DB"/>
    <w:rsid w:val="004F7817"/>
    <w:rsid w:val="00505C64"/>
    <w:rsid w:val="005105EF"/>
    <w:rsid w:val="0051457E"/>
    <w:rsid w:val="00516D85"/>
    <w:rsid w:val="00523895"/>
    <w:rsid w:val="005331B8"/>
    <w:rsid w:val="00536BAA"/>
    <w:rsid w:val="00536C62"/>
    <w:rsid w:val="005410AB"/>
    <w:rsid w:val="00543A44"/>
    <w:rsid w:val="00544B12"/>
    <w:rsid w:val="00565691"/>
    <w:rsid w:val="005658E3"/>
    <w:rsid w:val="005673AC"/>
    <w:rsid w:val="00571BB6"/>
    <w:rsid w:val="00572850"/>
    <w:rsid w:val="00575BA7"/>
    <w:rsid w:val="00582AA7"/>
    <w:rsid w:val="0058477C"/>
    <w:rsid w:val="0058568F"/>
    <w:rsid w:val="00593D83"/>
    <w:rsid w:val="005A6911"/>
    <w:rsid w:val="005B5C09"/>
    <w:rsid w:val="005B7D63"/>
    <w:rsid w:val="005C3DFF"/>
    <w:rsid w:val="005C46A2"/>
    <w:rsid w:val="005C498B"/>
    <w:rsid w:val="005C590A"/>
    <w:rsid w:val="005D4005"/>
    <w:rsid w:val="005D40D1"/>
    <w:rsid w:val="005D7532"/>
    <w:rsid w:val="005E0636"/>
    <w:rsid w:val="005E3A47"/>
    <w:rsid w:val="005E7F29"/>
    <w:rsid w:val="005F3FED"/>
    <w:rsid w:val="006007FC"/>
    <w:rsid w:val="006017FA"/>
    <w:rsid w:val="006059B2"/>
    <w:rsid w:val="00610305"/>
    <w:rsid w:val="00610419"/>
    <w:rsid w:val="00611DDB"/>
    <w:rsid w:val="00612C7B"/>
    <w:rsid w:val="00615CA4"/>
    <w:rsid w:val="006209BD"/>
    <w:rsid w:val="006224C1"/>
    <w:rsid w:val="00622726"/>
    <w:rsid w:val="0062489A"/>
    <w:rsid w:val="006269B7"/>
    <w:rsid w:val="006307A5"/>
    <w:rsid w:val="00632CC6"/>
    <w:rsid w:val="00633DC7"/>
    <w:rsid w:val="00636E1D"/>
    <w:rsid w:val="00655112"/>
    <w:rsid w:val="0066273A"/>
    <w:rsid w:val="00663B0A"/>
    <w:rsid w:val="006641F8"/>
    <w:rsid w:val="006671A5"/>
    <w:rsid w:val="00670254"/>
    <w:rsid w:val="00677051"/>
    <w:rsid w:val="00680E3F"/>
    <w:rsid w:val="00683CA4"/>
    <w:rsid w:val="00685B41"/>
    <w:rsid w:val="006973AC"/>
    <w:rsid w:val="006A0D6A"/>
    <w:rsid w:val="006A6B46"/>
    <w:rsid w:val="006C1006"/>
    <w:rsid w:val="006C186D"/>
    <w:rsid w:val="006C257B"/>
    <w:rsid w:val="006D2DF9"/>
    <w:rsid w:val="006D7393"/>
    <w:rsid w:val="006E1267"/>
    <w:rsid w:val="006E2336"/>
    <w:rsid w:val="006E400C"/>
    <w:rsid w:val="006E55E1"/>
    <w:rsid w:val="006E6CC7"/>
    <w:rsid w:val="006F2E13"/>
    <w:rsid w:val="006F445D"/>
    <w:rsid w:val="006F6074"/>
    <w:rsid w:val="006F72C6"/>
    <w:rsid w:val="00703E4E"/>
    <w:rsid w:val="007071C6"/>
    <w:rsid w:val="00707902"/>
    <w:rsid w:val="00711E1C"/>
    <w:rsid w:val="00712D2C"/>
    <w:rsid w:val="00721FBA"/>
    <w:rsid w:val="0072423A"/>
    <w:rsid w:val="007269B8"/>
    <w:rsid w:val="00730352"/>
    <w:rsid w:val="007335CF"/>
    <w:rsid w:val="0073505B"/>
    <w:rsid w:val="00735285"/>
    <w:rsid w:val="00742839"/>
    <w:rsid w:val="007457ED"/>
    <w:rsid w:val="00745B15"/>
    <w:rsid w:val="00752710"/>
    <w:rsid w:val="00755505"/>
    <w:rsid w:val="00762FE2"/>
    <w:rsid w:val="0076316D"/>
    <w:rsid w:val="00770BA4"/>
    <w:rsid w:val="00772993"/>
    <w:rsid w:val="007815FB"/>
    <w:rsid w:val="00781D80"/>
    <w:rsid w:val="00785FA0"/>
    <w:rsid w:val="00787523"/>
    <w:rsid w:val="00791DE5"/>
    <w:rsid w:val="007A0054"/>
    <w:rsid w:val="007A2A87"/>
    <w:rsid w:val="007A38F2"/>
    <w:rsid w:val="007A44A6"/>
    <w:rsid w:val="007A5353"/>
    <w:rsid w:val="007A634A"/>
    <w:rsid w:val="007B00C5"/>
    <w:rsid w:val="007B2049"/>
    <w:rsid w:val="007B3D63"/>
    <w:rsid w:val="007B69D6"/>
    <w:rsid w:val="007C480D"/>
    <w:rsid w:val="007C4DEA"/>
    <w:rsid w:val="007C55D0"/>
    <w:rsid w:val="007C7C05"/>
    <w:rsid w:val="007C7EEC"/>
    <w:rsid w:val="007E17FF"/>
    <w:rsid w:val="007E57CE"/>
    <w:rsid w:val="007F025A"/>
    <w:rsid w:val="007F0336"/>
    <w:rsid w:val="00802CF8"/>
    <w:rsid w:val="008054E1"/>
    <w:rsid w:val="00811B51"/>
    <w:rsid w:val="008123E1"/>
    <w:rsid w:val="00813BAC"/>
    <w:rsid w:val="00813CD4"/>
    <w:rsid w:val="00821B9D"/>
    <w:rsid w:val="00823FF9"/>
    <w:rsid w:val="00825F5D"/>
    <w:rsid w:val="00833D71"/>
    <w:rsid w:val="0083698E"/>
    <w:rsid w:val="00842B8C"/>
    <w:rsid w:val="0084468C"/>
    <w:rsid w:val="00844EE2"/>
    <w:rsid w:val="00845727"/>
    <w:rsid w:val="0085041F"/>
    <w:rsid w:val="00851389"/>
    <w:rsid w:val="00851DC4"/>
    <w:rsid w:val="008552A0"/>
    <w:rsid w:val="00862D23"/>
    <w:rsid w:val="0086481F"/>
    <w:rsid w:val="00865492"/>
    <w:rsid w:val="00867CB4"/>
    <w:rsid w:val="008708AB"/>
    <w:rsid w:val="008710F1"/>
    <w:rsid w:val="00874ED5"/>
    <w:rsid w:val="008762FD"/>
    <w:rsid w:val="008804A3"/>
    <w:rsid w:val="008810BC"/>
    <w:rsid w:val="008923EC"/>
    <w:rsid w:val="008A2821"/>
    <w:rsid w:val="008A482F"/>
    <w:rsid w:val="008A4BCE"/>
    <w:rsid w:val="008A7502"/>
    <w:rsid w:val="008B0845"/>
    <w:rsid w:val="008C086F"/>
    <w:rsid w:val="008C0FCB"/>
    <w:rsid w:val="008C1A94"/>
    <w:rsid w:val="008C5B82"/>
    <w:rsid w:val="008C676F"/>
    <w:rsid w:val="008C700B"/>
    <w:rsid w:val="008E0286"/>
    <w:rsid w:val="008E0B40"/>
    <w:rsid w:val="008E5D6B"/>
    <w:rsid w:val="008F025A"/>
    <w:rsid w:val="008F2190"/>
    <w:rsid w:val="008F3908"/>
    <w:rsid w:val="009014B6"/>
    <w:rsid w:val="00902DB0"/>
    <w:rsid w:val="00907326"/>
    <w:rsid w:val="0091023A"/>
    <w:rsid w:val="00911FDF"/>
    <w:rsid w:val="00912882"/>
    <w:rsid w:val="00912895"/>
    <w:rsid w:val="009210DE"/>
    <w:rsid w:val="00922245"/>
    <w:rsid w:val="0092311E"/>
    <w:rsid w:val="00924338"/>
    <w:rsid w:val="00943B87"/>
    <w:rsid w:val="00943C57"/>
    <w:rsid w:val="00950374"/>
    <w:rsid w:val="00950380"/>
    <w:rsid w:val="00952E83"/>
    <w:rsid w:val="009531CB"/>
    <w:rsid w:val="00953FD4"/>
    <w:rsid w:val="0096160F"/>
    <w:rsid w:val="009658DE"/>
    <w:rsid w:val="00965B80"/>
    <w:rsid w:val="009702C5"/>
    <w:rsid w:val="00970F55"/>
    <w:rsid w:val="00970F84"/>
    <w:rsid w:val="00972BBA"/>
    <w:rsid w:val="009874AC"/>
    <w:rsid w:val="00993B1E"/>
    <w:rsid w:val="00997774"/>
    <w:rsid w:val="009A6CFC"/>
    <w:rsid w:val="009A7B54"/>
    <w:rsid w:val="009B5CAD"/>
    <w:rsid w:val="009B6F48"/>
    <w:rsid w:val="009B7766"/>
    <w:rsid w:val="009C12C9"/>
    <w:rsid w:val="009C1CE7"/>
    <w:rsid w:val="009C4C51"/>
    <w:rsid w:val="009D55F7"/>
    <w:rsid w:val="009E2F32"/>
    <w:rsid w:val="009E38A2"/>
    <w:rsid w:val="009E4107"/>
    <w:rsid w:val="009E76BE"/>
    <w:rsid w:val="009E79BF"/>
    <w:rsid w:val="009F12DA"/>
    <w:rsid w:val="009F3FE6"/>
    <w:rsid w:val="009F53AF"/>
    <w:rsid w:val="009F7480"/>
    <w:rsid w:val="00A00793"/>
    <w:rsid w:val="00A00E34"/>
    <w:rsid w:val="00A01899"/>
    <w:rsid w:val="00A01A6F"/>
    <w:rsid w:val="00A062C7"/>
    <w:rsid w:val="00A07858"/>
    <w:rsid w:val="00A10257"/>
    <w:rsid w:val="00A1373A"/>
    <w:rsid w:val="00A14332"/>
    <w:rsid w:val="00A1464F"/>
    <w:rsid w:val="00A179AB"/>
    <w:rsid w:val="00A23608"/>
    <w:rsid w:val="00A268BE"/>
    <w:rsid w:val="00A27B9D"/>
    <w:rsid w:val="00A27D88"/>
    <w:rsid w:val="00A304D0"/>
    <w:rsid w:val="00A37FED"/>
    <w:rsid w:val="00A41A7E"/>
    <w:rsid w:val="00A4607D"/>
    <w:rsid w:val="00A4696A"/>
    <w:rsid w:val="00A53EC9"/>
    <w:rsid w:val="00A6040B"/>
    <w:rsid w:val="00A725D6"/>
    <w:rsid w:val="00A72C7D"/>
    <w:rsid w:val="00A76F9E"/>
    <w:rsid w:val="00A81586"/>
    <w:rsid w:val="00A9135C"/>
    <w:rsid w:val="00A92440"/>
    <w:rsid w:val="00A92FBB"/>
    <w:rsid w:val="00A95602"/>
    <w:rsid w:val="00AB104D"/>
    <w:rsid w:val="00AB2476"/>
    <w:rsid w:val="00AC565D"/>
    <w:rsid w:val="00AC5B77"/>
    <w:rsid w:val="00AD0C73"/>
    <w:rsid w:val="00AD6309"/>
    <w:rsid w:val="00AD68A6"/>
    <w:rsid w:val="00AE1A2D"/>
    <w:rsid w:val="00AE40A8"/>
    <w:rsid w:val="00AE5347"/>
    <w:rsid w:val="00AE55F6"/>
    <w:rsid w:val="00AE56DB"/>
    <w:rsid w:val="00AE5F3C"/>
    <w:rsid w:val="00AF1B12"/>
    <w:rsid w:val="00AF705F"/>
    <w:rsid w:val="00AF7442"/>
    <w:rsid w:val="00B06C16"/>
    <w:rsid w:val="00B11575"/>
    <w:rsid w:val="00B12C9C"/>
    <w:rsid w:val="00B13C87"/>
    <w:rsid w:val="00B1710D"/>
    <w:rsid w:val="00B27C1B"/>
    <w:rsid w:val="00B32510"/>
    <w:rsid w:val="00B3595C"/>
    <w:rsid w:val="00B36D5E"/>
    <w:rsid w:val="00B41AA9"/>
    <w:rsid w:val="00B41D2E"/>
    <w:rsid w:val="00B43E07"/>
    <w:rsid w:val="00B44D36"/>
    <w:rsid w:val="00B50C9F"/>
    <w:rsid w:val="00B526A8"/>
    <w:rsid w:val="00B55FAB"/>
    <w:rsid w:val="00B6734E"/>
    <w:rsid w:val="00B72FCD"/>
    <w:rsid w:val="00B76198"/>
    <w:rsid w:val="00B81983"/>
    <w:rsid w:val="00B829D2"/>
    <w:rsid w:val="00B83D9D"/>
    <w:rsid w:val="00B84529"/>
    <w:rsid w:val="00B87D5A"/>
    <w:rsid w:val="00B96F7F"/>
    <w:rsid w:val="00BA414B"/>
    <w:rsid w:val="00BB2111"/>
    <w:rsid w:val="00BB50D3"/>
    <w:rsid w:val="00BB5F93"/>
    <w:rsid w:val="00BB7CD7"/>
    <w:rsid w:val="00BC13F1"/>
    <w:rsid w:val="00BC5CCC"/>
    <w:rsid w:val="00BC7FD2"/>
    <w:rsid w:val="00BD12F1"/>
    <w:rsid w:val="00BD6709"/>
    <w:rsid w:val="00BD7264"/>
    <w:rsid w:val="00BE089D"/>
    <w:rsid w:val="00BE4814"/>
    <w:rsid w:val="00BF5F86"/>
    <w:rsid w:val="00C03AE7"/>
    <w:rsid w:val="00C05D9D"/>
    <w:rsid w:val="00C102BB"/>
    <w:rsid w:val="00C122DA"/>
    <w:rsid w:val="00C12FA8"/>
    <w:rsid w:val="00C2347B"/>
    <w:rsid w:val="00C261D1"/>
    <w:rsid w:val="00C32777"/>
    <w:rsid w:val="00C33ED6"/>
    <w:rsid w:val="00C33F67"/>
    <w:rsid w:val="00C342AE"/>
    <w:rsid w:val="00C35592"/>
    <w:rsid w:val="00C356AF"/>
    <w:rsid w:val="00C41927"/>
    <w:rsid w:val="00C43337"/>
    <w:rsid w:val="00C439D6"/>
    <w:rsid w:val="00C43FD9"/>
    <w:rsid w:val="00C44761"/>
    <w:rsid w:val="00C44E1D"/>
    <w:rsid w:val="00C44EB2"/>
    <w:rsid w:val="00C47E8F"/>
    <w:rsid w:val="00C5061F"/>
    <w:rsid w:val="00C54CC8"/>
    <w:rsid w:val="00C57BC4"/>
    <w:rsid w:val="00C601DB"/>
    <w:rsid w:val="00C60915"/>
    <w:rsid w:val="00C60DFD"/>
    <w:rsid w:val="00C964B8"/>
    <w:rsid w:val="00CA3955"/>
    <w:rsid w:val="00CD39AD"/>
    <w:rsid w:val="00CD4AF7"/>
    <w:rsid w:val="00CD4C1C"/>
    <w:rsid w:val="00CE0E35"/>
    <w:rsid w:val="00CE3517"/>
    <w:rsid w:val="00CE5E92"/>
    <w:rsid w:val="00CF4FE1"/>
    <w:rsid w:val="00CF7EBE"/>
    <w:rsid w:val="00D00442"/>
    <w:rsid w:val="00D01670"/>
    <w:rsid w:val="00D05C26"/>
    <w:rsid w:val="00D05E45"/>
    <w:rsid w:val="00D062AC"/>
    <w:rsid w:val="00D120EF"/>
    <w:rsid w:val="00D152E7"/>
    <w:rsid w:val="00D2174F"/>
    <w:rsid w:val="00D21F91"/>
    <w:rsid w:val="00D33027"/>
    <w:rsid w:val="00D36DFB"/>
    <w:rsid w:val="00D3796C"/>
    <w:rsid w:val="00D418D6"/>
    <w:rsid w:val="00D44360"/>
    <w:rsid w:val="00D4770F"/>
    <w:rsid w:val="00D53948"/>
    <w:rsid w:val="00D549B9"/>
    <w:rsid w:val="00D54D18"/>
    <w:rsid w:val="00D557EE"/>
    <w:rsid w:val="00D56058"/>
    <w:rsid w:val="00D57F4B"/>
    <w:rsid w:val="00D65001"/>
    <w:rsid w:val="00D656AD"/>
    <w:rsid w:val="00D765DC"/>
    <w:rsid w:val="00D76E91"/>
    <w:rsid w:val="00D811FA"/>
    <w:rsid w:val="00D81F8C"/>
    <w:rsid w:val="00D841FF"/>
    <w:rsid w:val="00D849AA"/>
    <w:rsid w:val="00D84FEE"/>
    <w:rsid w:val="00D872D1"/>
    <w:rsid w:val="00DA6122"/>
    <w:rsid w:val="00DB0E3D"/>
    <w:rsid w:val="00DB1E32"/>
    <w:rsid w:val="00DB2AD2"/>
    <w:rsid w:val="00DB4809"/>
    <w:rsid w:val="00DB5E8F"/>
    <w:rsid w:val="00DC3E99"/>
    <w:rsid w:val="00DC5C27"/>
    <w:rsid w:val="00DC7C3E"/>
    <w:rsid w:val="00DD40A7"/>
    <w:rsid w:val="00DE142C"/>
    <w:rsid w:val="00DE1538"/>
    <w:rsid w:val="00DE30E0"/>
    <w:rsid w:val="00DE6A90"/>
    <w:rsid w:val="00DF1A0E"/>
    <w:rsid w:val="00DF5B7A"/>
    <w:rsid w:val="00E032F7"/>
    <w:rsid w:val="00E03CF4"/>
    <w:rsid w:val="00E078B5"/>
    <w:rsid w:val="00E11B1A"/>
    <w:rsid w:val="00E1293C"/>
    <w:rsid w:val="00E14AA0"/>
    <w:rsid w:val="00E152CC"/>
    <w:rsid w:val="00E15377"/>
    <w:rsid w:val="00E2207A"/>
    <w:rsid w:val="00E22BCE"/>
    <w:rsid w:val="00E258D8"/>
    <w:rsid w:val="00E27884"/>
    <w:rsid w:val="00E326FF"/>
    <w:rsid w:val="00E34B8E"/>
    <w:rsid w:val="00E361B0"/>
    <w:rsid w:val="00E37D82"/>
    <w:rsid w:val="00E41563"/>
    <w:rsid w:val="00E45D6A"/>
    <w:rsid w:val="00E51EA9"/>
    <w:rsid w:val="00E53DFB"/>
    <w:rsid w:val="00E574A1"/>
    <w:rsid w:val="00E62DB8"/>
    <w:rsid w:val="00E63010"/>
    <w:rsid w:val="00E65B64"/>
    <w:rsid w:val="00E677EF"/>
    <w:rsid w:val="00E706D2"/>
    <w:rsid w:val="00E7159B"/>
    <w:rsid w:val="00E773EC"/>
    <w:rsid w:val="00E802DD"/>
    <w:rsid w:val="00E85018"/>
    <w:rsid w:val="00E859DF"/>
    <w:rsid w:val="00E87041"/>
    <w:rsid w:val="00E93BE6"/>
    <w:rsid w:val="00E95201"/>
    <w:rsid w:val="00EA1807"/>
    <w:rsid w:val="00EA4947"/>
    <w:rsid w:val="00EC0C41"/>
    <w:rsid w:val="00EC11F0"/>
    <w:rsid w:val="00EC1594"/>
    <w:rsid w:val="00EC1B31"/>
    <w:rsid w:val="00EC1C8C"/>
    <w:rsid w:val="00EC6DF3"/>
    <w:rsid w:val="00ED2521"/>
    <w:rsid w:val="00ED2FB9"/>
    <w:rsid w:val="00ED2FBA"/>
    <w:rsid w:val="00EE0C7D"/>
    <w:rsid w:val="00EE2A43"/>
    <w:rsid w:val="00EE456B"/>
    <w:rsid w:val="00EF0EC9"/>
    <w:rsid w:val="00EF35BF"/>
    <w:rsid w:val="00EF381C"/>
    <w:rsid w:val="00F00C37"/>
    <w:rsid w:val="00F00E02"/>
    <w:rsid w:val="00F034AC"/>
    <w:rsid w:val="00F117AF"/>
    <w:rsid w:val="00F124BE"/>
    <w:rsid w:val="00F12C38"/>
    <w:rsid w:val="00F15397"/>
    <w:rsid w:val="00F160D2"/>
    <w:rsid w:val="00F4748D"/>
    <w:rsid w:val="00F53841"/>
    <w:rsid w:val="00F53B21"/>
    <w:rsid w:val="00F612B3"/>
    <w:rsid w:val="00F653FF"/>
    <w:rsid w:val="00F7064A"/>
    <w:rsid w:val="00F73F10"/>
    <w:rsid w:val="00F747AD"/>
    <w:rsid w:val="00F76D8A"/>
    <w:rsid w:val="00F87F11"/>
    <w:rsid w:val="00F942CA"/>
    <w:rsid w:val="00F9452C"/>
    <w:rsid w:val="00F94AE9"/>
    <w:rsid w:val="00F97085"/>
    <w:rsid w:val="00FA4060"/>
    <w:rsid w:val="00FB310C"/>
    <w:rsid w:val="00FB482B"/>
    <w:rsid w:val="00FB7206"/>
    <w:rsid w:val="00FC1D72"/>
    <w:rsid w:val="00FC22F3"/>
    <w:rsid w:val="00FC53BA"/>
    <w:rsid w:val="00FC5DAA"/>
    <w:rsid w:val="00FD6A9F"/>
    <w:rsid w:val="00FE0C92"/>
    <w:rsid w:val="00FE5577"/>
    <w:rsid w:val="00FF34CA"/>
    <w:rsid w:val="00FF3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2337"/>
    <o:shapelayout v:ext="edit">
      <o:idmap v:ext="edit" data="1"/>
    </o:shapelayout>
  </w:shapeDefaults>
  <w:decimalSymbol w:val="."/>
  <w:listSeparator w:val=","/>
  <w14:docId w14:val="1EA7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Title">
    <w:name w:val="TableTitle"/>
    <w:basedOn w:val="Normal"/>
    <w:next w:val="Normal"/>
    <w:link w:val="TableTitleChar"/>
    <w:rsid w:val="00DD40A7"/>
    <w:pPr>
      <w:keepNext/>
      <w:spacing w:before="120" w:after="240"/>
      <w:jc w:val="center"/>
    </w:pPr>
    <w:rPr>
      <w:rFonts w:ascii="Arial" w:eastAsia="MS Mincho" w:hAnsi="Arial" w:cs="Times New Roman"/>
      <w:b/>
      <w:noProof/>
      <w:szCs w:val="20"/>
      <w:lang w:val="en-GB"/>
    </w:rPr>
  </w:style>
  <w:style w:type="character" w:customStyle="1" w:styleId="TableTitleChar">
    <w:name w:val="TableTitle Char"/>
    <w:basedOn w:val="DefaultParagraphFont"/>
    <w:link w:val="TableTitle"/>
    <w:locked/>
    <w:rsid w:val="00DD40A7"/>
    <w:rPr>
      <w:rFonts w:ascii="Arial" w:eastAsia="MS Mincho" w:hAnsi="Arial" w:cs="Times New Roman"/>
      <w:b/>
      <w:noProof/>
      <w:sz w:val="22"/>
      <w:szCs w:val="20"/>
      <w:lang w:val="en-GB"/>
    </w:rPr>
  </w:style>
  <w:style w:type="paragraph" w:styleId="Revision">
    <w:name w:val="Revision"/>
    <w:hidden/>
    <w:uiPriority w:val="99"/>
    <w:semiHidden/>
    <w:rsid w:val="00BD6709"/>
    <w:rPr>
      <w:sz w:val="22"/>
    </w:rPr>
  </w:style>
  <w:style w:type="character" w:customStyle="1" w:styleId="FormatvorlageInstructionsTabelleText">
    <w:name w:val="Formatvorlage Instructions Tabelle Text"/>
    <w:uiPriority w:val="99"/>
    <w:qFormat/>
    <w:rsid w:val="001F2493"/>
    <w:rPr>
      <w:rFonts w:ascii="Verdana" w:hAnsi="Verdana" w:cs="Times New Roman"/>
      <w:bCs/>
      <w:sz w:val="20"/>
      <w:u w:val="none"/>
    </w:rPr>
  </w:style>
  <w:style w:type="character" w:customStyle="1" w:styleId="InstructionsTabelleberschrift">
    <w:name w:val="Instructions Tabelle Überschrift"/>
    <w:qFormat/>
    <w:rsid w:val="001F2493"/>
    <w:rPr>
      <w:rFonts w:ascii="Verdana" w:hAnsi="Verdana" w:cs="Times New Roman"/>
      <w:b/>
      <w:bCs/>
      <w:sz w:val="20"/>
      <w:u w:val="single"/>
    </w:rPr>
  </w:style>
  <w:style w:type="paragraph" w:customStyle="1" w:styleId="InstructionsText">
    <w:name w:val="Instructions Text"/>
    <w:basedOn w:val="Normal"/>
    <w:link w:val="InstructionsTextChar"/>
    <w:autoRedefine/>
    <w:rsid w:val="00972BBA"/>
    <w:pPr>
      <w:jc w:val="both"/>
    </w:pPr>
    <w:rPr>
      <w:rFonts w:ascii="Times New Roman" w:eastAsiaTheme="majorEastAsia" w:hAnsi="Times New Roman" w:cs="Arial"/>
      <w:bCs/>
      <w:szCs w:val="22"/>
      <w:lang w:val="en-GB" w:eastAsia="de-DE"/>
    </w:rPr>
  </w:style>
  <w:style w:type="character" w:customStyle="1" w:styleId="InstructionsTextChar">
    <w:name w:val="Instructions Text Char"/>
    <w:link w:val="InstructionsText"/>
    <w:locked/>
    <w:rsid w:val="00972BBA"/>
    <w:rPr>
      <w:rFonts w:ascii="Times New Roman" w:eastAsiaTheme="majorEastAsia" w:hAnsi="Times New Roman" w:cs="Arial"/>
      <w:bCs/>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995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35836879">
      <w:bodyDiv w:val="1"/>
      <w:marLeft w:val="0"/>
      <w:marRight w:val="0"/>
      <w:marTop w:val="0"/>
      <w:marBottom w:val="0"/>
      <w:divBdr>
        <w:top w:val="none" w:sz="0" w:space="0" w:color="auto"/>
        <w:left w:val="none" w:sz="0" w:space="0" w:color="auto"/>
        <w:bottom w:val="none" w:sz="0" w:space="0" w:color="auto"/>
        <w:right w:val="none" w:sz="0" w:space="0" w:color="auto"/>
      </w:divBdr>
    </w:div>
    <w:div w:id="1406999856">
      <w:bodyDiv w:val="1"/>
      <w:marLeft w:val="0"/>
      <w:marRight w:val="0"/>
      <w:marTop w:val="0"/>
      <w:marBottom w:val="0"/>
      <w:divBdr>
        <w:top w:val="none" w:sz="0" w:space="0" w:color="auto"/>
        <w:left w:val="none" w:sz="0" w:space="0" w:color="auto"/>
        <w:bottom w:val="none" w:sz="0" w:space="0" w:color="auto"/>
        <w:right w:val="none" w:sz="0" w:space="0" w:color="auto"/>
      </w:divBdr>
    </w:div>
    <w:div w:id="1940988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DCB2-2D6B-4B76-852F-B1D91A16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5101</Words>
  <Characters>29079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2020-03-23T13:14:00Z</dcterms:created>
  <dcterms:modified xsi:type="dcterms:W3CDTF">2020-06-02T11:12:00Z</dcterms:modified>
</cp:coreProperties>
</file>