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09" w:rsidRPr="007B693F" w:rsidRDefault="00327209" w:rsidP="00327209">
      <w:pPr>
        <w:jc w:val="center"/>
        <w:rPr>
          <w:rFonts w:ascii="Times New Roman" w:hAnsi="Times New Roman"/>
          <w:sz w:val="28"/>
          <w:szCs w:val="28"/>
        </w:rPr>
      </w:pPr>
      <w:bookmarkStart w:id="0" w:name="_Toc310414964"/>
      <w:r>
        <w:rPr>
          <w:rFonts w:ascii="Times New Roman" w:hAnsi="Times New Roman"/>
          <w:sz w:val="28"/>
          <w:szCs w:val="28"/>
        </w:rPr>
        <w:t xml:space="preserve">ANNEX </w:t>
      </w:r>
      <w:r w:rsidRPr="007B693F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III</w:t>
      </w:r>
    </w:p>
    <w:p w:rsidR="00327209" w:rsidRPr="007B693F" w:rsidRDefault="00327209" w:rsidP="00327209">
      <w:pPr>
        <w:jc w:val="center"/>
        <w:rPr>
          <w:rFonts w:ascii="Times New Roman" w:hAnsi="Times New Roman"/>
          <w:b/>
          <w:sz w:val="24"/>
          <w:lang w:eastAsia="de-DE"/>
        </w:rPr>
      </w:pPr>
      <w:r w:rsidRPr="007B693F">
        <w:rPr>
          <w:rFonts w:ascii="Times New Roman" w:hAnsi="Times New Roman"/>
          <w:b/>
          <w:sz w:val="24"/>
          <w:lang w:eastAsia="de-DE"/>
        </w:rPr>
        <w:t xml:space="preserve">REPORTING ON </w:t>
      </w:r>
      <w:r>
        <w:rPr>
          <w:rFonts w:ascii="Times New Roman" w:hAnsi="Times New Roman"/>
          <w:b/>
          <w:sz w:val="24"/>
          <w:lang w:eastAsia="de-DE"/>
        </w:rPr>
        <w:t xml:space="preserve">LIQUIDITY (PART </w:t>
      </w:r>
      <w:r w:rsidR="006D7D42">
        <w:rPr>
          <w:rFonts w:ascii="Times New Roman" w:hAnsi="Times New Roman"/>
          <w:b/>
          <w:sz w:val="24"/>
          <w:lang w:eastAsia="de-DE"/>
        </w:rPr>
        <w:t>5</w:t>
      </w:r>
      <w:r>
        <w:rPr>
          <w:rFonts w:ascii="Times New Roman" w:hAnsi="Times New Roman"/>
          <w:b/>
          <w:sz w:val="24"/>
          <w:lang w:eastAsia="de-DE"/>
        </w:rPr>
        <w:t>: STABLE FUNDING)</w:t>
      </w:r>
    </w:p>
    <w:p w:rsidR="00636E81" w:rsidRDefault="00636E81" w:rsidP="00327209">
      <w:pPr>
        <w:pStyle w:val="InstructionsText2"/>
        <w:numPr>
          <w:ilvl w:val="0"/>
          <w:numId w:val="0"/>
        </w:numPr>
        <w:rPr>
          <w:b/>
          <w:u w:val="none"/>
        </w:rPr>
      </w:pPr>
    </w:p>
    <w:bookmarkEnd w:id="0"/>
    <w:p w:rsidR="00D02FE4" w:rsidRPr="000A467A" w:rsidRDefault="0028599D" w:rsidP="00D02FE4">
      <w:pPr>
        <w:pStyle w:val="Instructionsberschrift2"/>
        <w:numPr>
          <w:ilvl w:val="0"/>
          <w:numId w:val="3"/>
        </w:numPr>
        <w:rPr>
          <w:rFonts w:ascii="Times New Roman" w:hAnsi="Times New Roman" w:cs="Times New Roman"/>
        </w:rPr>
      </w:pPr>
      <w:r w:rsidRPr="000A467A">
        <w:rPr>
          <w:rFonts w:ascii="Times New Roman" w:hAnsi="Times New Roman" w:cs="Times New Roman"/>
        </w:rPr>
        <w:t>Items providing stable funding</w:t>
      </w:r>
    </w:p>
    <w:p w:rsidR="00D02FE4" w:rsidRPr="000A467A" w:rsidRDefault="00D02FE4" w:rsidP="00D02FE4">
      <w:pPr>
        <w:pStyle w:val="Instructionsberschrift2"/>
        <w:numPr>
          <w:ilvl w:val="1"/>
          <w:numId w:val="3"/>
        </w:numPr>
        <w:rPr>
          <w:rFonts w:ascii="Times New Roman" w:hAnsi="Times New Roman" w:cs="Times New Roman"/>
        </w:rPr>
      </w:pPr>
      <w:bookmarkStart w:id="1" w:name="_Toc308175819"/>
      <w:bookmarkStart w:id="2" w:name="_Toc310414966"/>
      <w:r w:rsidRPr="000A467A">
        <w:rPr>
          <w:rFonts w:ascii="Times New Roman" w:hAnsi="Times New Roman" w:cs="Times New Roman"/>
        </w:rPr>
        <w:t>General remarks</w:t>
      </w:r>
      <w:bookmarkEnd w:id="1"/>
      <w:bookmarkEnd w:id="2"/>
    </w:p>
    <w:p w:rsidR="005A44F2" w:rsidRPr="000A467A" w:rsidRDefault="00D02FE4" w:rsidP="00B07DED">
      <w:pPr>
        <w:pStyle w:val="InstructionsText2"/>
        <w:rPr>
          <w:u w:val="none"/>
        </w:rPr>
      </w:pPr>
      <w:r w:rsidRPr="000A467A">
        <w:rPr>
          <w:u w:val="none"/>
        </w:rPr>
        <w:t>This is a summary template which contains information about</w:t>
      </w:r>
      <w:r w:rsidR="005A44F2" w:rsidRPr="000A467A">
        <w:rPr>
          <w:u w:val="none"/>
        </w:rPr>
        <w:t xml:space="preserve"> </w:t>
      </w:r>
      <w:r w:rsidR="00F61C00" w:rsidRPr="000A467A">
        <w:rPr>
          <w:u w:val="none"/>
        </w:rPr>
        <w:t>items providing stable funding</w:t>
      </w:r>
      <w:r w:rsidRPr="000A467A">
        <w:rPr>
          <w:u w:val="none"/>
        </w:rPr>
        <w:t xml:space="preserve">. </w:t>
      </w:r>
      <w:r w:rsidR="003A2580">
        <w:rPr>
          <w:u w:val="none"/>
        </w:rPr>
        <w:t>Items which do not need to be completed by institutions are coloured grey.</w:t>
      </w:r>
    </w:p>
    <w:p w:rsidR="006F268C" w:rsidRPr="000A467A" w:rsidRDefault="00F61C00" w:rsidP="00B07DED">
      <w:pPr>
        <w:pStyle w:val="InstructionsText2"/>
        <w:rPr>
          <w:u w:val="none"/>
        </w:rPr>
      </w:pPr>
      <w:r w:rsidRPr="000A467A">
        <w:rPr>
          <w:u w:val="none"/>
        </w:rPr>
        <w:t xml:space="preserve">All </w:t>
      </w:r>
      <w:r w:rsidR="00965F65" w:rsidRPr="000A467A">
        <w:rPr>
          <w:u w:val="none"/>
        </w:rPr>
        <w:t xml:space="preserve">own funds and liabilities </w:t>
      </w:r>
      <w:r w:rsidR="0038458D" w:rsidRPr="000A467A">
        <w:rPr>
          <w:u w:val="none"/>
        </w:rPr>
        <w:t>reported on</w:t>
      </w:r>
      <w:r w:rsidR="00965F65" w:rsidRPr="000A467A">
        <w:rPr>
          <w:u w:val="none"/>
        </w:rPr>
        <w:t xml:space="preserve"> an institution</w:t>
      </w:r>
      <w:r w:rsidR="00E15312">
        <w:rPr>
          <w:u w:val="none"/>
        </w:rPr>
        <w:t>’</w:t>
      </w:r>
      <w:r w:rsidR="00965F65" w:rsidRPr="000A467A">
        <w:rPr>
          <w:u w:val="none"/>
        </w:rPr>
        <w:t xml:space="preserve">s balance sheet </w:t>
      </w:r>
      <w:r w:rsidR="00E15312">
        <w:rPr>
          <w:u w:val="none"/>
        </w:rPr>
        <w:t>shall</w:t>
      </w:r>
      <w:r w:rsidR="00E15312" w:rsidRPr="000A467A">
        <w:rPr>
          <w:u w:val="none"/>
        </w:rPr>
        <w:t xml:space="preserve"> </w:t>
      </w:r>
      <w:r w:rsidR="00965F65" w:rsidRPr="000A467A">
        <w:rPr>
          <w:u w:val="none"/>
        </w:rPr>
        <w:t xml:space="preserve">be reported here. The total amount of these two categories </w:t>
      </w:r>
      <w:r w:rsidR="00E15312">
        <w:rPr>
          <w:u w:val="none"/>
        </w:rPr>
        <w:t xml:space="preserve">shall </w:t>
      </w:r>
      <w:r w:rsidR="00965F65" w:rsidRPr="000A467A">
        <w:rPr>
          <w:u w:val="none"/>
        </w:rPr>
        <w:t>therefore reflect the size of the institutions</w:t>
      </w:r>
      <w:r w:rsidR="00BA1D7F">
        <w:rPr>
          <w:u w:val="none"/>
        </w:rPr>
        <w:t>'</w:t>
      </w:r>
      <w:r w:rsidR="00965F65" w:rsidRPr="000A467A">
        <w:rPr>
          <w:u w:val="none"/>
        </w:rPr>
        <w:t xml:space="preserve"> total assets.</w:t>
      </w:r>
    </w:p>
    <w:p w:rsidR="006F268C" w:rsidRPr="000A467A" w:rsidRDefault="006F268C" w:rsidP="00B07DED">
      <w:pPr>
        <w:pStyle w:val="InstructionsText2"/>
        <w:rPr>
          <w:u w:val="none"/>
        </w:rPr>
      </w:pPr>
      <w:r w:rsidRPr="000A467A">
        <w:rPr>
          <w:u w:val="none"/>
        </w:rPr>
        <w:t xml:space="preserve">In accordance with Article </w:t>
      </w:r>
      <w:r w:rsidR="00DF2093">
        <w:rPr>
          <w:u w:val="none"/>
        </w:rPr>
        <w:t>427</w:t>
      </w:r>
      <w:r w:rsidR="00D72DD7">
        <w:rPr>
          <w:u w:val="none"/>
        </w:rPr>
        <w:t>(</w:t>
      </w:r>
      <w:r w:rsidRPr="000A467A">
        <w:rPr>
          <w:u w:val="none"/>
        </w:rPr>
        <w:t>2</w:t>
      </w:r>
      <w:r w:rsidR="00D72DD7">
        <w:rPr>
          <w:u w:val="none"/>
        </w:rPr>
        <w:t>)</w:t>
      </w:r>
      <w:r w:rsidRPr="000A467A">
        <w:rPr>
          <w:u w:val="none"/>
        </w:rPr>
        <w:t xml:space="preserve"> </w:t>
      </w:r>
      <w:r w:rsidR="00A73395">
        <w:rPr>
          <w:u w:val="none"/>
        </w:rPr>
        <w:t>REGULATION (EU) NO 575/2013</w:t>
      </w:r>
      <w:r w:rsidRPr="000A467A">
        <w:rPr>
          <w:u w:val="none"/>
        </w:rPr>
        <w:t xml:space="preserve">, </w:t>
      </w:r>
      <w:r w:rsidR="00310C08">
        <w:rPr>
          <w:u w:val="none"/>
        </w:rPr>
        <w:t>liabilitie</w:t>
      </w:r>
      <w:r w:rsidR="00310C08" w:rsidRPr="000A467A">
        <w:rPr>
          <w:u w:val="none"/>
        </w:rPr>
        <w:t xml:space="preserve">s </w:t>
      </w:r>
      <w:r w:rsidR="00965F65" w:rsidRPr="000A467A">
        <w:rPr>
          <w:u w:val="none"/>
        </w:rPr>
        <w:t xml:space="preserve">shall be </w:t>
      </w:r>
      <w:r w:rsidR="00310C08">
        <w:rPr>
          <w:u w:val="none"/>
        </w:rPr>
        <w:t>repor</w:t>
      </w:r>
      <w:r w:rsidR="00310C08" w:rsidRPr="000A467A">
        <w:rPr>
          <w:u w:val="none"/>
        </w:rPr>
        <w:t xml:space="preserve">ted </w:t>
      </w:r>
      <w:r w:rsidR="00162407" w:rsidRPr="000A467A">
        <w:rPr>
          <w:u w:val="none"/>
        </w:rPr>
        <w:t>in five buckets</w:t>
      </w:r>
      <w:r w:rsidR="006F593A" w:rsidRPr="000A467A">
        <w:rPr>
          <w:u w:val="none"/>
        </w:rPr>
        <w:t xml:space="preserve"> as follows:</w:t>
      </w:r>
    </w:p>
    <w:p w:rsidR="006F593A" w:rsidRPr="00044642" w:rsidRDefault="006F593A" w:rsidP="006F593A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  <w:r>
        <w:rPr>
          <w:rFonts w:ascii="Times New Roman" w:hAnsi="Times New Roman"/>
          <w:szCs w:val="17"/>
          <w:lang w:eastAsia="de-DE"/>
        </w:rPr>
        <w:t xml:space="preserve">(a) </w:t>
      </w:r>
      <w:proofErr w:type="gramStart"/>
      <w:r>
        <w:rPr>
          <w:rFonts w:ascii="Times New Roman" w:hAnsi="Times New Roman"/>
          <w:szCs w:val="17"/>
          <w:lang w:eastAsia="de-DE"/>
        </w:rPr>
        <w:t>liabilities</w:t>
      </w:r>
      <w:proofErr w:type="gramEnd"/>
      <w:r>
        <w:rPr>
          <w:rFonts w:ascii="Times New Roman" w:hAnsi="Times New Roman"/>
          <w:szCs w:val="17"/>
          <w:lang w:eastAsia="de-DE"/>
        </w:rPr>
        <w:t xml:space="preserve"> for which </w:t>
      </w:r>
      <w:r w:rsidRPr="006F593A">
        <w:rPr>
          <w:rFonts w:ascii="Times New Roman" w:hAnsi="Times New Roman"/>
          <w:szCs w:val="17"/>
          <w:lang w:eastAsia="de-DE"/>
        </w:rPr>
        <w:t>the closer of their maturity date and the earliest date at which they can contractually be called</w:t>
      </w:r>
      <w:r>
        <w:rPr>
          <w:rFonts w:ascii="Times New Roman" w:hAnsi="Times New Roman"/>
          <w:szCs w:val="17"/>
          <w:lang w:eastAsia="de-DE"/>
        </w:rPr>
        <w:t xml:space="preserve"> is within three months of the reporting date, </w:t>
      </w:r>
      <w:r w:rsidR="00E15312">
        <w:rPr>
          <w:rFonts w:ascii="Times New Roman" w:hAnsi="Times New Roman"/>
          <w:szCs w:val="17"/>
          <w:lang w:eastAsia="de-DE"/>
        </w:rPr>
        <w:t xml:space="preserve">shall </w:t>
      </w:r>
      <w:r>
        <w:rPr>
          <w:rFonts w:ascii="Times New Roman" w:hAnsi="Times New Roman"/>
          <w:szCs w:val="17"/>
          <w:lang w:eastAsia="de-DE"/>
        </w:rPr>
        <w:t>be reported in column F of the relevant category.</w:t>
      </w:r>
      <w:r w:rsidR="00705E1C">
        <w:rPr>
          <w:rFonts w:ascii="Times New Roman" w:hAnsi="Times New Roman"/>
          <w:szCs w:val="17"/>
          <w:lang w:eastAsia="de-DE"/>
        </w:rPr>
        <w:t xml:space="preserve"> </w:t>
      </w:r>
      <w:r w:rsidR="00705E1C" w:rsidRPr="00044642">
        <w:rPr>
          <w:rFonts w:ascii="Times New Roman" w:hAnsi="Times New Roman"/>
          <w:szCs w:val="17"/>
          <w:lang w:eastAsia="de-DE"/>
        </w:rPr>
        <w:t xml:space="preserve">All sight deposits </w:t>
      </w:r>
      <w:r w:rsidR="00E15312">
        <w:rPr>
          <w:rFonts w:ascii="Times New Roman" w:hAnsi="Times New Roman"/>
          <w:szCs w:val="17"/>
          <w:lang w:eastAsia="de-DE"/>
        </w:rPr>
        <w:t xml:space="preserve">shall </w:t>
      </w:r>
      <w:r w:rsidR="00705E1C" w:rsidRPr="00044642">
        <w:rPr>
          <w:rFonts w:ascii="Times New Roman" w:hAnsi="Times New Roman"/>
          <w:szCs w:val="17"/>
          <w:lang w:eastAsia="de-DE"/>
        </w:rPr>
        <w:t>be reported here.</w:t>
      </w:r>
    </w:p>
    <w:p w:rsidR="006F593A" w:rsidRPr="006F593A" w:rsidRDefault="006F593A" w:rsidP="006F593A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</w:p>
    <w:p w:rsidR="006F593A" w:rsidRDefault="006F593A" w:rsidP="006F593A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  <w:r w:rsidRPr="006F593A">
        <w:rPr>
          <w:rFonts w:ascii="Times New Roman" w:hAnsi="Times New Roman"/>
          <w:szCs w:val="17"/>
          <w:lang w:eastAsia="de-DE"/>
        </w:rPr>
        <w:t xml:space="preserve">(b) </w:t>
      </w:r>
      <w:r>
        <w:rPr>
          <w:rFonts w:ascii="Times New Roman" w:hAnsi="Times New Roman"/>
          <w:szCs w:val="17"/>
          <w:lang w:eastAsia="de-DE"/>
        </w:rPr>
        <w:t xml:space="preserve">liabilities for which </w:t>
      </w:r>
      <w:r w:rsidRPr="006F593A">
        <w:rPr>
          <w:rFonts w:ascii="Times New Roman" w:hAnsi="Times New Roman"/>
          <w:szCs w:val="17"/>
          <w:lang w:eastAsia="de-DE"/>
        </w:rPr>
        <w:t>the closer of their maturity date and the earliest date at which they can contractually be called</w:t>
      </w:r>
      <w:r>
        <w:rPr>
          <w:rFonts w:ascii="Times New Roman" w:hAnsi="Times New Roman"/>
          <w:szCs w:val="17"/>
          <w:lang w:eastAsia="de-DE"/>
        </w:rPr>
        <w:t xml:space="preserve"> is between three and six month</w:t>
      </w:r>
      <w:r w:rsidR="00C20541">
        <w:rPr>
          <w:rFonts w:ascii="Times New Roman" w:hAnsi="Times New Roman"/>
          <w:szCs w:val="17"/>
          <w:lang w:eastAsia="de-DE"/>
        </w:rPr>
        <w:t>s</w:t>
      </w:r>
      <w:r>
        <w:rPr>
          <w:rFonts w:ascii="Times New Roman" w:hAnsi="Times New Roman"/>
          <w:szCs w:val="17"/>
          <w:lang w:eastAsia="de-DE"/>
        </w:rPr>
        <w:t xml:space="preserve"> from the reporting date, </w:t>
      </w:r>
      <w:r w:rsidR="00E15312">
        <w:rPr>
          <w:rFonts w:ascii="Times New Roman" w:hAnsi="Times New Roman"/>
          <w:szCs w:val="17"/>
          <w:lang w:eastAsia="de-DE"/>
        </w:rPr>
        <w:t xml:space="preserve">shall </w:t>
      </w:r>
      <w:r>
        <w:rPr>
          <w:rFonts w:ascii="Times New Roman" w:hAnsi="Times New Roman"/>
          <w:szCs w:val="17"/>
          <w:lang w:eastAsia="de-DE"/>
        </w:rPr>
        <w:t>be reported in column G of the relevant category.</w:t>
      </w:r>
    </w:p>
    <w:p w:rsidR="006F593A" w:rsidRPr="006F593A" w:rsidRDefault="006F593A" w:rsidP="006F593A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</w:p>
    <w:p w:rsidR="006F593A" w:rsidRDefault="006F593A" w:rsidP="006F593A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  <w:r w:rsidRPr="006F593A">
        <w:rPr>
          <w:rFonts w:ascii="Times New Roman" w:hAnsi="Times New Roman"/>
          <w:szCs w:val="17"/>
          <w:lang w:eastAsia="de-DE"/>
        </w:rPr>
        <w:t xml:space="preserve">(c) </w:t>
      </w:r>
      <w:proofErr w:type="gramStart"/>
      <w:r>
        <w:rPr>
          <w:rFonts w:ascii="Times New Roman" w:hAnsi="Times New Roman"/>
          <w:szCs w:val="17"/>
          <w:lang w:eastAsia="de-DE"/>
        </w:rPr>
        <w:t>liabilities</w:t>
      </w:r>
      <w:proofErr w:type="gramEnd"/>
      <w:r>
        <w:rPr>
          <w:rFonts w:ascii="Times New Roman" w:hAnsi="Times New Roman"/>
          <w:szCs w:val="17"/>
          <w:lang w:eastAsia="de-DE"/>
        </w:rPr>
        <w:t xml:space="preserve"> for which </w:t>
      </w:r>
      <w:r w:rsidRPr="006F593A">
        <w:rPr>
          <w:rFonts w:ascii="Times New Roman" w:hAnsi="Times New Roman"/>
          <w:szCs w:val="17"/>
          <w:lang w:eastAsia="de-DE"/>
        </w:rPr>
        <w:t>the closer of their maturity date and the earliest date at which they can contractually be called</w:t>
      </w:r>
      <w:r>
        <w:rPr>
          <w:rFonts w:ascii="Times New Roman" w:hAnsi="Times New Roman"/>
          <w:szCs w:val="17"/>
          <w:lang w:eastAsia="de-DE"/>
        </w:rPr>
        <w:t xml:space="preserve"> is between 6 and 9 month</w:t>
      </w:r>
      <w:r w:rsidR="00C20541">
        <w:rPr>
          <w:rFonts w:ascii="Times New Roman" w:hAnsi="Times New Roman"/>
          <w:szCs w:val="17"/>
          <w:lang w:eastAsia="de-DE"/>
        </w:rPr>
        <w:t>s</w:t>
      </w:r>
      <w:r>
        <w:rPr>
          <w:rFonts w:ascii="Times New Roman" w:hAnsi="Times New Roman"/>
          <w:szCs w:val="17"/>
          <w:lang w:eastAsia="de-DE"/>
        </w:rPr>
        <w:t xml:space="preserve"> from the reporting date, </w:t>
      </w:r>
      <w:r w:rsidR="00E15312">
        <w:rPr>
          <w:rFonts w:ascii="Times New Roman" w:hAnsi="Times New Roman"/>
          <w:szCs w:val="17"/>
          <w:lang w:eastAsia="de-DE"/>
        </w:rPr>
        <w:t xml:space="preserve">shall </w:t>
      </w:r>
      <w:r>
        <w:rPr>
          <w:rFonts w:ascii="Times New Roman" w:hAnsi="Times New Roman"/>
          <w:szCs w:val="17"/>
          <w:lang w:eastAsia="de-DE"/>
        </w:rPr>
        <w:t>be reported in column H of the relevant category.</w:t>
      </w:r>
    </w:p>
    <w:p w:rsidR="006F593A" w:rsidRPr="006F593A" w:rsidRDefault="006F593A" w:rsidP="006F593A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</w:p>
    <w:p w:rsidR="006F593A" w:rsidRDefault="006F593A" w:rsidP="006F593A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  <w:r w:rsidRPr="006F593A">
        <w:rPr>
          <w:rFonts w:ascii="Times New Roman" w:hAnsi="Times New Roman"/>
          <w:szCs w:val="17"/>
          <w:lang w:eastAsia="de-DE"/>
        </w:rPr>
        <w:t xml:space="preserve">(d) </w:t>
      </w:r>
      <w:proofErr w:type="gramStart"/>
      <w:r>
        <w:rPr>
          <w:rFonts w:ascii="Times New Roman" w:hAnsi="Times New Roman"/>
          <w:szCs w:val="17"/>
          <w:lang w:eastAsia="de-DE"/>
        </w:rPr>
        <w:t>liabilities</w:t>
      </w:r>
      <w:proofErr w:type="gramEnd"/>
      <w:r>
        <w:rPr>
          <w:rFonts w:ascii="Times New Roman" w:hAnsi="Times New Roman"/>
          <w:szCs w:val="17"/>
          <w:lang w:eastAsia="de-DE"/>
        </w:rPr>
        <w:t xml:space="preserve"> for which </w:t>
      </w:r>
      <w:r w:rsidRPr="006F593A">
        <w:rPr>
          <w:rFonts w:ascii="Times New Roman" w:hAnsi="Times New Roman"/>
          <w:szCs w:val="17"/>
          <w:lang w:eastAsia="de-DE"/>
        </w:rPr>
        <w:t>the closer of their maturity date and the earliest date at which they can contractually be called</w:t>
      </w:r>
      <w:r>
        <w:rPr>
          <w:rFonts w:ascii="Times New Roman" w:hAnsi="Times New Roman"/>
          <w:szCs w:val="17"/>
          <w:lang w:eastAsia="de-DE"/>
        </w:rPr>
        <w:t xml:space="preserve"> is between 9 and 12 month</w:t>
      </w:r>
      <w:r w:rsidR="00C20541">
        <w:rPr>
          <w:rFonts w:ascii="Times New Roman" w:hAnsi="Times New Roman"/>
          <w:szCs w:val="17"/>
          <w:lang w:eastAsia="de-DE"/>
        </w:rPr>
        <w:t>s</w:t>
      </w:r>
      <w:r>
        <w:rPr>
          <w:rFonts w:ascii="Times New Roman" w:hAnsi="Times New Roman"/>
          <w:szCs w:val="17"/>
          <w:lang w:eastAsia="de-DE"/>
        </w:rPr>
        <w:t xml:space="preserve"> from the reporting date, </w:t>
      </w:r>
      <w:r w:rsidR="00E15312">
        <w:rPr>
          <w:rFonts w:ascii="Times New Roman" w:hAnsi="Times New Roman"/>
          <w:szCs w:val="17"/>
          <w:lang w:eastAsia="de-DE"/>
        </w:rPr>
        <w:t xml:space="preserve">shall </w:t>
      </w:r>
      <w:r>
        <w:rPr>
          <w:rFonts w:ascii="Times New Roman" w:hAnsi="Times New Roman"/>
          <w:szCs w:val="17"/>
          <w:lang w:eastAsia="de-DE"/>
        </w:rPr>
        <w:t>be reported in column I of the relevant category.</w:t>
      </w:r>
    </w:p>
    <w:p w:rsidR="006F593A" w:rsidRPr="006F593A" w:rsidRDefault="006F593A" w:rsidP="006F593A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</w:p>
    <w:p w:rsidR="00187B0E" w:rsidRDefault="006F593A" w:rsidP="00187B0E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  <w:r w:rsidRPr="0038458D">
        <w:rPr>
          <w:rFonts w:ascii="Times New Roman" w:hAnsi="Times New Roman"/>
          <w:szCs w:val="17"/>
          <w:lang w:eastAsia="de-DE"/>
        </w:rPr>
        <w:t xml:space="preserve">(e) </w:t>
      </w:r>
      <w:proofErr w:type="gramStart"/>
      <w:r w:rsidRPr="0038458D">
        <w:rPr>
          <w:rFonts w:ascii="Times New Roman" w:hAnsi="Times New Roman"/>
          <w:szCs w:val="17"/>
          <w:lang w:eastAsia="de-DE"/>
        </w:rPr>
        <w:t>liabilities</w:t>
      </w:r>
      <w:proofErr w:type="gramEnd"/>
      <w:r w:rsidRPr="0038458D">
        <w:rPr>
          <w:rFonts w:ascii="Times New Roman" w:hAnsi="Times New Roman"/>
          <w:szCs w:val="17"/>
          <w:lang w:eastAsia="de-DE"/>
        </w:rPr>
        <w:t xml:space="preserve"> for which the closer of their maturity date and the earliest date at which they can contractually be called is beyond one year </w:t>
      </w:r>
      <w:r w:rsidR="00C20541">
        <w:rPr>
          <w:rFonts w:ascii="Times New Roman" w:hAnsi="Times New Roman"/>
          <w:szCs w:val="17"/>
          <w:lang w:eastAsia="de-DE"/>
        </w:rPr>
        <w:t>of</w:t>
      </w:r>
      <w:r w:rsidRPr="0038458D">
        <w:rPr>
          <w:rFonts w:ascii="Times New Roman" w:hAnsi="Times New Roman"/>
          <w:szCs w:val="17"/>
          <w:lang w:eastAsia="de-DE"/>
        </w:rPr>
        <w:t xml:space="preserve"> the reporting date and own funds </w:t>
      </w:r>
      <w:r w:rsidR="00E15312">
        <w:rPr>
          <w:rFonts w:ascii="Times New Roman" w:hAnsi="Times New Roman"/>
          <w:szCs w:val="17"/>
          <w:lang w:eastAsia="de-DE"/>
        </w:rPr>
        <w:t>shall</w:t>
      </w:r>
      <w:r w:rsidR="00E15312" w:rsidRPr="0038458D">
        <w:rPr>
          <w:rFonts w:ascii="Times New Roman" w:hAnsi="Times New Roman"/>
          <w:szCs w:val="17"/>
          <w:lang w:eastAsia="de-DE"/>
        </w:rPr>
        <w:t xml:space="preserve"> </w:t>
      </w:r>
      <w:r w:rsidRPr="0038458D">
        <w:rPr>
          <w:rFonts w:ascii="Times New Roman" w:hAnsi="Times New Roman"/>
          <w:szCs w:val="17"/>
          <w:lang w:eastAsia="de-DE"/>
        </w:rPr>
        <w:t xml:space="preserve">be reported in column </w:t>
      </w:r>
      <w:r w:rsidR="0031645A">
        <w:rPr>
          <w:rFonts w:ascii="Times New Roman" w:hAnsi="Times New Roman"/>
          <w:szCs w:val="17"/>
          <w:lang w:eastAsia="de-DE"/>
        </w:rPr>
        <w:t>J</w:t>
      </w:r>
      <w:r w:rsidR="0031645A" w:rsidRPr="0038458D">
        <w:rPr>
          <w:rFonts w:ascii="Times New Roman" w:hAnsi="Times New Roman"/>
          <w:szCs w:val="17"/>
          <w:lang w:eastAsia="de-DE"/>
        </w:rPr>
        <w:t xml:space="preserve"> </w:t>
      </w:r>
      <w:r w:rsidRPr="0038458D">
        <w:rPr>
          <w:rFonts w:ascii="Times New Roman" w:hAnsi="Times New Roman"/>
          <w:szCs w:val="17"/>
          <w:lang w:eastAsia="de-DE"/>
        </w:rPr>
        <w:t>of the relevant category.</w:t>
      </w:r>
    </w:p>
    <w:p w:rsidR="00187B0E" w:rsidRDefault="00187B0E" w:rsidP="00187B0E">
      <w:pPr>
        <w:autoSpaceDE w:val="0"/>
        <w:autoSpaceDN w:val="0"/>
        <w:adjustRightInd w:val="0"/>
        <w:spacing w:before="0" w:after="0"/>
        <w:ind w:left="720"/>
        <w:jc w:val="left"/>
        <w:rPr>
          <w:rFonts w:ascii="Times New Roman" w:hAnsi="Times New Roman"/>
          <w:szCs w:val="17"/>
          <w:lang w:eastAsia="de-DE"/>
        </w:rPr>
      </w:pPr>
    </w:p>
    <w:p w:rsidR="00187B0E" w:rsidRDefault="00705E1C" w:rsidP="00187B0E">
      <w:pPr>
        <w:pStyle w:val="InstructionsText2"/>
        <w:rPr>
          <w:u w:val="none"/>
        </w:rPr>
      </w:pPr>
      <w:r>
        <w:rPr>
          <w:u w:val="none"/>
        </w:rPr>
        <w:t>I</w:t>
      </w:r>
      <w:r w:rsidR="00187B0E">
        <w:rPr>
          <w:u w:val="none"/>
        </w:rPr>
        <w:t xml:space="preserve">nstitutions </w:t>
      </w:r>
      <w:r w:rsidR="00E15312">
        <w:rPr>
          <w:u w:val="none"/>
        </w:rPr>
        <w:t xml:space="preserve">shall </w:t>
      </w:r>
      <w:r>
        <w:rPr>
          <w:u w:val="none"/>
        </w:rPr>
        <w:t>assume</w:t>
      </w:r>
      <w:r w:rsidR="00187B0E">
        <w:rPr>
          <w:u w:val="none"/>
        </w:rPr>
        <w:t xml:space="preserve"> that investors</w:t>
      </w:r>
      <w:r w:rsidR="00187B0E" w:rsidRPr="00187B0E">
        <w:rPr>
          <w:u w:val="none"/>
        </w:rPr>
        <w:t xml:space="preserve"> redeem a</w:t>
      </w:r>
      <w:r w:rsidR="00187B0E">
        <w:rPr>
          <w:u w:val="none"/>
        </w:rPr>
        <w:t xml:space="preserve"> </w:t>
      </w:r>
      <w:r w:rsidR="00187B0E" w:rsidRPr="00187B0E">
        <w:rPr>
          <w:u w:val="none"/>
        </w:rPr>
        <w:t>call option at the earliest possible date. For funding with options exercisable at the</w:t>
      </w:r>
      <w:r w:rsidR="00187B0E">
        <w:rPr>
          <w:u w:val="none"/>
        </w:rPr>
        <w:t xml:space="preserve"> institution’s</w:t>
      </w:r>
      <w:r w:rsidR="00187B0E" w:rsidRPr="00187B0E">
        <w:rPr>
          <w:u w:val="none"/>
        </w:rPr>
        <w:t xml:space="preserve"> discretion, reputational factors that may limit</w:t>
      </w:r>
      <w:r w:rsidR="00187B0E">
        <w:rPr>
          <w:u w:val="none"/>
        </w:rPr>
        <w:t xml:space="preserve"> </w:t>
      </w:r>
      <w:r>
        <w:rPr>
          <w:u w:val="none"/>
        </w:rPr>
        <w:t>the institution’s</w:t>
      </w:r>
      <w:r w:rsidR="00187B0E" w:rsidRPr="00187B0E">
        <w:rPr>
          <w:u w:val="none"/>
        </w:rPr>
        <w:t xml:space="preserve"> ability to exercise the option</w:t>
      </w:r>
      <w:r>
        <w:rPr>
          <w:u w:val="none"/>
        </w:rPr>
        <w:t xml:space="preserve"> </w:t>
      </w:r>
      <w:r w:rsidR="00E15312">
        <w:rPr>
          <w:u w:val="none"/>
        </w:rPr>
        <w:t xml:space="preserve">shall </w:t>
      </w:r>
      <w:r>
        <w:rPr>
          <w:u w:val="none"/>
        </w:rPr>
        <w:t>be taken into account</w:t>
      </w:r>
      <w:r w:rsidR="00187B0E" w:rsidRPr="00187B0E">
        <w:rPr>
          <w:u w:val="none"/>
        </w:rPr>
        <w:t>. In particular, where the market expects certain</w:t>
      </w:r>
      <w:r w:rsidR="00187B0E">
        <w:rPr>
          <w:u w:val="none"/>
        </w:rPr>
        <w:t xml:space="preserve"> </w:t>
      </w:r>
      <w:r w:rsidR="00187B0E" w:rsidRPr="00187B0E">
        <w:rPr>
          <w:u w:val="none"/>
        </w:rPr>
        <w:t xml:space="preserve">liabilities to be redeemed before their legal final maturity date, </w:t>
      </w:r>
      <w:r>
        <w:rPr>
          <w:u w:val="none"/>
        </w:rPr>
        <w:t>institutions</w:t>
      </w:r>
      <w:r w:rsidR="00187B0E" w:rsidRPr="00187B0E">
        <w:rPr>
          <w:u w:val="none"/>
        </w:rPr>
        <w:t xml:space="preserve"> </w:t>
      </w:r>
      <w:r w:rsidR="00E15312">
        <w:rPr>
          <w:u w:val="none"/>
        </w:rPr>
        <w:t>shall</w:t>
      </w:r>
      <w:r w:rsidR="00E15312" w:rsidRPr="00187B0E">
        <w:rPr>
          <w:u w:val="none"/>
        </w:rPr>
        <w:t xml:space="preserve"> </w:t>
      </w:r>
      <w:r w:rsidR="00187B0E" w:rsidRPr="00187B0E">
        <w:rPr>
          <w:u w:val="none"/>
        </w:rPr>
        <w:t>assume such behaviour.</w:t>
      </w:r>
    </w:p>
    <w:p w:rsidR="00705E1C" w:rsidRPr="00187B0E" w:rsidRDefault="00705E1C" w:rsidP="00187B0E">
      <w:pPr>
        <w:pStyle w:val="InstructionsText2"/>
        <w:rPr>
          <w:u w:val="none"/>
        </w:rPr>
      </w:pPr>
      <w:r>
        <w:rPr>
          <w:u w:val="none"/>
        </w:rPr>
        <w:t xml:space="preserve">For retail deposits reported in section 1.2, the same assumptions with regard to maturity for the Liquidity Coverage template </w:t>
      </w:r>
      <w:r w:rsidR="00E15312">
        <w:rPr>
          <w:u w:val="none"/>
        </w:rPr>
        <w:t xml:space="preserve">shall </w:t>
      </w:r>
      <w:r>
        <w:rPr>
          <w:u w:val="none"/>
        </w:rPr>
        <w:t>be used in the Available</w:t>
      </w:r>
      <w:r w:rsidR="00FF67AB">
        <w:rPr>
          <w:u w:val="none"/>
        </w:rPr>
        <w:t xml:space="preserve"> Stable</w:t>
      </w:r>
      <w:r>
        <w:rPr>
          <w:u w:val="none"/>
        </w:rPr>
        <w:t xml:space="preserve"> Funding template.</w:t>
      </w:r>
    </w:p>
    <w:p w:rsidR="00D02FE4" w:rsidRPr="003105C6" w:rsidRDefault="0038383D" w:rsidP="00D02FE4">
      <w:pPr>
        <w:pStyle w:val="Instructionsberschrift2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providing stable funding</w:t>
      </w:r>
    </w:p>
    <w:p w:rsidR="00D02FE4" w:rsidRPr="003105C6" w:rsidRDefault="00D02FE4" w:rsidP="00D02FE4">
      <w:pPr>
        <w:pStyle w:val="Instructionsberschrift2"/>
        <w:numPr>
          <w:ilvl w:val="2"/>
          <w:numId w:val="3"/>
        </w:numPr>
        <w:rPr>
          <w:rFonts w:ascii="Times New Roman" w:hAnsi="Times New Roman" w:cs="Times New Roman"/>
        </w:rPr>
      </w:pPr>
      <w:bookmarkStart w:id="3" w:name="_Toc308175821"/>
      <w:bookmarkStart w:id="4" w:name="_Toc310414968"/>
      <w:r w:rsidRPr="003105C6">
        <w:rPr>
          <w:rFonts w:ascii="Times New Roman" w:hAnsi="Times New Roman" w:cs="Times New Roman"/>
        </w:rPr>
        <w:t>Instructions concerning specific rows</w:t>
      </w:r>
      <w:bookmarkEnd w:id="3"/>
      <w:bookmarkEnd w:id="4"/>
    </w:p>
    <w:p w:rsidR="00D02FE4" w:rsidRPr="0017440D" w:rsidRDefault="00D02FE4" w:rsidP="00B07DED">
      <w:pPr>
        <w:pStyle w:val="InstructionsText"/>
      </w:pPr>
    </w:p>
    <w:tbl>
      <w:tblPr>
        <w:tblW w:w="8749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7560"/>
      </w:tblGrid>
      <w:tr w:rsidR="00D02FE4" w:rsidRPr="0017440D" w:rsidTr="00705E1C">
        <w:tc>
          <w:tcPr>
            <w:tcW w:w="1189" w:type="dxa"/>
            <w:shd w:val="clear" w:color="auto" w:fill="E6E6E6"/>
          </w:tcPr>
          <w:p w:rsidR="00D02FE4" w:rsidRPr="000903FA" w:rsidRDefault="00B109D6" w:rsidP="00B07DED">
            <w:pPr>
              <w:pStyle w:val="InstructionsText"/>
              <w:rPr>
                <w:rStyle w:val="InstructionsTabelleText"/>
              </w:rPr>
            </w:pPr>
            <w:r>
              <w:rPr>
                <w:rStyle w:val="InstructionsTabelleText"/>
              </w:rPr>
              <w:t>Row</w:t>
            </w:r>
          </w:p>
        </w:tc>
        <w:tc>
          <w:tcPr>
            <w:tcW w:w="7560" w:type="dxa"/>
            <w:shd w:val="clear" w:color="auto" w:fill="E6E6E6"/>
          </w:tcPr>
          <w:p w:rsidR="00D02FE4" w:rsidRPr="000903FA" w:rsidRDefault="00D02FE4" w:rsidP="00B07DED">
            <w:pPr>
              <w:pStyle w:val="InstructionsText"/>
              <w:rPr>
                <w:rStyle w:val="InstructionsTabelleText"/>
                <w:bCs/>
                <w:szCs w:val="24"/>
                <w:lang w:eastAsia="en-US"/>
              </w:rPr>
            </w:pPr>
            <w:r w:rsidRPr="000903FA">
              <w:rPr>
                <w:rStyle w:val="InstructionsTabelleText"/>
              </w:rPr>
              <w:t>Legal references and instructions</w:t>
            </w:r>
          </w:p>
        </w:tc>
      </w:tr>
      <w:tr w:rsidR="00D02FE4" w:rsidRPr="0017440D" w:rsidTr="00705E1C">
        <w:tc>
          <w:tcPr>
            <w:tcW w:w="1189" w:type="dxa"/>
            <w:shd w:val="clear" w:color="auto" w:fill="E6E6E6"/>
          </w:tcPr>
          <w:p w:rsidR="00D02FE4" w:rsidRPr="007A4A97" w:rsidRDefault="007020EE" w:rsidP="003D726B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010-2</w:t>
            </w:r>
            <w:r w:rsidR="003D726B">
              <w:rPr>
                <w:rStyle w:val="FormatvorlageInstructionsTabelleText"/>
              </w:rPr>
              <w:t>5</w:t>
            </w:r>
            <w:r>
              <w:rPr>
                <w:rStyle w:val="FormatvorlageInstructionsTabelleText"/>
              </w:rPr>
              <w:t>0</w:t>
            </w:r>
          </w:p>
        </w:tc>
        <w:tc>
          <w:tcPr>
            <w:tcW w:w="7560" w:type="dxa"/>
            <w:shd w:val="clear" w:color="auto" w:fill="E6E6E6"/>
          </w:tcPr>
          <w:p w:rsidR="00D02FE4" w:rsidRPr="007A4A97" w:rsidRDefault="007020EE" w:rsidP="00B07DED">
            <w:pPr>
              <w:pStyle w:val="InstructionsText"/>
              <w:rPr>
                <w:rStyle w:val="InstructionsTabelleberschrift"/>
              </w:rPr>
            </w:pPr>
            <w:r>
              <w:rPr>
                <w:rStyle w:val="InstructionsTabelleberschrift"/>
              </w:rPr>
              <w:t xml:space="preserve">1 </w:t>
            </w:r>
            <w:r w:rsidR="0038383D">
              <w:rPr>
                <w:rStyle w:val="InstructionsTabelleberschrift"/>
              </w:rPr>
              <w:t>ITEM</w:t>
            </w:r>
            <w:r w:rsidR="006A7BD5" w:rsidRPr="007A4A97">
              <w:rPr>
                <w:rStyle w:val="InstructionsTabelleberschrift"/>
              </w:rPr>
              <w:t>S</w:t>
            </w:r>
            <w:r w:rsidR="0038383D">
              <w:rPr>
                <w:rStyle w:val="InstructionsTabelleberschrift"/>
              </w:rPr>
              <w:t xml:space="preserve"> PROVIDING STABLE FUNDING</w:t>
            </w:r>
          </w:p>
          <w:p w:rsidR="00D02FE4" w:rsidRPr="007A4A97" w:rsidRDefault="00D02FE4" w:rsidP="00B07DED">
            <w:pPr>
              <w:pStyle w:val="InstructionsText"/>
              <w:rPr>
                <w:rStyle w:val="FormatvorlageInstructionsTabelleText"/>
              </w:rPr>
            </w:pPr>
          </w:p>
          <w:p w:rsidR="00E94067" w:rsidRPr="007A4A97" w:rsidRDefault="00017710" w:rsidP="00B07DED">
            <w:pPr>
              <w:pStyle w:val="InstructionsText"/>
              <w:rPr>
                <w:rStyle w:val="FormatvorlageInstructionsTabelleText"/>
              </w:rPr>
            </w:pPr>
            <w:r w:rsidRPr="007A4A97">
              <w:rPr>
                <w:rStyle w:val="FormatvorlageInstructionsTabelleText"/>
              </w:rPr>
              <w:t>Article</w:t>
            </w:r>
            <w:r w:rsidR="00D02FE4" w:rsidRPr="007A4A97">
              <w:rPr>
                <w:rStyle w:val="FormatvorlageInstructionsTabelleText"/>
              </w:rPr>
              <w:t xml:space="preserve"> </w:t>
            </w:r>
            <w:r w:rsidR="00A67004">
              <w:rPr>
                <w:rStyle w:val="FormatvorlageInstructionsTabelleText"/>
              </w:rPr>
              <w:t>4</w:t>
            </w:r>
            <w:r w:rsidR="00C264FE">
              <w:rPr>
                <w:rStyle w:val="FormatvorlageInstructionsTabelleText"/>
              </w:rPr>
              <w:t>27</w:t>
            </w:r>
            <w:r w:rsidR="00D02FE4" w:rsidRPr="007A4A97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E94067" w:rsidRPr="007A4A97" w:rsidRDefault="00E94067" w:rsidP="00B07DED">
            <w:pPr>
              <w:pStyle w:val="InstructionsText"/>
              <w:rPr>
                <w:rStyle w:val="FormatvorlageInstructionsTabelleText"/>
              </w:rPr>
            </w:pPr>
          </w:p>
          <w:p w:rsidR="00D02FE4" w:rsidRDefault="00E94067" w:rsidP="00B07DED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  <w:r w:rsidRPr="007A4A97">
              <w:rPr>
                <w:rStyle w:val="FormatvorlageInstructionsTabelleText"/>
              </w:rPr>
              <w:lastRenderedPageBreak/>
              <w:t xml:space="preserve">Total </w:t>
            </w:r>
            <w:r w:rsidR="006A130B">
              <w:rPr>
                <w:rStyle w:val="FormatvorlageInstructionsTabelleText"/>
              </w:rPr>
              <w:t xml:space="preserve">amount of </w:t>
            </w:r>
            <w:r w:rsidR="00B07DED">
              <w:rPr>
                <w:rStyle w:val="FormatvorlageInstructionsTabelleText"/>
              </w:rPr>
              <w:t>own funds</w:t>
            </w:r>
            <w:r w:rsidR="00372EB9">
              <w:rPr>
                <w:rStyle w:val="FormatvorlageInstructionsTabelleText"/>
              </w:rPr>
              <w:t xml:space="preserve"> </w:t>
            </w:r>
            <w:r w:rsidR="00E15312">
              <w:rPr>
                <w:rStyle w:val="FormatvorlageInstructionsTabelleText"/>
              </w:rPr>
              <w:t xml:space="preserve">shall </w:t>
            </w:r>
            <w:r w:rsidR="00372EB9">
              <w:rPr>
                <w:rStyle w:val="FormatvorlageInstructionsTabelleText"/>
              </w:rPr>
              <w:t>be</w:t>
            </w:r>
            <w:r w:rsidR="00D219BE">
              <w:rPr>
                <w:rStyle w:val="FormatvorlageInstructionsTabelleText"/>
              </w:rPr>
              <w:t xml:space="preserve"> reported in column </w:t>
            </w:r>
            <w:r w:rsidR="00B07DED">
              <w:rPr>
                <w:rStyle w:val="FormatvorlageInstructionsTabelleText"/>
              </w:rPr>
              <w:t xml:space="preserve">J </w:t>
            </w:r>
            <w:r w:rsidR="00705E1C">
              <w:rPr>
                <w:rStyle w:val="FormatvorlageInstructionsTabelleText"/>
              </w:rPr>
              <w:t>of</w:t>
            </w:r>
            <w:r w:rsidR="00705E1C" w:rsidRPr="008E3A85">
              <w:rPr>
                <w:rStyle w:val="InstructionsTabelleberschrift"/>
                <w:b w:val="0"/>
                <w:u w:val="none"/>
              </w:rPr>
              <w:t xml:space="preserve"> the following subcategories as follows:</w:t>
            </w:r>
          </w:p>
          <w:p w:rsidR="00705E1C" w:rsidRDefault="00705E1C" w:rsidP="00B07DED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</w:p>
          <w:p w:rsidR="00705E1C" w:rsidRPr="007A4A97" w:rsidRDefault="00705E1C" w:rsidP="00B07DED">
            <w:pPr>
              <w:pStyle w:val="InstructionsText"/>
              <w:rPr>
                <w:rStyle w:val="FormatvorlageInstructionsTabelleText"/>
              </w:rPr>
            </w:pPr>
            <w:r w:rsidRPr="003A2580">
              <w:rPr>
                <w:rStyle w:val="InstructionsTabelleberschrift"/>
                <w:b w:val="0"/>
                <w:u w:val="none"/>
              </w:rPr>
              <w:t xml:space="preserve">[Note: </w:t>
            </w:r>
            <w:r w:rsidR="00C5529E">
              <w:rPr>
                <w:rStyle w:val="InstructionsTabelleberschrift"/>
                <w:b w:val="0"/>
                <w:u w:val="none"/>
              </w:rPr>
              <w:t xml:space="preserve">except item 1.1.3, </w:t>
            </w:r>
            <w:r w:rsidRPr="003A2580">
              <w:rPr>
                <w:rStyle w:val="InstructionsTabelleberschrift"/>
                <w:b w:val="0"/>
                <w:u w:val="none"/>
              </w:rPr>
              <w:t>instruments which would otherwise quali</w:t>
            </w:r>
            <w:r w:rsidR="008E5BDD">
              <w:rPr>
                <w:rStyle w:val="InstructionsTabelleberschrift"/>
                <w:b w:val="0"/>
                <w:u w:val="none"/>
              </w:rPr>
              <w:t>f</w:t>
            </w:r>
            <w:r w:rsidRPr="003A2580">
              <w:rPr>
                <w:rStyle w:val="InstructionsTabelleberschrift"/>
                <w:b w:val="0"/>
                <w:u w:val="none"/>
              </w:rPr>
              <w:t>y as “own funds” but no longer meet the definition, such as instruments</w:t>
            </w:r>
            <w:r w:rsidR="00044642" w:rsidRPr="003A2580">
              <w:rPr>
                <w:rStyle w:val="InstructionsTabelleberschrift"/>
                <w:b w:val="0"/>
                <w:u w:val="none"/>
              </w:rPr>
              <w:t xml:space="preserve"> which no longer qualify due to their maturity</w:t>
            </w:r>
            <w:r w:rsidRPr="003A2580">
              <w:rPr>
                <w:rStyle w:val="InstructionsTabelleberschrift"/>
                <w:b w:val="0"/>
                <w:u w:val="none"/>
              </w:rPr>
              <w:t xml:space="preserve">, </w:t>
            </w:r>
            <w:r w:rsidR="00E15312">
              <w:rPr>
                <w:rStyle w:val="InstructionsTabelleberschrift"/>
                <w:b w:val="0"/>
                <w:u w:val="none"/>
              </w:rPr>
              <w:t>shall</w:t>
            </w:r>
            <w:r w:rsidR="00E15312" w:rsidRPr="003A2580">
              <w:rPr>
                <w:rStyle w:val="InstructionsTabelleberschrift"/>
                <w:b w:val="0"/>
                <w:u w:val="none"/>
              </w:rPr>
              <w:t xml:space="preserve"> </w:t>
            </w:r>
            <w:r w:rsidRPr="003A2580">
              <w:rPr>
                <w:rStyle w:val="InstructionsTabelleberschrift"/>
                <w:b w:val="0"/>
                <w:u w:val="none"/>
              </w:rPr>
              <w:t xml:space="preserve">instead be reported in the applicable subcategory of section </w:t>
            </w:r>
            <w:r w:rsidR="00F438B0" w:rsidRPr="003A2580">
              <w:rPr>
                <w:rStyle w:val="InstructionsTabelleberschrift"/>
                <w:b w:val="0"/>
                <w:u w:val="none"/>
              </w:rPr>
              <w:t>1.2 “Liabilities excluding own funds”]</w:t>
            </w:r>
          </w:p>
          <w:p w:rsidR="00D02FE4" w:rsidRPr="007A4A97" w:rsidRDefault="00D02FE4" w:rsidP="00B07DED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D02FE4" w:rsidRPr="0017440D" w:rsidTr="0082345F">
        <w:tc>
          <w:tcPr>
            <w:tcW w:w="1189" w:type="dxa"/>
          </w:tcPr>
          <w:p w:rsidR="00D02FE4" w:rsidRPr="007A4A97" w:rsidRDefault="007020EE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lastRenderedPageBreak/>
              <w:t>010-030</w:t>
            </w:r>
          </w:p>
        </w:tc>
        <w:tc>
          <w:tcPr>
            <w:tcW w:w="7560" w:type="dxa"/>
          </w:tcPr>
          <w:p w:rsidR="00D02FE4" w:rsidRDefault="007020EE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1.1 </w:t>
            </w:r>
            <w:r w:rsidR="00B07DED" w:rsidRPr="00B07DED">
              <w:rPr>
                <w:rStyle w:val="FormatvorlageInstructionsTabelleText"/>
                <w:b/>
                <w:u w:val="single"/>
              </w:rPr>
              <w:t>Own funds</w:t>
            </w:r>
          </w:p>
          <w:p w:rsidR="00B07DED" w:rsidRDefault="00B07DED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B07DED" w:rsidRDefault="00B07DED" w:rsidP="00B07DED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C264FE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C264FE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 xml:space="preserve">(a)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6A130B" w:rsidRDefault="006A130B" w:rsidP="00B07DED">
            <w:pPr>
              <w:pStyle w:val="InstructionsText"/>
              <w:rPr>
                <w:rStyle w:val="FormatvorlageInstructionsTabelleText"/>
              </w:rPr>
            </w:pPr>
          </w:p>
          <w:p w:rsidR="006A130B" w:rsidRPr="005D6033" w:rsidRDefault="00C5529E" w:rsidP="005D6033">
            <w:pPr>
              <w:pStyle w:val="Defaul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The subcomponents </w:t>
            </w:r>
            <w:r w:rsidR="006A130B">
              <w:rPr>
                <w:rStyle w:val="FormatvorlageInstructionsTabelleText"/>
              </w:rPr>
              <w:t>of own fund</w:t>
            </w:r>
            <w:r w:rsidR="00B24125">
              <w:rPr>
                <w:rStyle w:val="FormatvorlageInstructionsTabelleText"/>
              </w:rPr>
              <w:t>s</w:t>
            </w:r>
            <w:r w:rsidR="009646F3">
              <w:rPr>
                <w:rStyle w:val="FormatvorlageInstructionsTabelleText"/>
              </w:rPr>
              <w:t>, after deductions have been applied,</w:t>
            </w:r>
            <w:r w:rsidR="005D6033" w:rsidRPr="005D6033">
              <w:rPr>
                <w:rStyle w:val="FormatvorlageInstructionsTabelleText"/>
              </w:rPr>
              <w:t xml:space="preserve"> consist</w:t>
            </w:r>
            <w:r w:rsidR="005D6033">
              <w:rPr>
                <w:rStyle w:val="FormatvorlageInstructionsTabelleText"/>
              </w:rPr>
              <w:t>ing</w:t>
            </w:r>
            <w:r w:rsidR="005D6033" w:rsidRPr="005D6033">
              <w:rPr>
                <w:rStyle w:val="FormatvorlageInstructionsTabelleText"/>
              </w:rPr>
              <w:t xml:space="preserve"> of the sum of Tier 1 capital and Tier 2 capital</w:t>
            </w:r>
            <w:r w:rsidR="005D6033">
              <w:rPr>
                <w:rStyle w:val="FormatvorlageInstructionsTabelleText"/>
              </w:rPr>
              <w:t xml:space="preserve"> as specified in Articles </w:t>
            </w:r>
            <w:r w:rsidR="0068530D">
              <w:rPr>
                <w:rStyle w:val="FormatvorlageInstructionsTabelleText"/>
              </w:rPr>
              <w:t>25</w:t>
            </w:r>
            <w:r w:rsidR="005D6033">
              <w:rPr>
                <w:rStyle w:val="FormatvorlageInstructionsTabelleText"/>
              </w:rPr>
              <w:t xml:space="preserve"> and </w:t>
            </w:r>
            <w:r w:rsidR="0068530D">
              <w:rPr>
                <w:rStyle w:val="FormatvorlageInstructionsTabelleText"/>
              </w:rPr>
              <w:t xml:space="preserve">71 </w:t>
            </w:r>
            <w:r w:rsidR="005D6033">
              <w:rPr>
                <w:rStyle w:val="FormatvorlageInstructionsTabelleText"/>
              </w:rPr>
              <w:t xml:space="preserve">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>, and related elements</w:t>
            </w:r>
          </w:p>
          <w:p w:rsidR="00B07DED" w:rsidRPr="00B07DED" w:rsidRDefault="00B07DED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0A467A" w:rsidRPr="0017440D" w:rsidTr="000A467A">
        <w:tc>
          <w:tcPr>
            <w:tcW w:w="1189" w:type="dxa"/>
          </w:tcPr>
          <w:p w:rsidR="000A467A" w:rsidRDefault="007020EE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010</w:t>
            </w:r>
          </w:p>
        </w:tc>
        <w:tc>
          <w:tcPr>
            <w:tcW w:w="7560" w:type="dxa"/>
            <w:vAlign w:val="center"/>
          </w:tcPr>
          <w:p w:rsidR="000A467A" w:rsidRDefault="007020EE" w:rsidP="000A46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1.1.1 </w:t>
            </w:r>
            <w:r w:rsidR="009646F3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Tier 1 capital instruments</w:t>
            </w:r>
          </w:p>
          <w:p w:rsidR="00854B46" w:rsidRDefault="00854B46" w:rsidP="00854B4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B07DED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(a)</w:t>
            </w:r>
            <w:r>
              <w:rPr>
                <w:rStyle w:val="FormatvorlageInstructionsTabelleText"/>
              </w:rPr>
              <w:t>(</w:t>
            </w:r>
            <w:proofErr w:type="spellStart"/>
            <w:r>
              <w:rPr>
                <w:rStyle w:val="FormatvorlageInstructionsTabelleText"/>
              </w:rPr>
              <w:t>i</w:t>
            </w:r>
            <w:proofErr w:type="spellEnd"/>
            <w:r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854B46" w:rsidRDefault="00854B46" w:rsidP="000A46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0A467A" w:rsidRDefault="000A467A" w:rsidP="005D6033">
            <w:pPr>
              <w:pStyle w:val="Default"/>
              <w:rPr>
                <w:rStyle w:val="FormatvorlageInstructionsTabelleText"/>
                <w:szCs w:val="17"/>
                <w:lang w:eastAsia="de-DE"/>
              </w:rPr>
            </w:pPr>
            <w:r w:rsidRPr="000A467A">
              <w:rPr>
                <w:rStyle w:val="FormatvorlageInstructionsTabelleText"/>
                <w:szCs w:val="17"/>
                <w:lang w:eastAsia="de-DE"/>
              </w:rPr>
              <w:t>Total amount of Tier 1 capital</w:t>
            </w:r>
            <w:r w:rsidR="005D6033">
              <w:rPr>
                <w:rStyle w:val="FormatvorlageInstructionsTabelleText"/>
                <w:szCs w:val="17"/>
                <w:lang w:eastAsia="de-DE"/>
              </w:rPr>
              <w:t xml:space="preserve"> as specified in Article </w:t>
            </w:r>
            <w:r w:rsidR="009646F3">
              <w:rPr>
                <w:rStyle w:val="FormatvorlageInstructionsTabelleText"/>
                <w:szCs w:val="17"/>
                <w:lang w:eastAsia="de-DE"/>
              </w:rPr>
              <w:t>2</w:t>
            </w:r>
            <w:r w:rsidR="00675808">
              <w:rPr>
                <w:rStyle w:val="FormatvorlageInstructionsTabelleText"/>
                <w:szCs w:val="17"/>
                <w:lang w:eastAsia="de-DE"/>
              </w:rPr>
              <w:t>5</w:t>
            </w:r>
            <w:r w:rsidR="005D6033">
              <w:rPr>
                <w:rStyle w:val="FormatvorlageInstructionsTabelleText"/>
                <w:szCs w:val="17"/>
                <w:lang w:eastAsia="de-DE"/>
              </w:rPr>
              <w:t xml:space="preserve">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  <w:r w:rsidRPr="000A467A">
              <w:rPr>
                <w:rStyle w:val="FormatvorlageInstructionsTabelleText"/>
                <w:szCs w:val="17"/>
                <w:lang w:eastAsia="de-DE"/>
              </w:rPr>
              <w:t>.</w:t>
            </w:r>
          </w:p>
          <w:p w:rsidR="005D6033" w:rsidRPr="005D6033" w:rsidRDefault="005D6033" w:rsidP="005D6033">
            <w:pPr>
              <w:pStyle w:val="Default"/>
              <w:rPr>
                <w:rStyle w:val="FormatvorlageInstructionsTabelleText"/>
                <w:rFonts w:ascii="Times New Roman" w:hAnsi="Times New Roman"/>
                <w:bCs w:val="0"/>
                <w:szCs w:val="20"/>
              </w:rPr>
            </w:pPr>
          </w:p>
        </w:tc>
      </w:tr>
      <w:tr w:rsidR="000A467A" w:rsidRPr="0017440D" w:rsidTr="000A467A">
        <w:tc>
          <w:tcPr>
            <w:tcW w:w="1189" w:type="dxa"/>
          </w:tcPr>
          <w:p w:rsidR="000A467A" w:rsidRDefault="007020EE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020</w:t>
            </w:r>
          </w:p>
        </w:tc>
        <w:tc>
          <w:tcPr>
            <w:tcW w:w="7560" w:type="dxa"/>
            <w:vAlign w:val="center"/>
          </w:tcPr>
          <w:p w:rsidR="000A467A" w:rsidRDefault="007020EE" w:rsidP="000A46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1.1.2 </w:t>
            </w:r>
            <w:r w:rsidR="000A467A" w:rsidRPr="000A467A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Tier </w:t>
            </w:r>
            <w:r w:rsidR="009646F3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2</w:t>
            </w:r>
            <w:r w:rsidR="000A467A" w:rsidRPr="000A467A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capital</w:t>
            </w:r>
          </w:p>
          <w:p w:rsidR="00854B46" w:rsidRDefault="00854B46" w:rsidP="00854B4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B07DED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(a)</w:t>
            </w:r>
            <w:r>
              <w:rPr>
                <w:rStyle w:val="FormatvorlageInstructionsTabelleText"/>
              </w:rPr>
              <w:t>(ii)</w:t>
            </w:r>
            <w:r w:rsidRPr="00B07DED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854B46" w:rsidRDefault="00854B46" w:rsidP="005D6033">
            <w:pPr>
              <w:pStyle w:val="Default"/>
              <w:rPr>
                <w:rStyle w:val="FormatvorlageInstructionsTabelleText"/>
                <w:szCs w:val="17"/>
                <w:lang w:eastAsia="de-DE"/>
              </w:rPr>
            </w:pPr>
          </w:p>
          <w:p w:rsidR="000A467A" w:rsidRDefault="000A467A" w:rsidP="005D6033">
            <w:pPr>
              <w:pStyle w:val="Default"/>
              <w:rPr>
                <w:rStyle w:val="FormatvorlageInstructionsTabelleText"/>
                <w:szCs w:val="17"/>
                <w:lang w:eastAsia="de-DE"/>
              </w:rPr>
            </w:pPr>
            <w:r w:rsidRPr="000A467A">
              <w:rPr>
                <w:rStyle w:val="FormatvorlageInstructionsTabelleText"/>
                <w:szCs w:val="17"/>
                <w:lang w:eastAsia="de-DE"/>
              </w:rPr>
              <w:t xml:space="preserve">Total amount of Tier </w:t>
            </w:r>
            <w:r w:rsidR="009646F3">
              <w:rPr>
                <w:rStyle w:val="FormatvorlageInstructionsTabelleText"/>
                <w:szCs w:val="17"/>
                <w:lang w:eastAsia="de-DE"/>
              </w:rPr>
              <w:t>2</w:t>
            </w:r>
            <w:r w:rsidRPr="000A467A">
              <w:rPr>
                <w:rStyle w:val="FormatvorlageInstructionsTabelleText"/>
                <w:szCs w:val="17"/>
                <w:lang w:eastAsia="de-DE"/>
              </w:rPr>
              <w:t xml:space="preserve"> capital</w:t>
            </w:r>
            <w:r w:rsidR="005D6033">
              <w:rPr>
                <w:rStyle w:val="FormatvorlageInstructionsTabelleText"/>
                <w:szCs w:val="17"/>
                <w:lang w:eastAsia="de-DE"/>
              </w:rPr>
              <w:t xml:space="preserve"> as specified in </w:t>
            </w:r>
            <w:r w:rsidR="005D6033" w:rsidRPr="005D6033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 w:rsidR="009646F3">
              <w:rPr>
                <w:rStyle w:val="FormatvorlageInstructionsTabelleText"/>
                <w:szCs w:val="17"/>
                <w:lang w:eastAsia="de-DE"/>
              </w:rPr>
              <w:t>71</w:t>
            </w:r>
            <w:r w:rsidR="005D6033" w:rsidRPr="005D6033">
              <w:rPr>
                <w:rStyle w:val="FormatvorlageInstructionsTabelleText"/>
                <w:szCs w:val="17"/>
                <w:lang w:eastAsia="de-DE"/>
              </w:rPr>
              <w:t xml:space="preserve">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  <w:r w:rsidRPr="000A467A">
              <w:rPr>
                <w:rStyle w:val="FormatvorlageInstructionsTabelleText"/>
                <w:szCs w:val="17"/>
                <w:lang w:eastAsia="de-DE"/>
              </w:rPr>
              <w:t>.</w:t>
            </w:r>
          </w:p>
          <w:p w:rsidR="005D6033" w:rsidRPr="005D6033" w:rsidRDefault="005D6033" w:rsidP="005D6033">
            <w:pPr>
              <w:pStyle w:val="Default"/>
              <w:rPr>
                <w:rStyle w:val="FormatvorlageInstructionsTabelleText"/>
                <w:rFonts w:ascii="Times New Roman" w:hAnsi="Times New Roman"/>
                <w:bCs w:val="0"/>
                <w:szCs w:val="20"/>
              </w:rPr>
            </w:pPr>
          </w:p>
        </w:tc>
      </w:tr>
      <w:tr w:rsidR="000A467A" w:rsidRPr="0017440D" w:rsidTr="000A467A">
        <w:tc>
          <w:tcPr>
            <w:tcW w:w="1189" w:type="dxa"/>
          </w:tcPr>
          <w:p w:rsidR="000A467A" w:rsidRDefault="007020EE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030</w:t>
            </w:r>
          </w:p>
        </w:tc>
        <w:tc>
          <w:tcPr>
            <w:tcW w:w="7560" w:type="dxa"/>
            <w:vAlign w:val="center"/>
          </w:tcPr>
          <w:p w:rsidR="000A467A" w:rsidRDefault="007020EE" w:rsidP="000A46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1.1.3  </w:t>
            </w:r>
            <w:r w:rsidR="00C5529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Other preferred shares and capital instruments in excess of Tier 2 allowable amount having an effective maturity of one year or greater</w:t>
            </w:r>
          </w:p>
          <w:p w:rsidR="00854B46" w:rsidRDefault="00854B46" w:rsidP="00854B4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B07DED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(a)</w:t>
            </w:r>
            <w:r>
              <w:rPr>
                <w:rStyle w:val="FormatvorlageInstructionsTabelleText"/>
              </w:rPr>
              <w:t>(iii)</w:t>
            </w:r>
            <w:r w:rsidRPr="00B07DED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0A467A" w:rsidRPr="000A467A" w:rsidRDefault="00C5529E" w:rsidP="00C5529E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 w:rsidRPr="00C5529E">
              <w:rPr>
                <w:rStyle w:val="FormatvorlageInstructionsTabelleText"/>
                <w:szCs w:val="17"/>
                <w:lang w:eastAsia="de-DE"/>
              </w:rPr>
              <w:t>Other preferred shares and capital instruments in excess of Tier 2 allowable amount having an effective maturity of one year or greater</w:t>
            </w:r>
            <w:r>
              <w:rPr>
                <w:rStyle w:val="FormatvorlageInstructionsTabelleText"/>
                <w:szCs w:val="17"/>
                <w:lang w:eastAsia="de-DE"/>
              </w:rPr>
              <w:t>.</w:t>
            </w:r>
          </w:p>
        </w:tc>
      </w:tr>
      <w:tr w:rsidR="000A467A" w:rsidRPr="0017440D" w:rsidTr="00F438B0">
        <w:tc>
          <w:tcPr>
            <w:tcW w:w="1189" w:type="dxa"/>
            <w:shd w:val="clear" w:color="auto" w:fill="E6E6E6"/>
          </w:tcPr>
          <w:p w:rsidR="000A467A" w:rsidRPr="007A4A97" w:rsidRDefault="007020EE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040-260</w:t>
            </w:r>
          </w:p>
        </w:tc>
        <w:tc>
          <w:tcPr>
            <w:tcW w:w="7560" w:type="dxa"/>
            <w:shd w:val="clear" w:color="auto" w:fill="E6E6E6"/>
          </w:tcPr>
          <w:p w:rsidR="000A467A" w:rsidRDefault="007020EE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 </w:t>
            </w:r>
            <w:r w:rsidR="000A467A">
              <w:rPr>
                <w:rStyle w:val="FormatvorlageInstructionsTabelleText"/>
                <w:b/>
                <w:u w:val="single"/>
              </w:rPr>
              <w:t>Liabilities excluding o</w:t>
            </w:r>
            <w:r w:rsidR="000A467A" w:rsidRPr="00B07DED">
              <w:rPr>
                <w:rStyle w:val="FormatvorlageInstructionsTabelleText"/>
                <w:b/>
                <w:u w:val="single"/>
              </w:rPr>
              <w:t>wn funds</w:t>
            </w:r>
            <w:r w:rsidR="000A467A" w:rsidRPr="00B07DED">
              <w:rPr>
                <w:rStyle w:val="FormatvorlageInstructionsTabelleText"/>
              </w:rPr>
              <w:t xml:space="preserve"> </w:t>
            </w:r>
          </w:p>
          <w:p w:rsidR="000A467A" w:rsidRDefault="000A467A" w:rsidP="00B07DED">
            <w:pPr>
              <w:pStyle w:val="InstructionsText"/>
              <w:rPr>
                <w:rStyle w:val="FormatvorlageInstructionsTabelleText"/>
              </w:rPr>
            </w:pPr>
          </w:p>
          <w:p w:rsidR="000A467A" w:rsidRDefault="000A467A" w:rsidP="00B07DED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23184D">
              <w:rPr>
                <w:rStyle w:val="FormatvorlageInstructionsTabelleText"/>
              </w:rPr>
              <w:t>27(1)</w:t>
            </w:r>
            <w:r w:rsidRPr="00B07DED">
              <w:rPr>
                <w:rStyle w:val="FormatvorlageInstructionsTabelleText"/>
              </w:rPr>
              <w:t xml:space="preserve">(b)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0A467A" w:rsidRDefault="000A467A" w:rsidP="00B07DED">
            <w:pPr>
              <w:pStyle w:val="InstructionsText"/>
              <w:rPr>
                <w:rStyle w:val="FormatvorlageInstructionsTabelleText"/>
              </w:rPr>
            </w:pPr>
          </w:p>
          <w:p w:rsidR="000A467A" w:rsidRDefault="000A467A" w:rsidP="00F438B0">
            <w:pPr>
              <w:pStyle w:val="InstructionsText"/>
              <w:rPr>
                <w:rStyle w:val="FormatvorlageInstructionsTabelleText"/>
              </w:rPr>
            </w:pPr>
            <w:r w:rsidRPr="007A4A97">
              <w:rPr>
                <w:rStyle w:val="FormatvorlageInstructionsTabelleText"/>
              </w:rPr>
              <w:t xml:space="preserve">Total </w:t>
            </w:r>
            <w:r>
              <w:rPr>
                <w:rStyle w:val="FormatvorlageInstructionsTabelleText"/>
              </w:rPr>
              <w:t xml:space="preserve">amount of liabilities </w:t>
            </w:r>
            <w:r w:rsidR="00F438B0">
              <w:rPr>
                <w:rStyle w:val="FormatvorlageInstructionsTabelleText"/>
              </w:rPr>
              <w:t xml:space="preserve">excluding own funds </w:t>
            </w:r>
            <w:r w:rsidR="00E15312">
              <w:rPr>
                <w:rStyle w:val="FormatvorlageInstructionsTabelleText"/>
              </w:rPr>
              <w:t xml:space="preserve">shall </w:t>
            </w:r>
            <w:r>
              <w:rPr>
                <w:rStyle w:val="FormatvorlageInstructionsTabelleText"/>
              </w:rPr>
              <w:t xml:space="preserve">be </w:t>
            </w:r>
            <w:r w:rsidR="00F438B0">
              <w:rPr>
                <w:rStyle w:val="FormatvorlageInstructionsTabelleText"/>
              </w:rPr>
              <w:t xml:space="preserve">reported in columns </w:t>
            </w:r>
            <w:r w:rsidR="00D227DB">
              <w:rPr>
                <w:rStyle w:val="FormatvorlageInstructionsTabelleText"/>
              </w:rPr>
              <w:t>010 to 050</w:t>
            </w:r>
            <w:r w:rsidR="00F438B0">
              <w:rPr>
                <w:rStyle w:val="FormatvorlageInstructionsTabelleText"/>
              </w:rPr>
              <w:t xml:space="preserve"> according to </w:t>
            </w:r>
            <w:r w:rsidR="00F438B0" w:rsidRPr="00B07DED">
              <w:rPr>
                <w:rStyle w:val="FormatvorlageInstructionsTabelleText"/>
              </w:rPr>
              <w:t>the closer of their maturity date and the earliest date at which they can contractually be called</w:t>
            </w:r>
            <w:r w:rsidR="00F438B0">
              <w:rPr>
                <w:rStyle w:val="FormatvorlageInstructionsTabelleText"/>
              </w:rPr>
              <w:t xml:space="preserve">, in </w:t>
            </w:r>
            <w:r w:rsidR="00F438B0" w:rsidRPr="008E3A85">
              <w:rPr>
                <w:rStyle w:val="InstructionsTabelleberschrift"/>
                <w:b w:val="0"/>
                <w:u w:val="none"/>
              </w:rPr>
              <w:t xml:space="preserve">the </w:t>
            </w:r>
            <w:r w:rsidR="00F438B0">
              <w:rPr>
                <w:rStyle w:val="InstructionsTabelleberschrift"/>
                <w:b w:val="0"/>
                <w:u w:val="none"/>
              </w:rPr>
              <w:t>relevant</w:t>
            </w:r>
            <w:r w:rsidR="00F438B0" w:rsidRPr="008E3A85">
              <w:rPr>
                <w:rStyle w:val="InstructionsTabelleberschrift"/>
                <w:b w:val="0"/>
                <w:u w:val="none"/>
              </w:rPr>
              <w:t xml:space="preserve"> subcatego</w:t>
            </w:r>
            <w:r w:rsidR="00F438B0">
              <w:rPr>
                <w:rStyle w:val="InstructionsTabelleberschrift"/>
                <w:b w:val="0"/>
                <w:u w:val="none"/>
              </w:rPr>
              <w:t xml:space="preserve">ry </w:t>
            </w:r>
            <w:r w:rsidR="00F438B0" w:rsidRPr="008E3A85">
              <w:rPr>
                <w:rStyle w:val="InstructionsTabelleberschrift"/>
                <w:b w:val="0"/>
                <w:u w:val="none"/>
              </w:rPr>
              <w:t>as follows</w:t>
            </w:r>
            <w:r w:rsidR="00F438B0">
              <w:rPr>
                <w:rStyle w:val="InstructionsTabelleberschrift"/>
                <w:b w:val="0"/>
                <w:u w:val="none"/>
              </w:rPr>
              <w:t>:</w:t>
            </w:r>
          </w:p>
          <w:p w:rsidR="000A467A" w:rsidRPr="00B07DED" w:rsidRDefault="000A467A" w:rsidP="00B07DED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0A467A" w:rsidRPr="0017440D" w:rsidTr="00F438B0">
        <w:tc>
          <w:tcPr>
            <w:tcW w:w="1189" w:type="dxa"/>
            <w:shd w:val="clear" w:color="auto" w:fill="E6E6E6"/>
          </w:tcPr>
          <w:p w:rsidR="000A467A" w:rsidRPr="007A4A97" w:rsidRDefault="007020EE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040-060</w:t>
            </w:r>
          </w:p>
        </w:tc>
        <w:tc>
          <w:tcPr>
            <w:tcW w:w="7560" w:type="dxa"/>
            <w:shd w:val="clear" w:color="auto" w:fill="E6E6E6"/>
          </w:tcPr>
          <w:p w:rsidR="000A467A" w:rsidRDefault="007020EE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>1.2.1 R</w:t>
            </w:r>
            <w:r w:rsidR="000A467A" w:rsidRPr="006A130B">
              <w:rPr>
                <w:rStyle w:val="FormatvorlageInstructionsTabelleText"/>
                <w:b/>
                <w:u w:val="single"/>
              </w:rPr>
              <w:t>etail deposits</w:t>
            </w:r>
          </w:p>
          <w:p w:rsidR="000A467A" w:rsidRPr="006A130B" w:rsidRDefault="000A467A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0A467A" w:rsidRDefault="000A467A" w:rsidP="00B07DED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23184D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23184D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proofErr w:type="spellStart"/>
            <w:r w:rsidRPr="00B07DED">
              <w:rPr>
                <w:rStyle w:val="FormatvorlageInstructionsTabelleText"/>
              </w:rPr>
              <w:t>i</w:t>
            </w:r>
            <w:proofErr w:type="spellEnd"/>
            <w:r w:rsidR="00D91704">
              <w:rPr>
                <w:rStyle w:val="FormatvorlageInstructionsTabelleText"/>
              </w:rPr>
              <w:t>-ii)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0A467A" w:rsidRDefault="000A467A" w:rsidP="00B07DED">
            <w:pPr>
              <w:pStyle w:val="InstructionsText"/>
              <w:rPr>
                <w:rStyle w:val="FormatvorlageInstructionsTabelleText"/>
              </w:rPr>
            </w:pPr>
          </w:p>
          <w:p w:rsidR="00933C29" w:rsidRPr="00933C29" w:rsidRDefault="000A467A" w:rsidP="00933C29">
            <w:pPr>
              <w:pStyle w:val="InstructionsText"/>
              <w:rPr>
                <w:rStyle w:val="FormatvorlageInstructionsTabelleText"/>
                <w:bCs w:val="0"/>
              </w:rPr>
            </w:pPr>
            <w:r>
              <w:rPr>
                <w:rStyle w:val="FormatvorlageInstructionsTabelleText"/>
              </w:rPr>
              <w:t xml:space="preserve">Total amount of retail deposits </w:t>
            </w:r>
            <w:r w:rsidR="00E15312">
              <w:rPr>
                <w:rStyle w:val="FormatvorlageInstructionsTabelleText"/>
              </w:rPr>
              <w:t>shall</w:t>
            </w:r>
            <w:r w:rsidR="00933C29">
              <w:rPr>
                <w:rStyle w:val="FormatvorlageInstructionsTabelleText"/>
              </w:rPr>
              <w:t xml:space="preserve"> </w:t>
            </w:r>
            <w:r w:rsidR="00933C29" w:rsidRPr="00933C29">
              <w:rPr>
                <w:rStyle w:val="FormatvorlageInstructionsTabelleText"/>
              </w:rPr>
              <w:t xml:space="preserve">be reported in columns 010 to 050 according to the closer of their maturity date and the earliest date at </w:t>
            </w:r>
            <w:r w:rsidR="00933C29" w:rsidRPr="00933C29">
              <w:rPr>
                <w:rStyle w:val="FormatvorlageInstructionsTabelleText"/>
              </w:rPr>
              <w:lastRenderedPageBreak/>
              <w:t xml:space="preserve">which they can contractually be called, in the relevant subcategory as follows: </w:t>
            </w:r>
          </w:p>
          <w:p w:rsidR="000A467A" w:rsidRPr="00B07DED" w:rsidRDefault="000A467A" w:rsidP="00854B46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0A467A" w:rsidRPr="0017440D" w:rsidTr="0082345F">
        <w:tc>
          <w:tcPr>
            <w:tcW w:w="1189" w:type="dxa"/>
          </w:tcPr>
          <w:p w:rsidR="000A467A" w:rsidRPr="007A4A97" w:rsidRDefault="00EC0ACC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lastRenderedPageBreak/>
              <w:t>040</w:t>
            </w:r>
          </w:p>
        </w:tc>
        <w:tc>
          <w:tcPr>
            <w:tcW w:w="7560" w:type="dxa"/>
          </w:tcPr>
          <w:p w:rsidR="00B80B28" w:rsidRDefault="00EC0ACC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1.2.1.1 </w:t>
            </w:r>
            <w:r w:rsidR="00D91704" w:rsidRPr="00D91704">
              <w:rPr>
                <w:rStyle w:val="FormatvorlageInstructionsTabelleText"/>
                <w:b/>
                <w:u w:val="single"/>
              </w:rPr>
              <w:t>as defined in Article 4</w:t>
            </w:r>
            <w:r w:rsidR="007C75B0">
              <w:rPr>
                <w:rStyle w:val="FormatvorlageInstructionsTabelleText"/>
                <w:b/>
                <w:u w:val="single"/>
              </w:rPr>
              <w:t>21</w:t>
            </w:r>
            <w:r w:rsidR="00D91704" w:rsidRPr="00D91704">
              <w:rPr>
                <w:rStyle w:val="FormatvorlageInstructionsTabelleText"/>
                <w:b/>
                <w:u w:val="single"/>
              </w:rPr>
              <w:t>(1)</w:t>
            </w:r>
          </w:p>
          <w:p w:rsidR="00D91704" w:rsidRPr="00D91704" w:rsidRDefault="00D91704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0A467A" w:rsidRDefault="000A467A" w:rsidP="00B07DED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911628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911628">
              <w:rPr>
                <w:rStyle w:val="FormatvorlageInstructionsTabelleText"/>
              </w:rPr>
              <w:t>)</w:t>
            </w:r>
            <w:r w:rsidR="009B1D4B">
              <w:rPr>
                <w:rStyle w:val="FormatvorlageInstructionsTabelleText"/>
              </w:rPr>
              <w:t>(b)(</w:t>
            </w:r>
            <w:proofErr w:type="spellStart"/>
            <w:r w:rsidR="009B1D4B">
              <w:rPr>
                <w:rStyle w:val="FormatvorlageInstructionsTabelleText"/>
              </w:rPr>
              <w:t>i</w:t>
            </w:r>
            <w:proofErr w:type="spellEnd"/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0A467A" w:rsidRDefault="000A467A" w:rsidP="00B07DED">
            <w:pPr>
              <w:pStyle w:val="InstructionsText"/>
              <w:rPr>
                <w:rStyle w:val="FormatvorlageInstructionsTabelleText"/>
              </w:rPr>
            </w:pPr>
          </w:p>
          <w:p w:rsidR="000A467A" w:rsidRDefault="000A467A" w:rsidP="00D91704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amount of retail deposits </w:t>
            </w:r>
            <w:r w:rsidR="008C6E3F">
              <w:rPr>
                <w:rStyle w:val="FormatvorlageInstructionsTabelleText"/>
              </w:rPr>
              <w:t xml:space="preserve">in accordance with Article 421(1) </w:t>
            </w:r>
            <w:r w:rsidR="00A73395">
              <w:rPr>
                <w:rStyle w:val="FormatvorlageInstructionsTabelleText"/>
              </w:rPr>
              <w:t>REGULATION (EU) NO 575/2013</w:t>
            </w:r>
            <w:r w:rsidR="00AE3E4B">
              <w:rPr>
                <w:rStyle w:val="FormatvorlageInstructionsTabelleText"/>
              </w:rPr>
              <w:t xml:space="preserve"> </w:t>
            </w:r>
            <w:r w:rsidR="00606130">
              <w:rPr>
                <w:rStyle w:val="FormatvorlageInstructionsTabelleText"/>
              </w:rPr>
              <w:t>as reported in item 1.1.1</w:t>
            </w:r>
            <w:r w:rsidR="00E575AA">
              <w:rPr>
                <w:rStyle w:val="FormatvorlageInstructionsTabelleText"/>
              </w:rPr>
              <w:t xml:space="preserve"> of the liquidity coverage template ‘</w:t>
            </w:r>
            <w:r w:rsidR="00E15312">
              <w:rPr>
                <w:rStyle w:val="FormatvorlageInstructionsTabelleText"/>
              </w:rPr>
              <w:t>o</w:t>
            </w:r>
            <w:r w:rsidR="00E575AA">
              <w:rPr>
                <w:rStyle w:val="FormatvorlageInstructionsTabelleText"/>
              </w:rPr>
              <w:t>utflows’</w:t>
            </w:r>
            <w:r w:rsidR="008F4CEE">
              <w:rPr>
                <w:rStyle w:val="FormatvorlageInstructionsTabelleText"/>
              </w:rPr>
              <w:t>,</w:t>
            </w:r>
            <w:r w:rsidR="00D91704">
              <w:rPr>
                <w:rStyle w:val="FormatvorlageInstructionsTabelleText"/>
              </w:rPr>
              <w:t xml:space="preserve"> </w:t>
            </w:r>
            <w:r w:rsidR="008F4CEE">
              <w:rPr>
                <w:rStyle w:val="FormatvorlageInstructionsTabelleText"/>
              </w:rPr>
              <w:t>for those deposits with a maturity of less than 30 days, of Liquidity Coverage template 1.2 “Outflows”</w:t>
            </w:r>
            <w:r>
              <w:rPr>
                <w:rStyle w:val="FormatvorlageInstructionsTabelleText"/>
              </w:rPr>
              <w:t>.</w:t>
            </w:r>
          </w:p>
          <w:p w:rsidR="000A467A" w:rsidRPr="00B07DED" w:rsidRDefault="000A467A" w:rsidP="00B80B28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0A467A" w:rsidRPr="0017440D" w:rsidTr="000A467A">
        <w:tc>
          <w:tcPr>
            <w:tcW w:w="1189" w:type="dxa"/>
          </w:tcPr>
          <w:p w:rsidR="000A467A" w:rsidRPr="007A4A97" w:rsidRDefault="00EC0ACC" w:rsidP="000A467A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050</w:t>
            </w:r>
          </w:p>
        </w:tc>
        <w:tc>
          <w:tcPr>
            <w:tcW w:w="7560" w:type="dxa"/>
            <w:vAlign w:val="center"/>
          </w:tcPr>
          <w:p w:rsidR="009B1D4B" w:rsidRDefault="00EC0ACC" w:rsidP="000A467A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1.2.1.2 </w:t>
            </w:r>
            <w:r w:rsidR="00D91704" w:rsidRPr="00D91704">
              <w:rPr>
                <w:rStyle w:val="FormatvorlageInstructionsTabelleText"/>
                <w:b/>
                <w:u w:val="single"/>
              </w:rPr>
              <w:t>as defined in Article 4</w:t>
            </w:r>
            <w:r w:rsidR="007C75B0">
              <w:rPr>
                <w:rStyle w:val="FormatvorlageInstructionsTabelleText"/>
                <w:b/>
                <w:u w:val="single"/>
              </w:rPr>
              <w:t>21</w:t>
            </w:r>
            <w:r w:rsidR="00D91704" w:rsidRPr="00D91704">
              <w:rPr>
                <w:rStyle w:val="FormatvorlageInstructionsTabelleText"/>
                <w:b/>
                <w:u w:val="single"/>
              </w:rPr>
              <w:t>(</w:t>
            </w:r>
            <w:r w:rsidR="00D91704">
              <w:rPr>
                <w:rStyle w:val="FormatvorlageInstructionsTabelleText"/>
                <w:b/>
                <w:u w:val="single"/>
              </w:rPr>
              <w:t>2</w:t>
            </w:r>
            <w:r w:rsidR="00D91704" w:rsidRPr="00D91704">
              <w:rPr>
                <w:rStyle w:val="FormatvorlageInstructionsTabelleText"/>
                <w:b/>
                <w:u w:val="single"/>
              </w:rPr>
              <w:t>)</w:t>
            </w:r>
          </w:p>
          <w:p w:rsidR="00D91704" w:rsidRPr="00D91704" w:rsidRDefault="00D91704" w:rsidP="000A467A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7C75B0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7C75B0">
              <w:rPr>
                <w:rStyle w:val="FormatvorlageInstructionsTabelleText"/>
              </w:rPr>
              <w:t>)</w:t>
            </w:r>
            <w:r>
              <w:rPr>
                <w:rStyle w:val="FormatvorlageInstructionsTabelleText"/>
              </w:rPr>
              <w:t>(b)(i</w:t>
            </w:r>
            <w:r w:rsidR="00D91704">
              <w:rPr>
                <w:rStyle w:val="FormatvorlageInstructionsTabelleText"/>
              </w:rPr>
              <w:t>i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0A467A" w:rsidRDefault="000A467A" w:rsidP="000A467A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8F4CEE" w:rsidRDefault="00D91704" w:rsidP="004F233B">
            <w:pPr>
              <w:autoSpaceDE w:val="0"/>
              <w:autoSpaceDN w:val="0"/>
              <w:adjustRightInd w:val="0"/>
              <w:spacing w:before="0" w:after="0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amount of retail deposits </w:t>
            </w:r>
            <w:r w:rsidR="00491358">
              <w:rPr>
                <w:rStyle w:val="FormatvorlageInstructionsTabelleText"/>
              </w:rPr>
              <w:t xml:space="preserve">in accordance with Article 421(2) </w:t>
            </w:r>
            <w:r w:rsidR="00A73395">
              <w:rPr>
                <w:rStyle w:val="FormatvorlageInstructionsTabelleText"/>
              </w:rPr>
              <w:t>REGULATION (EU) NO 575/2013</w:t>
            </w:r>
            <w:r w:rsidR="004F233B">
              <w:rPr>
                <w:rStyle w:val="FormatvorlageInstructionsTabelleText"/>
              </w:rPr>
              <w:t>,</w:t>
            </w:r>
            <w:r w:rsidR="005C17A4">
              <w:rPr>
                <w:rStyle w:val="FormatvorlageInstructionsTabelleText"/>
              </w:rPr>
              <w:t xml:space="preserve"> as reported in item</w:t>
            </w:r>
            <w:r w:rsidR="003D5DA8">
              <w:rPr>
                <w:rStyle w:val="FormatvorlageInstructionsTabelleText"/>
              </w:rPr>
              <w:t>s</w:t>
            </w:r>
            <w:r w:rsidR="005C17A4">
              <w:rPr>
                <w:rStyle w:val="FormatvorlageInstructionsTabelleText"/>
              </w:rPr>
              <w:t xml:space="preserve"> 1.1.2-1.1.</w:t>
            </w:r>
            <w:r w:rsidR="00606130">
              <w:rPr>
                <w:rStyle w:val="FormatvorlageInstructionsTabelleText"/>
              </w:rPr>
              <w:t>3</w:t>
            </w:r>
            <w:r w:rsidR="003D5DA8">
              <w:rPr>
                <w:rStyle w:val="FormatvorlageInstructionsTabelleText"/>
              </w:rPr>
              <w:t xml:space="preserve"> of the liquidity coverage template ‘outflows’</w:t>
            </w:r>
            <w:r w:rsidR="00606130">
              <w:rPr>
                <w:rStyle w:val="FormatvorlageInstructionsTabelleText"/>
              </w:rPr>
              <w:t xml:space="preserve">, for those deposits with a maturity of less than 30 days, </w:t>
            </w:r>
            <w:r w:rsidR="008F4CEE">
              <w:rPr>
                <w:rStyle w:val="FormatvorlageInstructionsTabelleText"/>
              </w:rPr>
              <w:t>of Liquidity Coverage template 1.2 “Outflows”.</w:t>
            </w:r>
          </w:p>
          <w:p w:rsidR="00D91704" w:rsidRDefault="00D91704" w:rsidP="00D91704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FormatvorlageInstructionsTabelleText"/>
              </w:rPr>
            </w:pPr>
          </w:p>
          <w:p w:rsidR="000A467A" w:rsidRPr="000A467A" w:rsidRDefault="000A467A" w:rsidP="00D91704">
            <w:pPr>
              <w:spacing w:before="0" w:after="0"/>
              <w:rPr>
                <w:rStyle w:val="FormatvorlageInstructionsTabelleText"/>
                <w:b/>
                <w:u w:val="single"/>
              </w:rPr>
            </w:pPr>
          </w:p>
        </w:tc>
      </w:tr>
      <w:tr w:rsidR="00D91704" w:rsidRPr="0017440D" w:rsidTr="000A467A">
        <w:tc>
          <w:tcPr>
            <w:tcW w:w="1189" w:type="dxa"/>
          </w:tcPr>
          <w:p w:rsidR="00D91704" w:rsidRDefault="00EC0ACC" w:rsidP="000A467A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060</w:t>
            </w:r>
          </w:p>
        </w:tc>
        <w:tc>
          <w:tcPr>
            <w:tcW w:w="7560" w:type="dxa"/>
            <w:vAlign w:val="center"/>
          </w:tcPr>
          <w:p w:rsidR="00D91704" w:rsidRDefault="00EC0ACC" w:rsidP="00D91704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1.2.1.3 </w:t>
            </w:r>
            <w:r w:rsidR="00D91704" w:rsidRPr="00D91704">
              <w:rPr>
                <w:rStyle w:val="FormatvorlageInstructionsTabelleText"/>
                <w:b/>
                <w:u w:val="single"/>
              </w:rPr>
              <w:t>subject t</w:t>
            </w:r>
            <w:r w:rsidR="00D91704">
              <w:rPr>
                <w:rStyle w:val="FormatvorlageInstructionsTabelleText"/>
                <w:b/>
                <w:u w:val="single"/>
              </w:rPr>
              <w:t>o</w:t>
            </w:r>
            <w:r w:rsidR="00D91704" w:rsidRPr="00D91704">
              <w:rPr>
                <w:rStyle w:val="FormatvorlageInstructionsTabelleText"/>
                <w:b/>
                <w:u w:val="single"/>
              </w:rPr>
              <w:t xml:space="preserve"> higher outflows than specified in Article </w:t>
            </w:r>
            <w:r w:rsidR="005F0EC8" w:rsidRPr="00D91704">
              <w:rPr>
                <w:rStyle w:val="FormatvorlageInstructionsTabelleText"/>
                <w:b/>
                <w:u w:val="single"/>
              </w:rPr>
              <w:t>4</w:t>
            </w:r>
            <w:r w:rsidR="005F0EC8">
              <w:rPr>
                <w:rStyle w:val="FormatvorlageInstructionsTabelleText"/>
                <w:b/>
                <w:u w:val="single"/>
              </w:rPr>
              <w:t>21</w:t>
            </w:r>
            <w:r w:rsidR="00D91704" w:rsidRPr="00D91704">
              <w:rPr>
                <w:rStyle w:val="FormatvorlageInstructionsTabelleText"/>
                <w:b/>
                <w:u w:val="single"/>
              </w:rPr>
              <w:t>(1) or 4</w:t>
            </w:r>
            <w:r w:rsidR="007C75B0">
              <w:rPr>
                <w:rStyle w:val="FormatvorlageInstructionsTabelleText"/>
                <w:b/>
                <w:u w:val="single"/>
              </w:rPr>
              <w:t>21</w:t>
            </w:r>
            <w:r w:rsidR="00D91704" w:rsidRPr="00D91704">
              <w:rPr>
                <w:rStyle w:val="FormatvorlageInstructionsTabelleText"/>
                <w:b/>
                <w:u w:val="single"/>
              </w:rPr>
              <w:t>(2)</w:t>
            </w:r>
          </w:p>
          <w:p w:rsidR="00DF2093" w:rsidRDefault="00DF2093">
            <w:pPr>
              <w:pStyle w:val="InstructionsText"/>
              <w:ind w:left="0"/>
              <w:rPr>
                <w:rStyle w:val="FormatvorlageInstructionsTabelleText"/>
                <w:b/>
                <w:u w:val="single"/>
              </w:rPr>
            </w:pPr>
          </w:p>
          <w:p w:rsidR="00D91704" w:rsidRDefault="005C17A4" w:rsidP="008F4CEE">
            <w:pPr>
              <w:spacing w:before="0" w:after="0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Total amount of retail deposits subject to higher outflows than specified</w:t>
            </w:r>
            <w:r w:rsidR="004F233B">
              <w:rPr>
                <w:rStyle w:val="FormatvorlageInstructionsTabelleText"/>
              </w:rPr>
              <w:t xml:space="preserve"> in Articles 4</w:t>
            </w:r>
            <w:r w:rsidR="007C75B0">
              <w:rPr>
                <w:rStyle w:val="FormatvorlageInstructionsTabelleText"/>
              </w:rPr>
              <w:t>21</w:t>
            </w:r>
            <w:r w:rsidR="004F233B">
              <w:rPr>
                <w:rStyle w:val="FormatvorlageInstructionsTabelleText"/>
              </w:rPr>
              <w:t>(</w:t>
            </w:r>
            <w:r w:rsidR="00142D0C">
              <w:rPr>
                <w:rStyle w:val="FormatvorlageInstructionsTabelleText"/>
              </w:rPr>
              <w:t>1</w:t>
            </w:r>
            <w:r w:rsidR="004F233B">
              <w:rPr>
                <w:rStyle w:val="FormatvorlageInstructionsTabelleText"/>
              </w:rPr>
              <w:t>) and 4</w:t>
            </w:r>
            <w:r w:rsidR="007C75B0">
              <w:rPr>
                <w:rStyle w:val="FormatvorlageInstructionsTabelleText"/>
              </w:rPr>
              <w:t>21</w:t>
            </w:r>
            <w:r w:rsidR="004F233B">
              <w:rPr>
                <w:rStyle w:val="FormatvorlageInstructionsTabelleText"/>
              </w:rPr>
              <w:t xml:space="preserve"> (2</w:t>
            </w:r>
            <w:r w:rsidR="004F233B" w:rsidRPr="007002B5">
              <w:rPr>
                <w:rStyle w:val="FormatvorlageInstructionsTabelleText"/>
              </w:rPr>
              <w:t>)</w:t>
            </w:r>
            <w:r w:rsidRPr="007002B5">
              <w:rPr>
                <w:rStyle w:val="FormatvorlageInstructionsTabelleText"/>
              </w:rPr>
              <w:t>, as reported in item 1.1.4</w:t>
            </w:r>
            <w:r w:rsidR="007002B5" w:rsidRPr="007002B5">
              <w:rPr>
                <w:rStyle w:val="FormatvorlageInstructionsTabelleText"/>
              </w:rPr>
              <w:t xml:space="preserve"> </w:t>
            </w:r>
            <w:r w:rsidR="00677F5A" w:rsidRPr="007002B5">
              <w:rPr>
                <w:rStyle w:val="FormatvorlageInstructionsTabelleText"/>
              </w:rPr>
              <w:t>of</w:t>
            </w:r>
            <w:r w:rsidR="00677F5A">
              <w:rPr>
                <w:rStyle w:val="FormatvorlageInstructionsTabelleText"/>
              </w:rPr>
              <w:t xml:space="preserve"> the </w:t>
            </w:r>
            <w:r w:rsidR="00E575AA">
              <w:rPr>
                <w:rStyle w:val="FormatvorlageInstructionsTabelleText"/>
              </w:rPr>
              <w:t>liquidity coverage template ‘</w:t>
            </w:r>
            <w:r w:rsidR="00677F5A">
              <w:rPr>
                <w:rStyle w:val="FormatvorlageInstructionsTabelleText"/>
              </w:rPr>
              <w:t>outflows</w:t>
            </w:r>
            <w:r w:rsidR="00E575AA">
              <w:rPr>
                <w:rStyle w:val="FormatvorlageInstructionsTabelleText"/>
              </w:rPr>
              <w:t>’</w:t>
            </w:r>
            <w:r w:rsidR="00677F5A">
              <w:rPr>
                <w:rStyle w:val="FormatvorlageInstructionsTabelleText"/>
              </w:rPr>
              <w:t xml:space="preserve"> </w:t>
            </w:r>
            <w:r w:rsidR="004F233B">
              <w:rPr>
                <w:rStyle w:val="FormatvorlageInstructionsTabelleText"/>
              </w:rPr>
              <w:t>.</w:t>
            </w:r>
          </w:p>
          <w:p w:rsidR="005C17A4" w:rsidRPr="00D91704" w:rsidRDefault="005C17A4" w:rsidP="008F4CEE">
            <w:pPr>
              <w:spacing w:before="0" w:after="0"/>
              <w:rPr>
                <w:rStyle w:val="FormatvorlageInstructionsTabelleText"/>
                <w:b/>
                <w:u w:val="single"/>
              </w:rPr>
            </w:pPr>
          </w:p>
        </w:tc>
      </w:tr>
      <w:tr w:rsidR="009B1D4B" w:rsidRPr="0017440D" w:rsidTr="00097190">
        <w:tc>
          <w:tcPr>
            <w:tcW w:w="1189" w:type="dxa"/>
            <w:shd w:val="clear" w:color="auto" w:fill="E6E6E6"/>
          </w:tcPr>
          <w:p w:rsidR="009B1D4B" w:rsidRDefault="00B8359D" w:rsidP="009B1D4B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070-130</w:t>
            </w:r>
          </w:p>
        </w:tc>
        <w:tc>
          <w:tcPr>
            <w:tcW w:w="7560" w:type="dxa"/>
            <w:shd w:val="clear" w:color="auto" w:fill="E6E6E6"/>
          </w:tcPr>
          <w:p w:rsidR="009B1D4B" w:rsidRDefault="00B8359D" w:rsidP="009B1D4B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1.2.2 </w:t>
            </w:r>
            <w:r w:rsidR="009B1D4B">
              <w:rPr>
                <w:rStyle w:val="FormatvorlageInstructionsTabelleText"/>
                <w:b/>
                <w:u w:val="single"/>
              </w:rPr>
              <w:t>liabilities from customers that are not financial customers</w:t>
            </w: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7C75B0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7C75B0">
              <w:rPr>
                <w:rStyle w:val="FormatvorlageInstructionsTabelleText"/>
              </w:rPr>
              <w:t>)</w:t>
            </w:r>
            <w:r>
              <w:rPr>
                <w:rStyle w:val="FormatvorlageInstructionsTabelleText"/>
              </w:rPr>
              <w:t>(b)(v</w:t>
            </w:r>
            <w:r w:rsidR="00681BF5">
              <w:rPr>
                <w:rStyle w:val="FormatvorlageInstructionsTabelleText"/>
              </w:rPr>
              <w:t>i</w:t>
            </w:r>
            <w:r>
              <w:rPr>
                <w:rStyle w:val="FormatvorlageInstructionsTabelleText"/>
              </w:rPr>
              <w:t>i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 w:rsidR="007C6CDB">
              <w:rPr>
                <w:rStyle w:val="FormatvorlageInstructionsTabelleText"/>
              </w:rPr>
              <w:t>, 427(1)(b)(iii)</w:t>
            </w: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</w:rPr>
            </w:pP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amount of </w:t>
            </w:r>
            <w:r w:rsidRPr="009B1D4B">
              <w:rPr>
                <w:rStyle w:val="FormatvorlageInstructionsTabelleText"/>
              </w:rPr>
              <w:t>liabilities from customers that are not financial customers</w:t>
            </w:r>
            <w:r w:rsidR="00B466EF">
              <w:rPr>
                <w:rStyle w:val="FormatvorlageInstructionsTabelleText"/>
              </w:rPr>
              <w:t xml:space="preserve">. </w:t>
            </w:r>
            <w:r w:rsidR="00681BF5">
              <w:rPr>
                <w:rStyle w:val="FormatvorlageInstructionsTabelleText"/>
              </w:rPr>
              <w:t xml:space="preserve"> </w:t>
            </w:r>
          </w:p>
          <w:p w:rsidR="00B80B28" w:rsidRPr="009B1D4B" w:rsidRDefault="00B80B28" w:rsidP="009B1D4B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9B1D4B" w:rsidRPr="0017440D" w:rsidTr="00097190">
        <w:tc>
          <w:tcPr>
            <w:tcW w:w="1189" w:type="dxa"/>
            <w:shd w:val="clear" w:color="auto" w:fill="E6E6E6"/>
          </w:tcPr>
          <w:p w:rsidR="009B1D4B" w:rsidRPr="007A4A97" w:rsidRDefault="00B8359D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070-090</w:t>
            </w:r>
          </w:p>
        </w:tc>
        <w:tc>
          <w:tcPr>
            <w:tcW w:w="7560" w:type="dxa"/>
            <w:shd w:val="clear" w:color="auto" w:fill="E6E6E6"/>
          </w:tcPr>
          <w:p w:rsidR="009B1D4B" w:rsidRDefault="00B8359D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1.2.2.1 </w:t>
            </w:r>
            <w:r w:rsidR="009B1D4B">
              <w:rPr>
                <w:rStyle w:val="FormatvorlageInstructionsTabelleText"/>
                <w:b/>
                <w:u w:val="single"/>
              </w:rPr>
              <w:t>liabilities</w:t>
            </w:r>
            <w:r w:rsidR="009B1D4B" w:rsidRPr="0082345F">
              <w:rPr>
                <w:rStyle w:val="FormatvorlageInstructionsTabelleText"/>
                <w:b/>
                <w:u w:val="single"/>
              </w:rPr>
              <w:t xml:space="preserve"> from secured lending and capital market driven transactions</w:t>
            </w:r>
          </w:p>
          <w:p w:rsidR="009B1D4B" w:rsidRDefault="009B1D4B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9B1D4B" w:rsidRDefault="009B1D4B" w:rsidP="0082345F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7C75B0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7C75B0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E125EA">
              <w:rPr>
                <w:rStyle w:val="FormatvorlageInstructionsTabelleText"/>
              </w:rPr>
              <w:t>ix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9B1D4B" w:rsidRDefault="009B1D4B" w:rsidP="0082345F">
            <w:pPr>
              <w:pStyle w:val="InstructionsText"/>
              <w:rPr>
                <w:rStyle w:val="FormatvorlageInstructionsTabelleText"/>
              </w:rPr>
            </w:pPr>
          </w:p>
          <w:p w:rsidR="009B1D4B" w:rsidRPr="00097190" w:rsidRDefault="00097190" w:rsidP="00097190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</w:t>
            </w:r>
            <w:r w:rsidR="009B1D4B">
              <w:rPr>
                <w:rStyle w:val="FormatvorlageInstructionsTabelleText"/>
              </w:rPr>
              <w:t xml:space="preserve">otal amount </w:t>
            </w:r>
            <w:r>
              <w:rPr>
                <w:rStyle w:val="FormatvorlageInstructionsTabelleText"/>
              </w:rPr>
              <w:t>of liabilities</w:t>
            </w:r>
            <w:r w:rsidR="009B1D4B">
              <w:rPr>
                <w:rStyle w:val="FormatvorlageInstructionsTabelleText"/>
              </w:rPr>
              <w:t xml:space="preserve"> </w:t>
            </w:r>
            <w:r w:rsidR="009B1D4B" w:rsidRPr="0082345F">
              <w:rPr>
                <w:rStyle w:val="FormatvorlageInstructionsTabelleText"/>
              </w:rPr>
              <w:t>from</w:t>
            </w:r>
            <w:r w:rsidR="009B1D4B">
              <w:rPr>
                <w:rStyle w:val="FormatvorlageInstructionsTabelleText"/>
              </w:rPr>
              <w:t xml:space="preserve"> </w:t>
            </w:r>
            <w:r w:rsidR="009B1D4B" w:rsidRPr="00097190">
              <w:rPr>
                <w:rStyle w:val="FormatvorlageInstructionsTabelleText"/>
              </w:rPr>
              <w:t>secured lending and capital market driven transactions</w:t>
            </w:r>
            <w:r w:rsidRPr="00097190">
              <w:rPr>
                <w:rStyle w:val="FormatvorlageInstructionsTabelleText"/>
              </w:rPr>
              <w:t xml:space="preserve"> </w:t>
            </w:r>
            <w:r w:rsidR="009B1D4B" w:rsidRPr="00097190">
              <w:rPr>
                <w:rStyle w:val="FormatvorlageInstructionsTabelleText"/>
              </w:rPr>
              <w:t xml:space="preserve"> s defined in Article </w:t>
            </w:r>
            <w:r w:rsidR="00961CB3" w:rsidRPr="00097190">
              <w:rPr>
                <w:rStyle w:val="FormatvorlageInstructionsTabelleText"/>
              </w:rPr>
              <w:t>1</w:t>
            </w:r>
            <w:r w:rsidR="00961CB3">
              <w:rPr>
                <w:rStyle w:val="FormatvorlageInstructionsTabelleText"/>
              </w:rPr>
              <w:t>92</w:t>
            </w:r>
            <w:r w:rsidRPr="00097190">
              <w:rPr>
                <w:rStyle w:val="FormatvorlageInstructionsTabelleText"/>
              </w:rPr>
              <w:t>, from customers that are not financial customers</w:t>
            </w:r>
          </w:p>
          <w:p w:rsidR="009B1D4B" w:rsidRPr="00B07DED" w:rsidRDefault="009B1D4B" w:rsidP="00B07DED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9B1D4B" w:rsidRPr="0017440D" w:rsidTr="0082345F">
        <w:tc>
          <w:tcPr>
            <w:tcW w:w="1189" w:type="dxa"/>
          </w:tcPr>
          <w:p w:rsidR="009B1D4B" w:rsidRPr="007A4A97" w:rsidRDefault="00B8359D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070</w:t>
            </w:r>
          </w:p>
        </w:tc>
        <w:tc>
          <w:tcPr>
            <w:tcW w:w="7560" w:type="dxa"/>
          </w:tcPr>
          <w:p w:rsidR="009B1D4B" w:rsidRPr="0082345F" w:rsidRDefault="00B8359D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1.2.2.1.1 </w:t>
            </w:r>
            <w:r w:rsidR="009B1D4B" w:rsidRPr="0082345F">
              <w:rPr>
                <w:rStyle w:val="FormatvorlageInstructionsTabelleText"/>
                <w:b/>
                <w:u w:val="single"/>
              </w:rPr>
              <w:t>co</w:t>
            </w:r>
            <w:r w:rsidR="004E10DC">
              <w:rPr>
                <w:rStyle w:val="FormatvorlageInstructionsTabelleText"/>
                <w:b/>
                <w:u w:val="single"/>
              </w:rPr>
              <w:t>llateralised by extremely high</w:t>
            </w:r>
            <w:r w:rsidR="009B1D4B" w:rsidRPr="0082345F">
              <w:rPr>
                <w:rStyle w:val="FormatvorlageInstructionsTabelleText"/>
                <w:b/>
                <w:u w:val="single"/>
              </w:rPr>
              <w:t xml:space="preserve"> liquid</w:t>
            </w:r>
            <w:r w:rsidR="009B1D4B">
              <w:rPr>
                <w:rStyle w:val="FormatvorlageInstructionsTabelleText"/>
                <w:b/>
                <w:u w:val="single"/>
              </w:rPr>
              <w:t>ity and credit quality</w:t>
            </w:r>
            <w:r w:rsidR="009B1D4B" w:rsidRPr="0082345F">
              <w:rPr>
                <w:rStyle w:val="FormatvorlageInstructionsTabelleText"/>
                <w:b/>
                <w:u w:val="single"/>
              </w:rPr>
              <w:t xml:space="preserve"> assets</w:t>
            </w:r>
          </w:p>
          <w:p w:rsidR="009B1D4B" w:rsidRDefault="009B1D4B" w:rsidP="00B07DED">
            <w:pPr>
              <w:pStyle w:val="InstructionsText"/>
              <w:rPr>
                <w:rStyle w:val="FormatvorlageInstructionsTabelleText"/>
              </w:rPr>
            </w:pPr>
          </w:p>
          <w:p w:rsidR="009B1D4B" w:rsidRDefault="009B1D4B" w:rsidP="005C4268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E0709C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E0709C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961CB3">
              <w:rPr>
                <w:rStyle w:val="FormatvorlageInstructionsTabelleText"/>
              </w:rPr>
              <w:t>ix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9B1D4B" w:rsidRDefault="009B1D4B" w:rsidP="0082345F">
            <w:pPr>
              <w:pStyle w:val="InstructionsText"/>
              <w:rPr>
                <w:rStyle w:val="FormatvorlageInstructionsTabelleText"/>
              </w:rPr>
            </w:pPr>
          </w:p>
          <w:p w:rsidR="009B1D4B" w:rsidRDefault="00097190" w:rsidP="006C4621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</w:t>
            </w:r>
            <w:r w:rsidR="009B1D4B">
              <w:rPr>
                <w:rStyle w:val="FormatvorlageInstructionsTabelleText"/>
              </w:rPr>
              <w:t>otal amount collateralised by assets</w:t>
            </w:r>
            <w:r w:rsidR="00C14146">
              <w:rPr>
                <w:rStyle w:val="FormatvorlageInstructionsTabelleText"/>
              </w:rPr>
              <w:t xml:space="preserve"> of extremely high liquidity and credit quality</w:t>
            </w:r>
            <w:r w:rsidR="009B1D4B">
              <w:rPr>
                <w:rStyle w:val="FormatvorlageInstructionsTabelleText"/>
              </w:rPr>
              <w:t xml:space="preserve"> as reported in </w:t>
            </w:r>
            <w:r w:rsidR="006C4621">
              <w:rPr>
                <w:rStyle w:val="FormatvorlageInstructionsTabelleText"/>
              </w:rPr>
              <w:t>1.1 Assets section 1 as</w:t>
            </w:r>
            <w:r w:rsidR="009B1D4B" w:rsidRPr="00C20541">
              <w:rPr>
                <w:rStyle w:val="FormatvorlageInstructionsTabelleText"/>
              </w:rPr>
              <w:t xml:space="preserve"> ‘Extremely high liquidity and credit quality assets’</w:t>
            </w:r>
            <w:r w:rsidR="009B1D4B">
              <w:rPr>
                <w:rStyle w:val="FormatvorlageInstructionsTabelleText"/>
              </w:rPr>
              <w:t>.</w:t>
            </w:r>
          </w:p>
          <w:p w:rsidR="009B1D4B" w:rsidRPr="00B07DED" w:rsidRDefault="009B1D4B" w:rsidP="005C4268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9B1D4B" w:rsidRPr="0017440D" w:rsidTr="0082345F">
        <w:tc>
          <w:tcPr>
            <w:tcW w:w="1189" w:type="dxa"/>
          </w:tcPr>
          <w:p w:rsidR="009B1D4B" w:rsidRPr="007A4A97" w:rsidRDefault="00B8359D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080</w:t>
            </w:r>
          </w:p>
        </w:tc>
        <w:tc>
          <w:tcPr>
            <w:tcW w:w="7560" w:type="dxa"/>
          </w:tcPr>
          <w:p w:rsidR="009B1D4B" w:rsidRPr="005C4268" w:rsidRDefault="00B8359D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1.2.2.1.2 </w:t>
            </w:r>
            <w:r w:rsidR="009B1D4B" w:rsidRPr="005C4268">
              <w:rPr>
                <w:rStyle w:val="FormatvorlageInstructionsTabelleText"/>
                <w:b/>
                <w:u w:val="single"/>
              </w:rPr>
              <w:t>collateralised by hi</w:t>
            </w:r>
            <w:r w:rsidR="004E10DC">
              <w:rPr>
                <w:rStyle w:val="FormatvorlageInstructionsTabelleText"/>
                <w:b/>
                <w:u w:val="single"/>
              </w:rPr>
              <w:t>gh</w:t>
            </w:r>
            <w:r w:rsidR="009B1D4B" w:rsidRPr="005C4268">
              <w:rPr>
                <w:rStyle w:val="FormatvorlageInstructionsTabelleText"/>
                <w:b/>
                <w:u w:val="single"/>
              </w:rPr>
              <w:t xml:space="preserve"> liquid</w:t>
            </w:r>
            <w:r w:rsidR="009B1D4B">
              <w:rPr>
                <w:rStyle w:val="FormatvorlageInstructionsTabelleText"/>
                <w:b/>
                <w:u w:val="single"/>
              </w:rPr>
              <w:t>ity and credit quality</w:t>
            </w:r>
            <w:r w:rsidR="009B1D4B" w:rsidRPr="005C4268">
              <w:rPr>
                <w:rStyle w:val="FormatvorlageInstructionsTabelleText"/>
                <w:b/>
                <w:u w:val="single"/>
              </w:rPr>
              <w:t xml:space="preserve"> assets</w:t>
            </w:r>
          </w:p>
          <w:p w:rsidR="009B1D4B" w:rsidRDefault="009B1D4B" w:rsidP="00B07DED">
            <w:pPr>
              <w:pStyle w:val="InstructionsText"/>
              <w:rPr>
                <w:rStyle w:val="FormatvorlageInstructionsTabelleText"/>
              </w:rPr>
            </w:pPr>
          </w:p>
          <w:p w:rsidR="009B1D4B" w:rsidRDefault="009B1D4B" w:rsidP="005C4268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lastRenderedPageBreak/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E0709C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E0709C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961CB3">
              <w:rPr>
                <w:rStyle w:val="FormatvorlageInstructionsTabelleText"/>
              </w:rPr>
              <w:t>ix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9B1D4B" w:rsidRDefault="009B1D4B" w:rsidP="005C4268">
            <w:pPr>
              <w:pStyle w:val="InstructionsText"/>
              <w:rPr>
                <w:rStyle w:val="FormatvorlageInstructionsTabelleText"/>
              </w:rPr>
            </w:pPr>
          </w:p>
          <w:p w:rsidR="004E10DC" w:rsidRDefault="00097190" w:rsidP="004E10DC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</w:t>
            </w:r>
            <w:r w:rsidR="004E10DC">
              <w:rPr>
                <w:rStyle w:val="FormatvorlageInstructionsTabelleText"/>
              </w:rPr>
              <w:t>otal amount collateralised by assets</w:t>
            </w:r>
            <w:r w:rsidR="00C14146">
              <w:rPr>
                <w:rStyle w:val="FormatvorlageInstructionsTabelleText"/>
              </w:rPr>
              <w:t xml:space="preserve"> of high liquidity and credit quality</w:t>
            </w:r>
            <w:r w:rsidR="004E10DC">
              <w:rPr>
                <w:rStyle w:val="FormatvorlageInstructionsTabelleText"/>
              </w:rPr>
              <w:t xml:space="preserve"> as reported in 1.1 Assets section 1 as</w:t>
            </w:r>
            <w:r w:rsidR="004E10DC" w:rsidRPr="00C20541">
              <w:rPr>
                <w:rStyle w:val="FormatvorlageInstructionsTabelleText"/>
              </w:rPr>
              <w:t xml:space="preserve"> ‘</w:t>
            </w:r>
            <w:r w:rsidR="004E10DC">
              <w:rPr>
                <w:rStyle w:val="FormatvorlageInstructionsTabelleText"/>
              </w:rPr>
              <w:t>H</w:t>
            </w:r>
            <w:r w:rsidR="004E10DC" w:rsidRPr="00C20541">
              <w:rPr>
                <w:rStyle w:val="FormatvorlageInstructionsTabelleText"/>
              </w:rPr>
              <w:t>igh liquidity and credit quality assets’</w:t>
            </w:r>
            <w:r w:rsidR="004E10DC">
              <w:rPr>
                <w:rStyle w:val="FormatvorlageInstructionsTabelleText"/>
              </w:rPr>
              <w:t>.</w:t>
            </w:r>
          </w:p>
          <w:p w:rsidR="009B1D4B" w:rsidRPr="00B07DED" w:rsidRDefault="009B1D4B" w:rsidP="00B07DED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9B1D4B" w:rsidRPr="0017440D" w:rsidTr="0082345F">
        <w:tc>
          <w:tcPr>
            <w:tcW w:w="1189" w:type="dxa"/>
          </w:tcPr>
          <w:p w:rsidR="009B1D4B" w:rsidRPr="007A4A97" w:rsidRDefault="00B8359D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lastRenderedPageBreak/>
              <w:t>090</w:t>
            </w:r>
          </w:p>
        </w:tc>
        <w:tc>
          <w:tcPr>
            <w:tcW w:w="7560" w:type="dxa"/>
          </w:tcPr>
          <w:p w:rsidR="009B1D4B" w:rsidRDefault="00B8359D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1.2.2.1.3 </w:t>
            </w:r>
            <w:r w:rsidR="009B1D4B" w:rsidRPr="005C4268">
              <w:rPr>
                <w:rStyle w:val="FormatvorlageInstructionsTabelleText"/>
                <w:b/>
                <w:u w:val="single"/>
              </w:rPr>
              <w:t>collateralised by any other assets</w:t>
            </w:r>
          </w:p>
          <w:p w:rsidR="009B1D4B" w:rsidRDefault="009B1D4B" w:rsidP="00B07DED">
            <w:pPr>
              <w:pStyle w:val="InstructionsText"/>
              <w:rPr>
                <w:rStyle w:val="FormatvorlageInstructionsTabelleText"/>
              </w:rPr>
            </w:pPr>
          </w:p>
          <w:p w:rsidR="009B1D4B" w:rsidRDefault="009B1D4B" w:rsidP="005C4268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E0709C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E0709C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32431C">
              <w:rPr>
                <w:rStyle w:val="FormatvorlageInstructionsTabelleText"/>
              </w:rPr>
              <w:t>ix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9B1D4B" w:rsidRDefault="009B1D4B" w:rsidP="00B07DED">
            <w:pPr>
              <w:pStyle w:val="InstructionsText"/>
              <w:rPr>
                <w:rStyle w:val="FormatvorlageInstructionsTabelleText"/>
              </w:rPr>
            </w:pPr>
          </w:p>
          <w:p w:rsidR="004E10DC" w:rsidRDefault="00097190" w:rsidP="004E10DC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</w:t>
            </w:r>
            <w:r w:rsidR="004E10DC">
              <w:rPr>
                <w:rStyle w:val="FormatvorlageInstructionsTabelleText"/>
              </w:rPr>
              <w:t>otal amount collateralised by other assets not reported in 1.2.2.1.1 or 1.2.2.1.2.</w:t>
            </w:r>
          </w:p>
          <w:p w:rsidR="009B1D4B" w:rsidRPr="00B07DED" w:rsidRDefault="009B1D4B" w:rsidP="005C4268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9B1D4B" w:rsidRPr="0017440D" w:rsidTr="0082345F">
        <w:tc>
          <w:tcPr>
            <w:tcW w:w="1189" w:type="dxa"/>
          </w:tcPr>
          <w:p w:rsidR="009B1D4B" w:rsidRDefault="00B8359D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100</w:t>
            </w:r>
          </w:p>
        </w:tc>
        <w:tc>
          <w:tcPr>
            <w:tcW w:w="7560" w:type="dxa"/>
          </w:tcPr>
          <w:p w:rsidR="009B1D4B" w:rsidRDefault="00B8359D" w:rsidP="009B1D4B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>1.2.2.</w:t>
            </w:r>
            <w:r w:rsidR="00E0421E">
              <w:rPr>
                <w:rStyle w:val="FormatvorlageInstructionsTabelleText"/>
                <w:b/>
                <w:u w:val="single"/>
              </w:rPr>
              <w:t>2</w:t>
            </w:r>
            <w:r>
              <w:rPr>
                <w:rStyle w:val="FormatvorlageInstructionsTabelleText"/>
                <w:b/>
                <w:u w:val="single"/>
              </w:rPr>
              <w:t xml:space="preserve"> </w:t>
            </w:r>
            <w:r w:rsidR="009B1D4B">
              <w:rPr>
                <w:rStyle w:val="FormatvorlageInstructionsTabelleText"/>
                <w:b/>
                <w:u w:val="single"/>
              </w:rPr>
              <w:t>liabilities</w:t>
            </w:r>
            <w:r w:rsidR="009B1D4B" w:rsidRPr="0082345F">
              <w:rPr>
                <w:rStyle w:val="FormatvorlageInstructionsTabelleText"/>
                <w:b/>
                <w:u w:val="single"/>
              </w:rPr>
              <w:t xml:space="preserve"> from </w:t>
            </w:r>
            <w:r w:rsidR="009B1D4B">
              <w:rPr>
                <w:rStyle w:val="FormatvorlageInstructionsTabelleText"/>
                <w:b/>
                <w:u w:val="single"/>
              </w:rPr>
              <w:t>un</w:t>
            </w:r>
            <w:r w:rsidR="009B1D4B" w:rsidRPr="0082345F">
              <w:rPr>
                <w:rStyle w:val="FormatvorlageInstructionsTabelleText"/>
                <w:b/>
                <w:u w:val="single"/>
              </w:rPr>
              <w:t xml:space="preserve">secured lending </w:t>
            </w: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E0709C">
              <w:rPr>
                <w:rStyle w:val="FormatvorlageInstructionsTabelleText"/>
              </w:rPr>
              <w:t>27(</w:t>
            </w:r>
            <w:r>
              <w:rPr>
                <w:rStyle w:val="FormatvorlageInstructionsTabelleText"/>
              </w:rPr>
              <w:t>1</w:t>
            </w:r>
            <w:r w:rsidR="00E0709C">
              <w:rPr>
                <w:rStyle w:val="FormatvorlageInstructionsTabelleText"/>
              </w:rPr>
              <w:t>)</w:t>
            </w:r>
            <w:r>
              <w:rPr>
                <w:rStyle w:val="FormatvorlageInstructionsTabelleText"/>
              </w:rPr>
              <w:t>(b)(v</w:t>
            </w:r>
            <w:r w:rsidRPr="00B07DED">
              <w:rPr>
                <w:rStyle w:val="FormatvorlageInstructionsTabelleText"/>
              </w:rPr>
              <w:t>i</w:t>
            </w:r>
            <w:r w:rsidR="00A24077">
              <w:rPr>
                <w:rStyle w:val="FormatvorlageInstructionsTabelleText"/>
              </w:rPr>
              <w:t>i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</w:rPr>
            </w:pPr>
          </w:p>
          <w:p w:rsidR="009B1D4B" w:rsidRDefault="00097190" w:rsidP="00097190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</w:t>
            </w:r>
            <w:r w:rsidR="009B1D4B">
              <w:rPr>
                <w:rStyle w:val="FormatvorlageInstructionsTabelleText"/>
              </w:rPr>
              <w:t xml:space="preserve">otal amount </w:t>
            </w:r>
            <w:r>
              <w:rPr>
                <w:rStyle w:val="FormatvorlageInstructionsTabelleText"/>
              </w:rPr>
              <w:t>of liabilities</w:t>
            </w:r>
            <w:r w:rsidR="009B1D4B">
              <w:rPr>
                <w:rStyle w:val="FormatvorlageInstructionsTabelleText"/>
              </w:rPr>
              <w:t xml:space="preserve"> </w:t>
            </w:r>
            <w:r w:rsidR="009B1D4B" w:rsidRPr="0082345F">
              <w:rPr>
                <w:rStyle w:val="FormatvorlageInstructionsTabelleText"/>
                <w:lang w:eastAsia="en-US"/>
              </w:rPr>
              <w:t>from</w:t>
            </w:r>
            <w:r w:rsidR="009B1D4B">
              <w:rPr>
                <w:rStyle w:val="FormatvorlageInstructionsTabelleText"/>
              </w:rPr>
              <w:t xml:space="preserve"> </w:t>
            </w:r>
            <w:r w:rsidR="004E10DC">
              <w:rPr>
                <w:rStyle w:val="FormatvorlageInstructionsTabelleText"/>
              </w:rPr>
              <w:t>un</w:t>
            </w:r>
            <w:r w:rsidR="009B1D4B" w:rsidRPr="0082345F">
              <w:rPr>
                <w:rStyle w:val="FormatvorlageInstructionsTabelleText"/>
                <w:szCs w:val="24"/>
                <w:lang w:eastAsia="en-US"/>
              </w:rPr>
              <w:t xml:space="preserve">secured lending </w:t>
            </w:r>
            <w:r w:rsidR="002636DB">
              <w:rPr>
                <w:rStyle w:val="FormatvorlageInstructionsTabelleText"/>
                <w:szCs w:val="24"/>
                <w:lang w:eastAsia="en-US"/>
              </w:rPr>
              <w:t xml:space="preserve">from </w:t>
            </w:r>
            <w:r>
              <w:rPr>
                <w:rStyle w:val="FormatvorlageInstructionsTabelleText"/>
                <w:szCs w:val="24"/>
                <w:lang w:eastAsia="en-US"/>
              </w:rPr>
              <w:t>customers that are not financial customers</w:t>
            </w:r>
            <w:r w:rsidR="009B1D4B">
              <w:rPr>
                <w:rStyle w:val="FormatvorlageInstructionsTabelleText"/>
              </w:rPr>
              <w:t>.</w:t>
            </w:r>
          </w:p>
          <w:p w:rsidR="009B1D4B" w:rsidRPr="005C4268" w:rsidRDefault="009B1D4B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9B1D4B" w:rsidRPr="0017440D" w:rsidTr="0082345F">
        <w:tc>
          <w:tcPr>
            <w:tcW w:w="1189" w:type="dxa"/>
          </w:tcPr>
          <w:p w:rsidR="009B1D4B" w:rsidRDefault="00AC6E65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110</w:t>
            </w:r>
            <w:r w:rsidR="00B466EF">
              <w:rPr>
                <w:rStyle w:val="FormatvorlageInstructionsTabelleText"/>
              </w:rPr>
              <w:t>-130</w:t>
            </w:r>
          </w:p>
        </w:tc>
        <w:tc>
          <w:tcPr>
            <w:tcW w:w="7560" w:type="dxa"/>
          </w:tcPr>
          <w:p w:rsidR="009B1D4B" w:rsidRDefault="00E0421E" w:rsidP="009B1D4B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1.2.2.3 </w:t>
            </w:r>
            <w:r w:rsidR="00384235">
              <w:rPr>
                <w:rStyle w:val="FormatvorlageInstructionsTabelleText"/>
                <w:b/>
                <w:u w:val="single"/>
              </w:rPr>
              <w:t>liabilities</w:t>
            </w:r>
            <w:r w:rsidR="00384235" w:rsidRPr="0082345F">
              <w:rPr>
                <w:rStyle w:val="FormatvorlageInstructionsTabelleText"/>
                <w:b/>
                <w:u w:val="single"/>
              </w:rPr>
              <w:t xml:space="preserve"> </w:t>
            </w:r>
            <w:r w:rsidR="009B1D4B">
              <w:rPr>
                <w:rStyle w:val="FormatvorlageInstructionsTabelleText"/>
                <w:b/>
                <w:u w:val="single"/>
              </w:rPr>
              <w:t>that qualify for the treatment  in Article 4</w:t>
            </w:r>
            <w:r w:rsidR="00E0709C">
              <w:rPr>
                <w:rStyle w:val="FormatvorlageInstructionsTabelleText"/>
                <w:b/>
                <w:u w:val="single"/>
              </w:rPr>
              <w:t>22</w:t>
            </w:r>
            <w:r w:rsidR="00A24077">
              <w:rPr>
                <w:rStyle w:val="FormatvorlageInstructionsTabelleText"/>
                <w:b/>
                <w:u w:val="single"/>
              </w:rPr>
              <w:t xml:space="preserve">(3) and </w:t>
            </w:r>
            <w:r w:rsidR="00E0709C">
              <w:rPr>
                <w:rStyle w:val="FormatvorlageInstructionsTabelleText"/>
                <w:b/>
                <w:u w:val="single"/>
              </w:rPr>
              <w:t>(</w:t>
            </w:r>
            <w:r w:rsidR="009B1D4B">
              <w:rPr>
                <w:rStyle w:val="FormatvorlageInstructionsTabelleText"/>
                <w:b/>
                <w:u w:val="single"/>
              </w:rPr>
              <w:t>4</w:t>
            </w:r>
            <w:r w:rsidR="00E0709C">
              <w:rPr>
                <w:rStyle w:val="FormatvorlageInstructionsTabelleText"/>
                <w:b/>
                <w:u w:val="single"/>
              </w:rPr>
              <w:t>)</w:t>
            </w: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41003D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41003D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 xml:space="preserve">(b)(iii)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9B1D4B" w:rsidRDefault="009B1D4B" w:rsidP="009B1D4B">
            <w:pPr>
              <w:pStyle w:val="InstructionsText"/>
              <w:rPr>
                <w:rStyle w:val="FormatvorlageInstructionsTabelleText"/>
              </w:rPr>
            </w:pPr>
          </w:p>
          <w:p w:rsidR="009B1D4B" w:rsidRDefault="003D726B" w:rsidP="009B1D4B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</w:t>
            </w:r>
            <w:r w:rsidR="009B1D4B">
              <w:rPr>
                <w:rStyle w:val="FormatvorlageInstructionsTabelleText"/>
              </w:rPr>
              <w:t xml:space="preserve">he total amount </w:t>
            </w:r>
            <w:r>
              <w:rPr>
                <w:rStyle w:val="FormatvorlageInstructionsTabelleText"/>
              </w:rPr>
              <w:t xml:space="preserve">of liabilities </w:t>
            </w:r>
            <w:r w:rsidR="009B1D4B">
              <w:rPr>
                <w:rStyle w:val="FormatvorlageInstructionsTabelleText"/>
              </w:rPr>
              <w:t xml:space="preserve">that </w:t>
            </w:r>
            <w:r w:rsidR="00097190">
              <w:rPr>
                <w:rStyle w:val="FormatvorlageInstructionsTabelleText"/>
              </w:rPr>
              <w:t>qualif</w:t>
            </w:r>
            <w:r>
              <w:rPr>
                <w:rStyle w:val="FormatvorlageInstructionsTabelleText"/>
              </w:rPr>
              <w:t>y</w:t>
            </w:r>
            <w:r w:rsidR="00097190">
              <w:rPr>
                <w:rStyle w:val="FormatvorlageInstructionsTabelleText"/>
              </w:rPr>
              <w:t xml:space="preserve"> for the treatment </w:t>
            </w:r>
            <w:r w:rsidR="00384235" w:rsidRPr="00384235">
              <w:rPr>
                <w:rStyle w:val="FormatvorlageInstructionsTabelleText"/>
              </w:rPr>
              <w:t>in Article 4</w:t>
            </w:r>
            <w:r w:rsidR="0041003D">
              <w:rPr>
                <w:rStyle w:val="FormatvorlageInstructionsTabelleText"/>
              </w:rPr>
              <w:t>22</w:t>
            </w:r>
            <w:r w:rsidR="00A72BB5">
              <w:rPr>
                <w:rStyle w:val="FormatvorlageInstructionsTabelleText"/>
              </w:rPr>
              <w:t xml:space="preserve"> (3) and </w:t>
            </w:r>
            <w:r w:rsidR="0041003D">
              <w:rPr>
                <w:rStyle w:val="FormatvorlageInstructionsTabelleText"/>
              </w:rPr>
              <w:t>(</w:t>
            </w:r>
            <w:r w:rsidR="00384235" w:rsidRPr="00384235">
              <w:rPr>
                <w:rStyle w:val="FormatvorlageInstructionsTabelleText"/>
              </w:rPr>
              <w:t>4</w:t>
            </w:r>
            <w:r w:rsidR="0041003D">
              <w:rPr>
                <w:rStyle w:val="FormatvorlageInstructionsTabelleText"/>
              </w:rPr>
              <w:t>)</w:t>
            </w:r>
            <w:r w:rsidR="009B1D4B">
              <w:rPr>
                <w:rStyle w:val="FormatvorlageInstructionsTabelleText"/>
              </w:rPr>
              <w:t>.</w:t>
            </w:r>
          </w:p>
          <w:p w:rsidR="009B1D4B" w:rsidRPr="005C4268" w:rsidRDefault="009B1D4B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384235" w:rsidRPr="0017440D" w:rsidTr="0082345F">
        <w:tc>
          <w:tcPr>
            <w:tcW w:w="1189" w:type="dxa"/>
          </w:tcPr>
          <w:p w:rsidR="00384235" w:rsidRDefault="00104EB6" w:rsidP="00384235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110</w:t>
            </w:r>
          </w:p>
        </w:tc>
        <w:tc>
          <w:tcPr>
            <w:tcW w:w="7560" w:type="dxa"/>
          </w:tcPr>
          <w:p w:rsidR="00384235" w:rsidRPr="007C5DF2" w:rsidRDefault="00104EB6" w:rsidP="00384235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1.2.2.3.1 </w:t>
            </w:r>
            <w:r w:rsidR="00384235" w:rsidRPr="00384235">
              <w:rPr>
                <w:rStyle w:val="FormatvorlageInstructionsTabelleText"/>
                <w:b/>
                <w:u w:val="single"/>
              </w:rPr>
              <w:t xml:space="preserve">liabilities reported in 1.2.2.2.1 </w:t>
            </w:r>
            <w:r w:rsidR="007C5DF2" w:rsidRPr="007C5DF2">
              <w:rPr>
                <w:rStyle w:val="FormatvorlageInstructionsTabelleText"/>
                <w:b/>
                <w:u w:val="single"/>
              </w:rPr>
              <w:t>which are covered by a Deposit Guarantee Scheme according to Directive 94/19/EC or an equivalent deposit guarantee scheme in a third country</w:t>
            </w:r>
          </w:p>
          <w:p w:rsidR="00384235" w:rsidRPr="00384235" w:rsidRDefault="00384235" w:rsidP="00384235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384235" w:rsidRDefault="00384235" w:rsidP="00384235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41003D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41003D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A24077">
              <w:rPr>
                <w:rStyle w:val="FormatvorlageInstructionsTabelleText"/>
              </w:rPr>
              <w:t>iv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384235" w:rsidRDefault="00384235" w:rsidP="00384235">
            <w:pPr>
              <w:pStyle w:val="InstructionsText"/>
              <w:rPr>
                <w:rStyle w:val="FormatvorlageInstructionsTabelleText"/>
              </w:rPr>
            </w:pPr>
          </w:p>
          <w:p w:rsidR="00384235" w:rsidRPr="005C4268" w:rsidRDefault="00384235" w:rsidP="003D726B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</w:rPr>
              <w:t>Of the liabilities reported in 1</w:t>
            </w:r>
            <w:r w:rsidR="007C5DF2">
              <w:rPr>
                <w:rStyle w:val="FormatvorlageInstructionsTabelleText"/>
              </w:rPr>
              <w:t>.2.2.</w:t>
            </w:r>
            <w:r w:rsidR="003D726B">
              <w:rPr>
                <w:rStyle w:val="FormatvorlageInstructionsTabelleText"/>
              </w:rPr>
              <w:t>3</w:t>
            </w:r>
            <w:r w:rsidR="007C5DF2">
              <w:rPr>
                <w:rStyle w:val="FormatvorlageInstructionsTabelleText"/>
              </w:rPr>
              <w:t xml:space="preserve">, the total amount which </w:t>
            </w:r>
            <w:r w:rsidR="00097190">
              <w:rPr>
                <w:rStyle w:val="FormatvorlageInstructionsTabelleText"/>
              </w:rPr>
              <w:t>is</w:t>
            </w:r>
            <w:r w:rsidRPr="00384235">
              <w:rPr>
                <w:rStyle w:val="FormatvorlageInstructionsTabelleText"/>
              </w:rPr>
              <w:t xml:space="preserve"> </w:t>
            </w:r>
            <w:r w:rsidR="007C5DF2">
              <w:rPr>
                <w:rStyle w:val="FormatvorlageInstructionsTabelleText"/>
              </w:rPr>
              <w:t>covered by</w:t>
            </w:r>
            <w:r w:rsidRPr="00384235">
              <w:rPr>
                <w:rStyle w:val="FormatvorlageInstructionsTabelleText"/>
              </w:rPr>
              <w:t xml:space="preserve"> a </w:t>
            </w:r>
            <w:r w:rsidRPr="00677A77">
              <w:rPr>
                <w:rStyle w:val="InstructionsTabelleberschrift"/>
                <w:b w:val="0"/>
                <w:u w:val="none"/>
              </w:rPr>
              <w:t xml:space="preserve">Deposit Guarantee Scheme according to Directive 94/19/EC or an equivalent deposit guarantee scheme in a third country </w:t>
            </w:r>
            <w:r w:rsidRPr="00384235">
              <w:rPr>
                <w:rStyle w:val="FormatvorlageInstructionsTabelleText"/>
              </w:rPr>
              <w:t>deposit guarantee scheme</w:t>
            </w:r>
            <w:r>
              <w:rPr>
                <w:rStyle w:val="FormatvorlageInstructionsTabelleText"/>
              </w:rPr>
              <w:t>.</w:t>
            </w:r>
          </w:p>
        </w:tc>
      </w:tr>
      <w:tr w:rsidR="00DF5510" w:rsidRPr="0017440D" w:rsidTr="0082345F">
        <w:tc>
          <w:tcPr>
            <w:tcW w:w="1189" w:type="dxa"/>
          </w:tcPr>
          <w:p w:rsidR="00DF5510" w:rsidRDefault="00104EB6" w:rsidP="00384235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120</w:t>
            </w:r>
          </w:p>
        </w:tc>
        <w:tc>
          <w:tcPr>
            <w:tcW w:w="7560" w:type="dxa"/>
          </w:tcPr>
          <w:p w:rsidR="00DF5510" w:rsidRDefault="00104EB6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>1.2.2.3.</w:t>
            </w:r>
            <w:r w:rsidR="00606847">
              <w:rPr>
                <w:rStyle w:val="FormatvorlageInstructionsTabelleText"/>
                <w:b/>
                <w:u w:val="single"/>
              </w:rPr>
              <w:t>2</w:t>
            </w:r>
            <w:r>
              <w:rPr>
                <w:rStyle w:val="FormatvorlageInstructionsTabelleText"/>
                <w:b/>
                <w:u w:val="single"/>
              </w:rPr>
              <w:t xml:space="preserve"> </w:t>
            </w:r>
            <w:r w:rsidR="00DF5510" w:rsidRPr="00DF5510">
              <w:rPr>
                <w:rStyle w:val="FormatvorlageInstructionsTabelleText"/>
                <w:b/>
                <w:u w:val="single"/>
              </w:rPr>
              <w:t>liabilit</w:t>
            </w:r>
            <w:r w:rsidR="00E34D2D">
              <w:rPr>
                <w:rStyle w:val="FormatvorlageInstructionsTabelleText"/>
                <w:b/>
                <w:u w:val="single"/>
              </w:rPr>
              <w:t>i</w:t>
            </w:r>
            <w:r w:rsidR="00DF5510" w:rsidRPr="00DF5510">
              <w:rPr>
                <w:rStyle w:val="FormatvorlageInstructionsTabelleText"/>
                <w:b/>
                <w:u w:val="single"/>
              </w:rPr>
              <w:t>es reported in 1.2.2.2.1 which fall under point (b) of Article 422(3)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B07DED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>
              <w:rPr>
                <w:rStyle w:val="FormatvorlageInstructionsTabelleText"/>
              </w:rPr>
              <w:t>v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</w:rPr>
            </w:pP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</w:rPr>
              <w:t>Of the liabilities reported in 1.2.2.</w:t>
            </w:r>
            <w:r w:rsidR="003D726B">
              <w:rPr>
                <w:rStyle w:val="FormatvorlageInstructionsTabelleText"/>
              </w:rPr>
              <w:t>3</w:t>
            </w:r>
            <w:r>
              <w:rPr>
                <w:rStyle w:val="FormatvorlageInstructionsTabelleText"/>
              </w:rPr>
              <w:t>, the total amount of deposits that fall under point (b) of Article 422(3).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Pr="00384235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DF5510" w:rsidRPr="0017440D" w:rsidTr="0082345F">
        <w:tc>
          <w:tcPr>
            <w:tcW w:w="1189" w:type="dxa"/>
          </w:tcPr>
          <w:p w:rsidR="00DF5510" w:rsidRDefault="00104EB6" w:rsidP="00384235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130</w:t>
            </w:r>
          </w:p>
        </w:tc>
        <w:tc>
          <w:tcPr>
            <w:tcW w:w="7560" w:type="dxa"/>
          </w:tcPr>
          <w:p w:rsidR="00DF5510" w:rsidRDefault="00606847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1.2.2.3.3 </w:t>
            </w:r>
            <w:r w:rsidR="00E15312">
              <w:rPr>
                <w:rStyle w:val="FormatvorlageInstructionsTabelleText"/>
                <w:b/>
                <w:u w:val="single"/>
              </w:rPr>
              <w:t>liabilities</w:t>
            </w:r>
            <w:r w:rsidR="00DF5510" w:rsidRPr="00DF5510">
              <w:rPr>
                <w:rStyle w:val="FormatvorlageInstructionsTabelleText"/>
                <w:b/>
                <w:u w:val="single"/>
              </w:rPr>
              <w:t xml:space="preserve"> reported in 1.2.2.2.1 which fall under point (d) of Article 422(3) 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B07DED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>
              <w:rPr>
                <w:rStyle w:val="FormatvorlageInstructionsTabelleText"/>
              </w:rPr>
              <w:t>vi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</w:rPr>
            </w:pPr>
          </w:p>
          <w:p w:rsidR="00DF5510" w:rsidRPr="00DF5510" w:rsidRDefault="00DF5510" w:rsidP="00DF5510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Of the liabilities reported in 1.2.2.2.1, the total amount of deposits that fall under point (d) of Article 422(3).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Pr="00384235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B83EA6" w:rsidRPr="0017440D" w:rsidTr="00097190">
        <w:tc>
          <w:tcPr>
            <w:tcW w:w="1189" w:type="dxa"/>
            <w:shd w:val="clear" w:color="auto" w:fill="E6E6E6"/>
          </w:tcPr>
          <w:p w:rsidR="00B83EA6" w:rsidRDefault="00A92D01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lastRenderedPageBreak/>
              <w:t>140-200</w:t>
            </w:r>
          </w:p>
        </w:tc>
        <w:tc>
          <w:tcPr>
            <w:tcW w:w="7560" w:type="dxa"/>
            <w:shd w:val="clear" w:color="auto" w:fill="E6E6E6"/>
          </w:tcPr>
          <w:p w:rsidR="00B83EA6" w:rsidRDefault="00F76893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 </w:t>
            </w:r>
            <w:r w:rsidR="00B83EA6">
              <w:rPr>
                <w:rStyle w:val="FormatvorlageInstructionsTabelleText"/>
                <w:b/>
                <w:u w:val="single"/>
              </w:rPr>
              <w:t>liabilities from customers that are financial customers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41003D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41003D">
              <w:rPr>
                <w:rStyle w:val="FormatvorlageInstructionsTabelleText"/>
              </w:rPr>
              <w:t>)</w:t>
            </w:r>
            <w:r>
              <w:rPr>
                <w:rStyle w:val="FormatvorlageInstructionsTabelleText"/>
              </w:rPr>
              <w:t>(b)(vi</w:t>
            </w:r>
            <w:r w:rsidR="00A24077">
              <w:rPr>
                <w:rStyle w:val="FormatvorlageInstructionsTabelleText"/>
              </w:rPr>
              <w:t>ii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097190" w:rsidRDefault="00097190" w:rsidP="00097190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amount of </w:t>
            </w:r>
            <w:r w:rsidRPr="009B1D4B">
              <w:rPr>
                <w:rStyle w:val="FormatvorlageInstructionsTabelleText"/>
              </w:rPr>
              <w:t>liabilities from customers that are financial customers</w:t>
            </w:r>
          </w:p>
          <w:p w:rsidR="007002B5" w:rsidRDefault="007002B5">
            <w:pPr>
              <w:pStyle w:val="InstructionsText"/>
              <w:ind w:left="0"/>
              <w:rPr>
                <w:rStyle w:val="FormatvorlageInstructionsTabelleText"/>
              </w:rPr>
            </w:pPr>
          </w:p>
        </w:tc>
      </w:tr>
      <w:tr w:rsidR="00B83EA6" w:rsidRPr="0017440D" w:rsidTr="00097190">
        <w:tc>
          <w:tcPr>
            <w:tcW w:w="1189" w:type="dxa"/>
            <w:shd w:val="clear" w:color="auto" w:fill="E6E6E6"/>
          </w:tcPr>
          <w:p w:rsidR="00B83EA6" w:rsidRPr="007A4A97" w:rsidRDefault="00A92D01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140-160</w:t>
            </w:r>
          </w:p>
        </w:tc>
        <w:tc>
          <w:tcPr>
            <w:tcW w:w="7560" w:type="dxa"/>
            <w:shd w:val="clear" w:color="auto" w:fill="E6E6E6"/>
          </w:tcPr>
          <w:p w:rsidR="00B83EA6" w:rsidRDefault="00A92D01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1.2.3.1 </w:t>
            </w:r>
            <w:r w:rsidR="00B83EA6">
              <w:rPr>
                <w:rStyle w:val="FormatvorlageInstructionsTabelleText"/>
                <w:b/>
                <w:u w:val="single"/>
              </w:rPr>
              <w:t>liabilities</w:t>
            </w:r>
            <w:r w:rsidR="00B83EA6" w:rsidRPr="0082345F">
              <w:rPr>
                <w:rStyle w:val="FormatvorlageInstructionsTabelleText"/>
                <w:b/>
                <w:u w:val="single"/>
              </w:rPr>
              <w:t xml:space="preserve"> from secured lending and capital market driven transactions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41003D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41003D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7462EB">
              <w:rPr>
                <w:rStyle w:val="FormatvorlageInstructionsTabelleText"/>
              </w:rPr>
              <w:t>ix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097190" w:rsidRDefault="00097190" w:rsidP="00097190">
            <w:pPr>
              <w:pStyle w:val="InstructionsText"/>
              <w:rPr>
                <w:rStyle w:val="FormatvorlageInstructionsTabelleText"/>
              </w:rPr>
            </w:pPr>
          </w:p>
          <w:p w:rsidR="00097190" w:rsidRPr="00097190" w:rsidRDefault="00097190" w:rsidP="00097190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amount of liabilities </w:t>
            </w:r>
            <w:r w:rsidRPr="0082345F">
              <w:rPr>
                <w:rStyle w:val="FormatvorlageInstructionsTabelleText"/>
              </w:rPr>
              <w:t>from</w:t>
            </w:r>
            <w:r>
              <w:rPr>
                <w:rStyle w:val="FormatvorlageInstructionsTabelleText"/>
              </w:rPr>
              <w:t xml:space="preserve"> </w:t>
            </w:r>
            <w:r w:rsidRPr="00097190">
              <w:rPr>
                <w:rStyle w:val="FormatvorlageInstructionsTabelleText"/>
              </w:rPr>
              <w:t>secured lending and capital market driven transactions as defined in Article 1</w:t>
            </w:r>
            <w:r w:rsidR="0041003D">
              <w:rPr>
                <w:rStyle w:val="FormatvorlageInstructionsTabelleText"/>
              </w:rPr>
              <w:t>92</w:t>
            </w:r>
            <w:r w:rsidRPr="00097190">
              <w:rPr>
                <w:rStyle w:val="FormatvorlageInstructionsTabelleText"/>
              </w:rPr>
              <w:t>, from customers that are financial customers</w:t>
            </w:r>
          </w:p>
          <w:p w:rsidR="00B83EA6" w:rsidRPr="00B07DED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B83EA6" w:rsidRPr="0017440D" w:rsidTr="0082345F">
        <w:tc>
          <w:tcPr>
            <w:tcW w:w="1189" w:type="dxa"/>
          </w:tcPr>
          <w:p w:rsidR="00B83EA6" w:rsidRPr="007A4A97" w:rsidRDefault="00A92D01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140</w:t>
            </w:r>
          </w:p>
        </w:tc>
        <w:tc>
          <w:tcPr>
            <w:tcW w:w="7560" w:type="dxa"/>
          </w:tcPr>
          <w:p w:rsidR="00B83EA6" w:rsidRPr="0082345F" w:rsidRDefault="00A92D01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1.2.3.1.1 </w:t>
            </w:r>
            <w:r w:rsidR="00B83EA6" w:rsidRPr="0082345F">
              <w:rPr>
                <w:rStyle w:val="FormatvorlageInstructionsTabelleText"/>
                <w:b/>
                <w:u w:val="single"/>
              </w:rPr>
              <w:t>collateralised by extremely high liquid</w:t>
            </w:r>
            <w:r w:rsidR="00B83EA6">
              <w:rPr>
                <w:rStyle w:val="FormatvorlageInstructionsTabelleText"/>
                <w:b/>
                <w:u w:val="single"/>
              </w:rPr>
              <w:t>ity and credit quality</w:t>
            </w:r>
            <w:r w:rsidR="00B83EA6" w:rsidRPr="0082345F">
              <w:rPr>
                <w:rStyle w:val="FormatvorlageInstructionsTabelleText"/>
                <w:b/>
                <w:u w:val="single"/>
              </w:rPr>
              <w:t xml:space="preserve"> assets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41003D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41003D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7462EB">
              <w:rPr>
                <w:rStyle w:val="FormatvorlageInstructionsTabelleText"/>
              </w:rPr>
              <w:t>ix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C931E2" w:rsidRDefault="00C931E2" w:rsidP="00C931E2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amount collateralised by extremely </w:t>
            </w:r>
            <w:r w:rsidR="009B33AB">
              <w:rPr>
                <w:rStyle w:val="FormatvorlageInstructionsTabelleText"/>
              </w:rPr>
              <w:t xml:space="preserve">high </w:t>
            </w:r>
            <w:r>
              <w:rPr>
                <w:rStyle w:val="FormatvorlageInstructionsTabelleText"/>
              </w:rPr>
              <w:t>liquid</w:t>
            </w:r>
            <w:r w:rsidR="009B7D55">
              <w:rPr>
                <w:rStyle w:val="FormatvorlageInstructionsTabelleText"/>
              </w:rPr>
              <w:t>ity and credit quality</w:t>
            </w:r>
            <w:r>
              <w:rPr>
                <w:rStyle w:val="FormatvorlageInstructionsTabelleText"/>
              </w:rPr>
              <w:t xml:space="preserve"> assets as reported in 1.1 Assets section 1 as</w:t>
            </w:r>
            <w:r w:rsidRPr="00C20541">
              <w:rPr>
                <w:rStyle w:val="FormatvorlageInstructionsTabelleText"/>
              </w:rPr>
              <w:t xml:space="preserve"> ‘Extremely high liquidity and credit quality assets’</w:t>
            </w:r>
            <w:r>
              <w:rPr>
                <w:rStyle w:val="FormatvorlageInstructionsTabelleText"/>
              </w:rPr>
              <w:t>.</w:t>
            </w:r>
          </w:p>
          <w:p w:rsidR="00B83EA6" w:rsidRPr="00B07DED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B83EA6" w:rsidRPr="0017440D" w:rsidTr="0082345F">
        <w:tc>
          <w:tcPr>
            <w:tcW w:w="1189" w:type="dxa"/>
          </w:tcPr>
          <w:p w:rsidR="00B83EA6" w:rsidRPr="007A4A97" w:rsidRDefault="00A92D01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150</w:t>
            </w:r>
          </w:p>
        </w:tc>
        <w:tc>
          <w:tcPr>
            <w:tcW w:w="7560" w:type="dxa"/>
          </w:tcPr>
          <w:p w:rsidR="00B83EA6" w:rsidRPr="005C4268" w:rsidRDefault="00A92D01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1.2.3.1.2 </w:t>
            </w:r>
            <w:r w:rsidR="00B83EA6" w:rsidRPr="005C4268">
              <w:rPr>
                <w:rStyle w:val="FormatvorlageInstructionsTabelleText"/>
                <w:b/>
                <w:u w:val="single"/>
              </w:rPr>
              <w:t>collateralised by highly liquid</w:t>
            </w:r>
            <w:r w:rsidR="00B83EA6">
              <w:rPr>
                <w:rStyle w:val="FormatvorlageInstructionsTabelleText"/>
                <w:b/>
                <w:u w:val="single"/>
              </w:rPr>
              <w:t>ity and credit quality</w:t>
            </w:r>
            <w:r w:rsidR="00B83EA6" w:rsidRPr="005C4268">
              <w:rPr>
                <w:rStyle w:val="FormatvorlageInstructionsTabelleText"/>
                <w:b/>
                <w:u w:val="single"/>
              </w:rPr>
              <w:t xml:space="preserve"> assets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41003D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41003D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77637B">
              <w:rPr>
                <w:rStyle w:val="FormatvorlageInstructionsTabelleText"/>
              </w:rPr>
              <w:t>ix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C931E2" w:rsidRDefault="00C931E2" w:rsidP="00C931E2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Total amount collateralised by high liquid</w:t>
            </w:r>
            <w:r w:rsidR="009B7D55">
              <w:rPr>
                <w:rStyle w:val="FormatvorlageInstructionsTabelleText"/>
              </w:rPr>
              <w:t>ity and credit quality</w:t>
            </w:r>
            <w:r>
              <w:rPr>
                <w:rStyle w:val="FormatvorlageInstructionsTabelleText"/>
              </w:rPr>
              <w:t xml:space="preserve"> assets as reported in 1.1 Assets section 1 as</w:t>
            </w:r>
            <w:r w:rsidRPr="00C20541">
              <w:rPr>
                <w:rStyle w:val="FormatvorlageInstructionsTabelleText"/>
              </w:rPr>
              <w:t xml:space="preserve"> ‘</w:t>
            </w:r>
            <w:r>
              <w:rPr>
                <w:rStyle w:val="FormatvorlageInstructionsTabelleText"/>
              </w:rPr>
              <w:t>H</w:t>
            </w:r>
            <w:r w:rsidRPr="00C20541">
              <w:rPr>
                <w:rStyle w:val="FormatvorlageInstructionsTabelleText"/>
              </w:rPr>
              <w:t>igh liquidity and credit quality assets’</w:t>
            </w:r>
            <w:r>
              <w:rPr>
                <w:rStyle w:val="FormatvorlageInstructionsTabelleText"/>
              </w:rPr>
              <w:t>.</w:t>
            </w:r>
          </w:p>
          <w:p w:rsidR="00B83EA6" w:rsidRPr="00B07DED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B83EA6" w:rsidRPr="0017440D" w:rsidTr="0082345F">
        <w:tc>
          <w:tcPr>
            <w:tcW w:w="1189" w:type="dxa"/>
          </w:tcPr>
          <w:p w:rsidR="00B83EA6" w:rsidRPr="007A4A97" w:rsidRDefault="00A92D01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160</w:t>
            </w:r>
          </w:p>
        </w:tc>
        <w:tc>
          <w:tcPr>
            <w:tcW w:w="7560" w:type="dxa"/>
          </w:tcPr>
          <w:p w:rsidR="00B83EA6" w:rsidRDefault="00A92D01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1.2.3.1.3 </w:t>
            </w:r>
            <w:r w:rsidR="00B83EA6" w:rsidRPr="005C4268">
              <w:rPr>
                <w:rStyle w:val="FormatvorlageInstructionsTabelleText"/>
                <w:b/>
                <w:u w:val="single"/>
              </w:rPr>
              <w:t>collateralised by any other assets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A67004">
              <w:rPr>
                <w:rStyle w:val="FormatvorlageInstructionsTabelleText"/>
              </w:rPr>
              <w:t>4</w:t>
            </w:r>
            <w:r w:rsidR="0041003D">
              <w:rPr>
                <w:rStyle w:val="FormatvorlageInstructionsTabelleText"/>
              </w:rPr>
              <w:t>27(</w:t>
            </w:r>
            <w:r w:rsidRPr="00B07DED">
              <w:rPr>
                <w:rStyle w:val="FormatvorlageInstructionsTabelleText"/>
              </w:rPr>
              <w:t>1</w:t>
            </w:r>
            <w:r w:rsidR="0041003D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0B092B">
              <w:rPr>
                <w:rStyle w:val="FormatvorlageInstructionsTabelleText"/>
              </w:rPr>
              <w:t>ix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C931E2" w:rsidRDefault="00C931E2" w:rsidP="00C931E2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Total amount collateralised by other assets not reported in 1.2.2.1.1 or 1.2.2.1.2.</w:t>
            </w:r>
          </w:p>
          <w:p w:rsidR="00B83EA6" w:rsidRPr="00B07DED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B83EA6" w:rsidRPr="0017440D" w:rsidTr="0082345F">
        <w:tc>
          <w:tcPr>
            <w:tcW w:w="1189" w:type="dxa"/>
          </w:tcPr>
          <w:p w:rsidR="00B83EA6" w:rsidRDefault="00B04858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170</w:t>
            </w:r>
          </w:p>
        </w:tc>
        <w:tc>
          <w:tcPr>
            <w:tcW w:w="7560" w:type="dxa"/>
          </w:tcPr>
          <w:p w:rsidR="00B83EA6" w:rsidRDefault="00B04858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1.2.3.2 </w:t>
            </w:r>
            <w:r w:rsidR="00B83EA6">
              <w:rPr>
                <w:rStyle w:val="FormatvorlageInstructionsTabelleText"/>
                <w:b/>
                <w:u w:val="single"/>
              </w:rPr>
              <w:t>liabilities</w:t>
            </w:r>
            <w:r w:rsidR="00B83EA6" w:rsidRPr="0082345F">
              <w:rPr>
                <w:rStyle w:val="FormatvorlageInstructionsTabelleText"/>
                <w:b/>
                <w:u w:val="single"/>
              </w:rPr>
              <w:t xml:space="preserve"> from </w:t>
            </w:r>
            <w:r w:rsidR="00B83EA6">
              <w:rPr>
                <w:rStyle w:val="FormatvorlageInstructionsTabelleText"/>
                <w:b/>
                <w:u w:val="single"/>
              </w:rPr>
              <w:t>un</w:t>
            </w:r>
            <w:r w:rsidR="00B83EA6" w:rsidRPr="0082345F">
              <w:rPr>
                <w:rStyle w:val="FormatvorlageInstructionsTabelleText"/>
                <w:b/>
                <w:u w:val="single"/>
              </w:rPr>
              <w:t xml:space="preserve">secured lending 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Article </w:t>
            </w:r>
            <w:r w:rsidR="000B092B">
              <w:rPr>
                <w:rStyle w:val="FormatvorlageInstructionsTabelleText"/>
              </w:rPr>
              <w:t>427</w:t>
            </w:r>
            <w:r w:rsidR="002C21B8">
              <w:rPr>
                <w:rStyle w:val="FormatvorlageInstructionsTabelleText"/>
              </w:rPr>
              <w:t>(</w:t>
            </w:r>
            <w:r>
              <w:rPr>
                <w:rStyle w:val="FormatvorlageInstructionsTabelleText"/>
              </w:rPr>
              <w:t>1</w:t>
            </w:r>
            <w:r w:rsidR="002C21B8">
              <w:rPr>
                <w:rStyle w:val="FormatvorlageInstructionsTabelleText"/>
              </w:rPr>
              <w:t>)</w:t>
            </w:r>
            <w:r>
              <w:rPr>
                <w:rStyle w:val="FormatvorlageInstructionsTabelleText"/>
              </w:rPr>
              <w:t>(b)(v</w:t>
            </w:r>
            <w:r w:rsidRPr="00B07DED">
              <w:rPr>
                <w:rStyle w:val="FormatvorlageInstructionsTabelleText"/>
              </w:rPr>
              <w:t>i</w:t>
            </w:r>
            <w:r w:rsidR="000B092B">
              <w:rPr>
                <w:rStyle w:val="FormatvorlageInstructionsTabelleText"/>
              </w:rPr>
              <w:t>ii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B83EA6" w:rsidRPr="00C931E2" w:rsidRDefault="00C931E2" w:rsidP="00E15312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amount of liabilities </w:t>
            </w:r>
            <w:r w:rsidRPr="0082345F">
              <w:rPr>
                <w:rStyle w:val="FormatvorlageInstructionsTabelleText"/>
                <w:lang w:eastAsia="en-US"/>
              </w:rPr>
              <w:t>from</w:t>
            </w:r>
            <w:r>
              <w:rPr>
                <w:rStyle w:val="FormatvorlageInstructionsTabelleText"/>
              </w:rPr>
              <w:t xml:space="preserve"> un</w:t>
            </w:r>
            <w:r w:rsidRPr="0082345F">
              <w:rPr>
                <w:rStyle w:val="FormatvorlageInstructionsTabelleText"/>
                <w:szCs w:val="24"/>
                <w:lang w:eastAsia="en-US"/>
              </w:rPr>
              <w:t xml:space="preserve">secured lending </w:t>
            </w:r>
            <w:r>
              <w:rPr>
                <w:rStyle w:val="FormatvorlageInstructionsTabelleText"/>
                <w:szCs w:val="24"/>
                <w:lang w:eastAsia="en-US"/>
              </w:rPr>
              <w:t>to customers that are financial customers</w:t>
            </w:r>
            <w:r>
              <w:rPr>
                <w:rStyle w:val="FormatvorlageInstructionsTabelleText"/>
              </w:rPr>
              <w:t>.</w:t>
            </w:r>
          </w:p>
        </w:tc>
      </w:tr>
      <w:tr w:rsidR="00B83EA6" w:rsidRPr="0017440D" w:rsidTr="0082345F">
        <w:tc>
          <w:tcPr>
            <w:tcW w:w="1189" w:type="dxa"/>
          </w:tcPr>
          <w:p w:rsidR="00B83EA6" w:rsidRDefault="00B04858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180-200</w:t>
            </w:r>
          </w:p>
        </w:tc>
        <w:tc>
          <w:tcPr>
            <w:tcW w:w="7560" w:type="dxa"/>
          </w:tcPr>
          <w:p w:rsidR="00B83EA6" w:rsidRDefault="00B04858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1.2.3.3 </w:t>
            </w:r>
            <w:r w:rsidR="00B83EA6">
              <w:rPr>
                <w:rStyle w:val="FormatvorlageInstructionsTabelleText"/>
                <w:b/>
                <w:u w:val="single"/>
              </w:rPr>
              <w:t>liabilities</w:t>
            </w:r>
            <w:r w:rsidR="00B83EA6" w:rsidRPr="0082345F">
              <w:rPr>
                <w:rStyle w:val="FormatvorlageInstructionsTabelleText"/>
                <w:b/>
                <w:u w:val="single"/>
              </w:rPr>
              <w:t xml:space="preserve"> </w:t>
            </w:r>
            <w:r w:rsidR="00B83EA6">
              <w:rPr>
                <w:rStyle w:val="FormatvorlageInstructionsTabelleText"/>
                <w:b/>
                <w:u w:val="single"/>
              </w:rPr>
              <w:t>that qualify for the</w:t>
            </w:r>
            <w:r w:rsidR="00661DB6">
              <w:rPr>
                <w:rStyle w:val="FormatvorlageInstructionsTabelleText"/>
                <w:b/>
                <w:u w:val="single"/>
              </w:rPr>
              <w:t xml:space="preserve"> treatment  in Article 4</w:t>
            </w:r>
            <w:r w:rsidR="00762BC4">
              <w:rPr>
                <w:rStyle w:val="FormatvorlageInstructionsTabelleText"/>
                <w:b/>
                <w:u w:val="single"/>
              </w:rPr>
              <w:t>22(3)</w:t>
            </w:r>
            <w:r w:rsidR="00B80604">
              <w:rPr>
                <w:rStyle w:val="FormatvorlageInstructionsTabelleText"/>
                <w:b/>
                <w:u w:val="single"/>
              </w:rPr>
              <w:t xml:space="preserve"> and (4)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B80604">
              <w:rPr>
                <w:rStyle w:val="FormatvorlageInstructionsTabelleText"/>
              </w:rPr>
              <w:t>427</w:t>
            </w:r>
            <w:r w:rsidR="00811D67">
              <w:rPr>
                <w:rStyle w:val="FormatvorlageInstructionsTabelleText"/>
              </w:rPr>
              <w:t>(</w:t>
            </w:r>
            <w:r w:rsidRPr="00B07DED">
              <w:rPr>
                <w:rStyle w:val="FormatvorlageInstructionsTabelleText"/>
              </w:rPr>
              <w:t>1</w:t>
            </w:r>
            <w:r w:rsidR="00811D67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 xml:space="preserve">(b)(iii)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C931E2" w:rsidRDefault="00C84947" w:rsidP="00C931E2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</w:t>
            </w:r>
            <w:r w:rsidR="00C931E2">
              <w:rPr>
                <w:rStyle w:val="FormatvorlageInstructionsTabelleText"/>
              </w:rPr>
              <w:t xml:space="preserve">he total amount </w:t>
            </w:r>
            <w:r>
              <w:rPr>
                <w:rStyle w:val="FormatvorlageInstructionsTabelleText"/>
              </w:rPr>
              <w:t xml:space="preserve">of liabilities </w:t>
            </w:r>
            <w:r w:rsidR="00C931E2">
              <w:rPr>
                <w:rStyle w:val="FormatvorlageInstructionsTabelleText"/>
              </w:rPr>
              <w:t>that qualif</w:t>
            </w:r>
            <w:r>
              <w:rPr>
                <w:rStyle w:val="FormatvorlageInstructionsTabelleText"/>
              </w:rPr>
              <w:t>y</w:t>
            </w:r>
            <w:r w:rsidR="00C931E2">
              <w:rPr>
                <w:rStyle w:val="FormatvorlageInstructionsTabelleText"/>
              </w:rPr>
              <w:t xml:space="preserve"> for the treatment </w:t>
            </w:r>
            <w:r w:rsidR="00C931E2" w:rsidRPr="00384235">
              <w:rPr>
                <w:rStyle w:val="FormatvorlageInstructionsTabelleText"/>
              </w:rPr>
              <w:t>in Article 4</w:t>
            </w:r>
            <w:r w:rsidR="00762BC4">
              <w:rPr>
                <w:rStyle w:val="FormatvorlageInstructionsTabelleText"/>
              </w:rPr>
              <w:t>22(3)</w:t>
            </w:r>
            <w:r w:rsidR="0048650D">
              <w:rPr>
                <w:rStyle w:val="FormatvorlageInstructionsTabelleText"/>
              </w:rPr>
              <w:t xml:space="preserve"> and (4)</w:t>
            </w:r>
            <w:r w:rsidR="00C931E2">
              <w:rPr>
                <w:rStyle w:val="FormatvorlageInstructionsTabelleText"/>
              </w:rPr>
              <w:t>.</w:t>
            </w:r>
          </w:p>
          <w:p w:rsidR="00B83EA6" w:rsidRPr="005C4268" w:rsidRDefault="00B83EA6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B83EA6" w:rsidRPr="0017440D" w:rsidTr="0082345F">
        <w:tc>
          <w:tcPr>
            <w:tcW w:w="1189" w:type="dxa"/>
          </w:tcPr>
          <w:p w:rsidR="00B83EA6" w:rsidRDefault="00B04858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180</w:t>
            </w:r>
          </w:p>
        </w:tc>
        <w:tc>
          <w:tcPr>
            <w:tcW w:w="7560" w:type="dxa"/>
          </w:tcPr>
          <w:p w:rsidR="00B83EA6" w:rsidRPr="007C5DF2" w:rsidRDefault="00B04858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1.2.3.3.1 </w:t>
            </w:r>
            <w:r w:rsidR="00B83EA6" w:rsidRPr="00384235">
              <w:rPr>
                <w:rStyle w:val="FormatvorlageInstructionsTabelleText"/>
                <w:b/>
                <w:u w:val="single"/>
              </w:rPr>
              <w:t>liabilities reported in 1.2.</w:t>
            </w:r>
            <w:r w:rsidR="008D5BBD">
              <w:rPr>
                <w:rStyle w:val="FormatvorlageInstructionsTabelleText"/>
                <w:b/>
                <w:u w:val="single"/>
              </w:rPr>
              <w:t>3</w:t>
            </w:r>
            <w:r w:rsidR="00B83EA6" w:rsidRPr="00384235">
              <w:rPr>
                <w:rStyle w:val="FormatvorlageInstructionsTabelleText"/>
                <w:b/>
                <w:u w:val="single"/>
              </w:rPr>
              <w:t xml:space="preserve">.2.1 </w:t>
            </w:r>
            <w:r w:rsidR="007C5DF2" w:rsidRPr="007C5DF2">
              <w:rPr>
                <w:rStyle w:val="FormatvorlageInstructionsTabelleText"/>
                <w:b/>
                <w:u w:val="single"/>
              </w:rPr>
              <w:t xml:space="preserve">which are covered by a </w:t>
            </w:r>
            <w:r w:rsidR="007C5DF2" w:rsidRPr="007C5DF2">
              <w:rPr>
                <w:rStyle w:val="FormatvorlageInstructionsTabelleText"/>
                <w:b/>
                <w:u w:val="single"/>
              </w:rPr>
              <w:lastRenderedPageBreak/>
              <w:t>Deposit Guarantee Scheme according to Directive 94/19/EC or an equivalent deposit guarantee scheme in a third country</w:t>
            </w:r>
          </w:p>
          <w:p w:rsidR="00B83EA6" w:rsidRPr="00384235" w:rsidRDefault="00B83EA6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 w:rsidR="006A4D1B">
              <w:rPr>
                <w:rStyle w:val="FormatvorlageInstructionsTabelleText"/>
              </w:rPr>
              <w:t>427(</w:t>
            </w:r>
            <w:r w:rsidRPr="00B07DED">
              <w:rPr>
                <w:rStyle w:val="FormatvorlageInstructionsTabelleText"/>
              </w:rPr>
              <w:t>1</w:t>
            </w:r>
            <w:r w:rsidR="006A4D1B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 w:rsidR="006A4D1B">
              <w:rPr>
                <w:rStyle w:val="FormatvorlageInstructionsTabelleText"/>
              </w:rPr>
              <w:t>iv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B83EA6" w:rsidRDefault="00B83EA6" w:rsidP="00B83EA6">
            <w:pPr>
              <w:pStyle w:val="InstructionsText"/>
              <w:rPr>
                <w:rStyle w:val="FormatvorlageInstructionsTabelleText"/>
              </w:rPr>
            </w:pPr>
          </w:p>
          <w:p w:rsidR="00B83EA6" w:rsidRDefault="00C931E2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Of the liabilities reported in 1.2.3.</w:t>
            </w:r>
            <w:r w:rsidR="00C84947">
              <w:rPr>
                <w:rStyle w:val="FormatvorlageInstructionsTabelleText"/>
              </w:rPr>
              <w:t>3</w:t>
            </w:r>
            <w:r>
              <w:rPr>
                <w:rStyle w:val="FormatvorlageInstructionsTabelleText"/>
              </w:rPr>
              <w:t>, the total amount which is</w:t>
            </w:r>
            <w:r w:rsidRPr="00384235">
              <w:rPr>
                <w:rStyle w:val="FormatvorlageInstructionsTabelleText"/>
              </w:rPr>
              <w:t xml:space="preserve"> </w:t>
            </w:r>
            <w:r>
              <w:rPr>
                <w:rStyle w:val="FormatvorlageInstructionsTabelleText"/>
              </w:rPr>
              <w:t>covered by</w:t>
            </w:r>
            <w:r w:rsidRPr="00384235">
              <w:rPr>
                <w:rStyle w:val="FormatvorlageInstructionsTabelleText"/>
              </w:rPr>
              <w:t xml:space="preserve"> a </w:t>
            </w:r>
            <w:r w:rsidRPr="00677A77">
              <w:rPr>
                <w:rStyle w:val="InstructionsTabelleberschrift"/>
                <w:b w:val="0"/>
                <w:u w:val="none"/>
              </w:rPr>
              <w:t xml:space="preserve">Deposit Guarantee Scheme according to Directive 94/19/EC or an equivalent deposit guarantee scheme in a third country </w:t>
            </w:r>
            <w:r w:rsidRPr="00384235">
              <w:rPr>
                <w:rStyle w:val="FormatvorlageInstructionsTabelleText"/>
              </w:rPr>
              <w:t>deposit guarantee scheme</w:t>
            </w:r>
            <w:r>
              <w:rPr>
                <w:rStyle w:val="FormatvorlageInstructionsTabelleText"/>
              </w:rPr>
              <w:t>.</w:t>
            </w:r>
          </w:p>
          <w:p w:rsidR="00C931E2" w:rsidRPr="005C4268" w:rsidRDefault="00C931E2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DF5510" w:rsidRPr="0017440D" w:rsidTr="0082345F">
        <w:tc>
          <w:tcPr>
            <w:tcW w:w="1189" w:type="dxa"/>
          </w:tcPr>
          <w:p w:rsidR="00DF5510" w:rsidRDefault="00B04858" w:rsidP="00DF5510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lastRenderedPageBreak/>
              <w:t>190</w:t>
            </w:r>
          </w:p>
        </w:tc>
        <w:tc>
          <w:tcPr>
            <w:tcW w:w="7560" w:type="dxa"/>
          </w:tcPr>
          <w:p w:rsidR="00DF5510" w:rsidRDefault="00B04858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1.2.3.3.2 </w:t>
            </w:r>
            <w:r w:rsidR="00E15312">
              <w:rPr>
                <w:rStyle w:val="FormatvorlageInstructionsTabelleText"/>
                <w:b/>
                <w:u w:val="single"/>
              </w:rPr>
              <w:t>liabilities</w:t>
            </w:r>
            <w:r w:rsidR="00DF5510" w:rsidRPr="00DF5510">
              <w:rPr>
                <w:rStyle w:val="FormatvorlageInstructionsTabelleText"/>
                <w:b/>
                <w:u w:val="single"/>
              </w:rPr>
              <w:t xml:space="preserve"> reported in 1.2.</w:t>
            </w:r>
            <w:r w:rsidR="00DF5510">
              <w:rPr>
                <w:rStyle w:val="FormatvorlageInstructionsTabelleText"/>
                <w:b/>
                <w:u w:val="single"/>
              </w:rPr>
              <w:t>3</w:t>
            </w:r>
            <w:r w:rsidR="00DF5510" w:rsidRPr="00DF5510">
              <w:rPr>
                <w:rStyle w:val="FormatvorlageInstructionsTabelleText"/>
                <w:b/>
                <w:u w:val="single"/>
              </w:rPr>
              <w:t>.2.1 which fall under point (b) of Article 422(3)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B07DED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>
              <w:rPr>
                <w:rStyle w:val="FormatvorlageInstructionsTabelleText"/>
              </w:rPr>
              <w:t>v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</w:rPr>
            </w:pP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</w:rPr>
              <w:t>Of the liabilities reported in 1.2.</w:t>
            </w:r>
            <w:r w:rsidR="00C84947">
              <w:rPr>
                <w:rStyle w:val="FormatvorlageInstructionsTabelleText"/>
              </w:rPr>
              <w:t>3.3</w:t>
            </w:r>
            <w:r>
              <w:rPr>
                <w:rStyle w:val="FormatvorlageInstructionsTabelleText"/>
              </w:rPr>
              <w:t>, the total amount of deposits that fall under point (b) of Article 422(3).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Pr="00384235" w:rsidRDefault="00DF5510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DF5510" w:rsidRPr="0017440D" w:rsidTr="0082345F">
        <w:tc>
          <w:tcPr>
            <w:tcW w:w="1189" w:type="dxa"/>
          </w:tcPr>
          <w:p w:rsidR="00DF5510" w:rsidRDefault="00B04858" w:rsidP="00DF5510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200</w:t>
            </w:r>
          </w:p>
        </w:tc>
        <w:tc>
          <w:tcPr>
            <w:tcW w:w="7560" w:type="dxa"/>
          </w:tcPr>
          <w:p w:rsidR="00DF5510" w:rsidRDefault="00B04858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1.2.3.3.3 </w:t>
            </w:r>
            <w:r w:rsidR="00E15312">
              <w:rPr>
                <w:rStyle w:val="FormatvorlageInstructionsTabelleText"/>
                <w:b/>
                <w:u w:val="single"/>
              </w:rPr>
              <w:t>liabilities</w:t>
            </w:r>
            <w:r w:rsidR="00DF5510" w:rsidRPr="00DF5510">
              <w:rPr>
                <w:rStyle w:val="FormatvorlageInstructionsTabelleText"/>
                <w:b/>
                <w:u w:val="single"/>
              </w:rPr>
              <w:t xml:space="preserve"> reported in 1.2.</w:t>
            </w:r>
            <w:r w:rsidR="00DF5510">
              <w:rPr>
                <w:rStyle w:val="FormatvorlageInstructionsTabelleText"/>
                <w:b/>
                <w:u w:val="single"/>
              </w:rPr>
              <w:t>3</w:t>
            </w:r>
            <w:r w:rsidR="00DF5510" w:rsidRPr="00DF5510">
              <w:rPr>
                <w:rStyle w:val="FormatvorlageInstructionsTabelleText"/>
                <w:b/>
                <w:u w:val="single"/>
              </w:rPr>
              <w:t xml:space="preserve">.2.1 which fall under point (d) of Article 422(3) 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</w:rPr>
            </w:pPr>
            <w:r w:rsidRPr="00B07DED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B07DED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>(b)(</w:t>
            </w:r>
            <w:r>
              <w:rPr>
                <w:rStyle w:val="FormatvorlageInstructionsTabelleText"/>
              </w:rPr>
              <w:t>vi</w:t>
            </w:r>
            <w:r w:rsidRPr="00B07DED">
              <w:rPr>
                <w:rStyle w:val="FormatvorlageInstructionsTabelleText"/>
              </w:rPr>
              <w:t xml:space="preserve">) of </w:t>
            </w:r>
            <w:r w:rsidR="00A73395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</w:rPr>
            </w:pPr>
          </w:p>
          <w:p w:rsidR="00DF5510" w:rsidRPr="00DF5510" w:rsidRDefault="00DF5510" w:rsidP="00DF5510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Of the liabilities reported in 1.2.2.2.1, the total amount of deposits that fall under point (d) of Article 422(3).</w:t>
            </w:r>
          </w:p>
          <w:p w:rsidR="00DF5510" w:rsidRDefault="00DF5510" w:rsidP="00DF5510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Pr="00384235" w:rsidRDefault="00DF5510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DF5510" w:rsidRPr="0017440D" w:rsidTr="0082345F">
        <w:tc>
          <w:tcPr>
            <w:tcW w:w="1189" w:type="dxa"/>
          </w:tcPr>
          <w:p w:rsidR="00DF5510" w:rsidRPr="007A4A97" w:rsidRDefault="00B04858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210</w:t>
            </w:r>
          </w:p>
        </w:tc>
        <w:tc>
          <w:tcPr>
            <w:tcW w:w="7560" w:type="dxa"/>
          </w:tcPr>
          <w:p w:rsidR="00DF5510" w:rsidRDefault="00B04858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1.2.4 </w:t>
            </w:r>
            <w:r w:rsidR="00DF5510" w:rsidRPr="0040684B">
              <w:rPr>
                <w:rStyle w:val="FormatvorlageInstructionsTabelleText"/>
                <w:b/>
                <w:u w:val="single"/>
              </w:rPr>
              <w:t xml:space="preserve">liabilities resulting </w:t>
            </w:r>
            <w:r w:rsidR="00DF5510">
              <w:rPr>
                <w:rStyle w:val="FormatvorlageInstructionsTabelleText"/>
                <w:b/>
                <w:u w:val="single"/>
              </w:rPr>
              <w:t>from</w:t>
            </w:r>
            <w:r w:rsidR="00DF5510" w:rsidRPr="0040684B">
              <w:rPr>
                <w:rStyle w:val="FormatvorlageInstructionsTabelleText"/>
                <w:b/>
                <w:u w:val="single"/>
              </w:rPr>
              <w:t xml:space="preserve"> securities issued qualifying for the treatment in Article 12</w:t>
            </w:r>
            <w:r w:rsidR="00DF5510">
              <w:rPr>
                <w:rStyle w:val="FormatvorlageInstructionsTabelleText"/>
                <w:b/>
                <w:u w:val="single"/>
              </w:rPr>
              <w:t>9(4) or (5)</w:t>
            </w:r>
          </w:p>
          <w:p w:rsidR="00DF5510" w:rsidRPr="0040684B" w:rsidRDefault="00DF5510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B07DED">
            <w:pPr>
              <w:pStyle w:val="InstructionsText"/>
              <w:rPr>
                <w:rStyle w:val="FormatvorlageInstructionsTabelleText"/>
              </w:rPr>
            </w:pPr>
            <w:r w:rsidRPr="00C83275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C83275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C83275">
              <w:rPr>
                <w:rStyle w:val="FormatvorlageInstructionsTabelleText"/>
              </w:rPr>
              <w:t>(b)(x)</w:t>
            </w:r>
            <w:r w:rsidRPr="00B07DED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DF5510" w:rsidRDefault="00DF5510" w:rsidP="00B07DED">
            <w:pPr>
              <w:pStyle w:val="InstructionsText"/>
              <w:rPr>
                <w:rStyle w:val="FormatvorlageInstructionsTabelleText"/>
              </w:rPr>
            </w:pPr>
          </w:p>
          <w:p w:rsidR="00DF5510" w:rsidRPr="0040684B" w:rsidRDefault="00DF5510" w:rsidP="0040684B">
            <w:pPr>
              <w:pStyle w:val="InstructionsText"/>
              <w:rPr>
                <w:rStyle w:val="FormatvorlageInstructionsTabelleText"/>
                <w:szCs w:val="24"/>
                <w:lang w:eastAsia="en-US"/>
              </w:rPr>
            </w:pPr>
            <w:r>
              <w:rPr>
                <w:rStyle w:val="FormatvorlageInstructionsTabelleText"/>
              </w:rPr>
              <w:t>Total amount of liabilities resulting from securities issued qualifying for the treatment in Article 129 (covered bonds)</w:t>
            </w:r>
            <w:r w:rsidRPr="00B24125">
              <w:rPr>
                <w:rStyle w:val="FormatvorlageInstructionsTabelleText"/>
                <w:szCs w:val="24"/>
                <w:lang w:eastAsia="en-US"/>
              </w:rPr>
              <w:t>.</w:t>
            </w:r>
          </w:p>
          <w:p w:rsidR="00DF5510" w:rsidRPr="00C83275" w:rsidRDefault="00DF5510" w:rsidP="00B07DED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DF5510" w:rsidRPr="0017440D" w:rsidTr="0082345F">
        <w:tc>
          <w:tcPr>
            <w:tcW w:w="1189" w:type="dxa"/>
          </w:tcPr>
          <w:p w:rsidR="00DF5510" w:rsidRDefault="00C4549B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220</w:t>
            </w:r>
          </w:p>
        </w:tc>
        <w:tc>
          <w:tcPr>
            <w:tcW w:w="7560" w:type="dxa"/>
          </w:tcPr>
          <w:p w:rsidR="00DF5510" w:rsidRPr="00B83EA6" w:rsidRDefault="00B04858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1.2.5 </w:t>
            </w:r>
            <w:r w:rsidR="00DF5510" w:rsidRPr="0040684B">
              <w:rPr>
                <w:rStyle w:val="FormatvorlageInstructionsTabelleText"/>
                <w:b/>
                <w:u w:val="single"/>
              </w:rPr>
              <w:t xml:space="preserve">liabilities resulting </w:t>
            </w:r>
            <w:r w:rsidR="00DF5510">
              <w:rPr>
                <w:rStyle w:val="FormatvorlageInstructionsTabelleText"/>
                <w:b/>
                <w:u w:val="single"/>
              </w:rPr>
              <w:t>from</w:t>
            </w:r>
            <w:r w:rsidR="00DF5510" w:rsidRPr="0040684B">
              <w:rPr>
                <w:rStyle w:val="FormatvorlageInstructionsTabelleText"/>
                <w:b/>
                <w:u w:val="single"/>
              </w:rPr>
              <w:t xml:space="preserve"> </w:t>
            </w:r>
            <w:r w:rsidR="00DF5510" w:rsidRPr="00B83EA6">
              <w:rPr>
                <w:rStyle w:val="FormatvorlageInstructionsTabelleText"/>
                <w:b/>
                <w:u w:val="single"/>
              </w:rPr>
              <w:t>securities defined in Article 52(4) of Directive 2009/65/EC</w:t>
            </w:r>
          </w:p>
          <w:p w:rsidR="00DF5510" w:rsidRPr="0040684B" w:rsidRDefault="00DF5510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B83EA6">
            <w:pPr>
              <w:pStyle w:val="InstructionsText"/>
              <w:rPr>
                <w:rStyle w:val="FormatvorlageInstructionsTabelleText"/>
              </w:rPr>
            </w:pPr>
            <w:r w:rsidRPr="00C83275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C83275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C83275">
              <w:rPr>
                <w:rStyle w:val="FormatvorlageInstructionsTabelleText"/>
              </w:rPr>
              <w:t>(b)(x)</w:t>
            </w:r>
            <w:r w:rsidRPr="00B07DED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DF5510" w:rsidRDefault="00DF5510" w:rsidP="00B83EA6">
            <w:pPr>
              <w:pStyle w:val="InstructionsText"/>
              <w:rPr>
                <w:rStyle w:val="FormatvorlageInstructionsTabelleText"/>
              </w:rPr>
            </w:pPr>
          </w:p>
          <w:p w:rsidR="00DF5510" w:rsidRPr="0040684B" w:rsidRDefault="00DF5510" w:rsidP="00B83EA6">
            <w:pPr>
              <w:pStyle w:val="InstructionsText"/>
              <w:rPr>
                <w:rStyle w:val="FormatvorlageInstructionsTabelleText"/>
                <w:szCs w:val="24"/>
                <w:lang w:eastAsia="en-US"/>
              </w:rPr>
            </w:pPr>
            <w:r>
              <w:rPr>
                <w:rStyle w:val="FormatvorlageInstructionsTabelleText"/>
              </w:rPr>
              <w:t>Total amount of liabilities resulting from securities issued qualifying for the treatment</w:t>
            </w:r>
            <w:r w:rsidRPr="00B83EA6">
              <w:rPr>
                <w:rStyle w:val="FormatvorlageInstructionsTabelleText"/>
              </w:rPr>
              <w:t xml:space="preserve"> defined in Article 52(4) of Directive 2009/65/EC </w:t>
            </w:r>
            <w:r>
              <w:rPr>
                <w:rStyle w:val="FormatvorlageInstructionsTabelleText"/>
              </w:rPr>
              <w:t>(covered bonds)</w:t>
            </w:r>
            <w:r w:rsidRPr="00B24125">
              <w:rPr>
                <w:rStyle w:val="FormatvorlageInstructionsTabelleText"/>
                <w:szCs w:val="24"/>
                <w:lang w:eastAsia="en-US"/>
              </w:rPr>
              <w:t>.</w:t>
            </w:r>
          </w:p>
          <w:p w:rsidR="00DF5510" w:rsidRPr="0040684B" w:rsidRDefault="00DF5510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DF5510" w:rsidRPr="0017440D" w:rsidTr="0082345F">
        <w:tc>
          <w:tcPr>
            <w:tcW w:w="1189" w:type="dxa"/>
          </w:tcPr>
          <w:p w:rsidR="00DF5510" w:rsidRPr="007A4A97" w:rsidRDefault="00C4549B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230</w:t>
            </w:r>
          </w:p>
        </w:tc>
        <w:tc>
          <w:tcPr>
            <w:tcW w:w="7560" w:type="dxa"/>
          </w:tcPr>
          <w:p w:rsidR="00DF5510" w:rsidRDefault="00C4549B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1.2.6 </w:t>
            </w:r>
            <w:r w:rsidR="00DF5510" w:rsidRPr="0040684B">
              <w:rPr>
                <w:rStyle w:val="FormatvorlageInstructionsTabelleText"/>
                <w:b/>
                <w:u w:val="single"/>
              </w:rPr>
              <w:t>other liabilities resulting from securities</w:t>
            </w:r>
            <w:r w:rsidR="00DF5510">
              <w:rPr>
                <w:rStyle w:val="FormatvorlageInstructionsTabelleText"/>
                <w:b/>
                <w:u w:val="single"/>
              </w:rPr>
              <w:t xml:space="preserve"> issued</w:t>
            </w:r>
          </w:p>
          <w:p w:rsidR="00DF5510" w:rsidRPr="0040684B" w:rsidRDefault="00DF5510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B07DED">
            <w:pPr>
              <w:pStyle w:val="InstructionsText"/>
              <w:rPr>
                <w:rStyle w:val="FormatvorlageInstructionsTabelleText"/>
              </w:rPr>
            </w:pPr>
            <w:r w:rsidRPr="00C83275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C83275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C83275">
              <w:rPr>
                <w:rStyle w:val="FormatvorlageInstructionsTabelleText"/>
              </w:rPr>
              <w:t>(b)(x</w:t>
            </w:r>
            <w:r>
              <w:rPr>
                <w:rStyle w:val="FormatvorlageInstructionsTabelleText"/>
              </w:rPr>
              <w:t>i</w:t>
            </w:r>
            <w:r w:rsidRPr="00C83275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DF5510" w:rsidRDefault="00DF5510" w:rsidP="00B07DED">
            <w:pPr>
              <w:pStyle w:val="InstructionsText"/>
              <w:rPr>
                <w:rStyle w:val="FormatvorlageInstructionsTabelleText"/>
              </w:rPr>
            </w:pPr>
          </w:p>
          <w:p w:rsidR="00183A90" w:rsidRDefault="00DF5510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Total amount of liabilities resulting from securities issued, other than those reported in 1.1</w:t>
            </w:r>
            <w:r w:rsidRPr="00B24125">
              <w:rPr>
                <w:rStyle w:val="FormatvorlageInstructionsTabelleText"/>
                <w:szCs w:val="24"/>
                <w:lang w:eastAsia="en-US"/>
              </w:rPr>
              <w:t>.</w:t>
            </w:r>
          </w:p>
          <w:p w:rsidR="00DF5510" w:rsidRPr="00C83275" w:rsidRDefault="00DF5510" w:rsidP="00B07DED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DF5510" w:rsidRPr="0017440D" w:rsidTr="0082345F">
        <w:tc>
          <w:tcPr>
            <w:tcW w:w="1189" w:type="dxa"/>
          </w:tcPr>
          <w:p w:rsidR="00DF5510" w:rsidRDefault="00C4549B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240</w:t>
            </w:r>
          </w:p>
        </w:tc>
        <w:tc>
          <w:tcPr>
            <w:tcW w:w="7560" w:type="dxa"/>
          </w:tcPr>
          <w:p w:rsidR="00DF5510" w:rsidRDefault="00C4549B" w:rsidP="00B83EA6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1.2.7 </w:t>
            </w:r>
            <w:r w:rsidR="00DF5510">
              <w:rPr>
                <w:rStyle w:val="FormatvorlageInstructionsTabelleText"/>
                <w:b/>
                <w:u w:val="single"/>
              </w:rPr>
              <w:t>liabilities from derivatives payables contracts</w:t>
            </w:r>
          </w:p>
          <w:p w:rsidR="00DF5510" w:rsidRDefault="00DF5510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Pr="00B83EA6" w:rsidRDefault="00DF5510" w:rsidP="00B83EA6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amount of liabilities </w:t>
            </w:r>
            <w:r w:rsidRPr="00B83EA6">
              <w:rPr>
                <w:rStyle w:val="FormatvorlageInstructionsTabelleText"/>
              </w:rPr>
              <w:t>from derivatives payables contracts.</w:t>
            </w:r>
          </w:p>
          <w:p w:rsidR="00DF5510" w:rsidRPr="0040684B" w:rsidRDefault="00DF5510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</w:tc>
      </w:tr>
      <w:tr w:rsidR="00DF5510" w:rsidRPr="0017440D" w:rsidTr="00060F59">
        <w:tc>
          <w:tcPr>
            <w:tcW w:w="1189" w:type="dxa"/>
            <w:shd w:val="clear" w:color="auto" w:fill="auto"/>
          </w:tcPr>
          <w:p w:rsidR="00DF5510" w:rsidRPr="007A4A97" w:rsidRDefault="00C4549B" w:rsidP="00B07DED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lastRenderedPageBreak/>
              <w:t>250</w:t>
            </w:r>
          </w:p>
        </w:tc>
        <w:tc>
          <w:tcPr>
            <w:tcW w:w="7560" w:type="dxa"/>
            <w:shd w:val="clear" w:color="auto" w:fill="auto"/>
          </w:tcPr>
          <w:p w:rsidR="00DF5510" w:rsidRDefault="00C4549B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  <w:r>
              <w:rPr>
                <w:rStyle w:val="FormatvorlageInstructionsTabelleText"/>
                <w:b/>
                <w:u w:val="single"/>
              </w:rPr>
              <w:t xml:space="preserve">1.2.8 </w:t>
            </w:r>
            <w:r w:rsidR="00DF5510" w:rsidRPr="0040684B">
              <w:rPr>
                <w:rStyle w:val="FormatvorlageInstructionsTabelleText"/>
                <w:b/>
                <w:u w:val="single"/>
              </w:rPr>
              <w:t>any other liabilities</w:t>
            </w:r>
          </w:p>
          <w:p w:rsidR="00DF5510" w:rsidRPr="0040684B" w:rsidRDefault="00DF5510" w:rsidP="00B07DED">
            <w:pPr>
              <w:pStyle w:val="InstructionsText"/>
              <w:rPr>
                <w:rStyle w:val="FormatvorlageInstructionsTabelleText"/>
                <w:b/>
                <w:u w:val="single"/>
              </w:rPr>
            </w:pPr>
          </w:p>
          <w:p w:rsidR="00DF5510" w:rsidRDefault="00DF5510" w:rsidP="00B07DED">
            <w:pPr>
              <w:pStyle w:val="InstructionsText"/>
              <w:rPr>
                <w:rStyle w:val="FormatvorlageInstructionsTabelleText"/>
              </w:rPr>
            </w:pPr>
            <w:r w:rsidRPr="00C83275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427(</w:t>
            </w:r>
            <w:r w:rsidRPr="00C83275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C83275">
              <w:rPr>
                <w:rStyle w:val="FormatvorlageInstructionsTabelleText"/>
              </w:rPr>
              <w:t>(b)(xi</w:t>
            </w:r>
            <w:r>
              <w:rPr>
                <w:rStyle w:val="FormatvorlageInstructionsTabelleText"/>
              </w:rPr>
              <w:t>i</w:t>
            </w:r>
            <w:r w:rsidRPr="00C83275">
              <w:rPr>
                <w:rStyle w:val="FormatvorlageInstructionsTabelleText"/>
              </w:rPr>
              <w:t>)</w:t>
            </w:r>
            <w:r w:rsidRPr="00B07DED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DF5510" w:rsidRPr="00B83EA6" w:rsidRDefault="00DF5510" w:rsidP="00C931E2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br/>
              <w:t>Total amount of any other liabilities</w:t>
            </w:r>
            <w:r w:rsidRPr="00B83EA6">
              <w:rPr>
                <w:rStyle w:val="FormatvorlageInstructionsTabelleText"/>
              </w:rPr>
              <w:t>.</w:t>
            </w:r>
          </w:p>
          <w:p w:rsidR="00DF5510" w:rsidRPr="00C83275" w:rsidRDefault="00DF5510" w:rsidP="00B07DED">
            <w:pPr>
              <w:pStyle w:val="InstructionsText"/>
              <w:rPr>
                <w:rStyle w:val="FormatvorlageInstructionsTabelleText"/>
              </w:rPr>
            </w:pPr>
          </w:p>
        </w:tc>
      </w:tr>
    </w:tbl>
    <w:p w:rsidR="00510D2C" w:rsidRDefault="00510D2C" w:rsidP="004B315D">
      <w:pPr>
        <w:ind w:firstLineChars="300" w:firstLine="602"/>
        <w:rPr>
          <w:rStyle w:val="InstructionsTabelleberschrift"/>
          <w:szCs w:val="17"/>
          <w:lang w:eastAsia="de-DE"/>
        </w:rPr>
      </w:pPr>
    </w:p>
    <w:p w:rsidR="00510D2C" w:rsidRPr="00D90510" w:rsidRDefault="00510D2C" w:rsidP="00510D2C">
      <w:pPr>
        <w:pStyle w:val="Instructionsberschrift2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Style w:val="InstructionsTabelleberschrift"/>
          <w:szCs w:val="17"/>
          <w:lang w:eastAsia="de-DE"/>
        </w:rPr>
        <w:br w:type="page"/>
      </w:r>
      <w:r w:rsidRPr="00D90510">
        <w:rPr>
          <w:rFonts w:ascii="Times New Roman" w:hAnsi="Times New Roman" w:cs="Times New Roman"/>
        </w:rPr>
        <w:lastRenderedPageBreak/>
        <w:t>Items requiring stable funding</w:t>
      </w:r>
    </w:p>
    <w:p w:rsidR="00510D2C" w:rsidRPr="00D90510" w:rsidRDefault="00510D2C" w:rsidP="00510D2C">
      <w:pPr>
        <w:pStyle w:val="Instructionsberschrift2"/>
        <w:numPr>
          <w:ilvl w:val="1"/>
          <w:numId w:val="3"/>
        </w:numPr>
        <w:rPr>
          <w:rFonts w:ascii="Times New Roman" w:hAnsi="Times New Roman" w:cs="Times New Roman"/>
        </w:rPr>
      </w:pPr>
      <w:r w:rsidRPr="00D90510">
        <w:rPr>
          <w:rFonts w:ascii="Times New Roman" w:hAnsi="Times New Roman" w:cs="Times New Roman"/>
        </w:rPr>
        <w:t>General remarks</w:t>
      </w:r>
    </w:p>
    <w:p w:rsidR="00510D2C" w:rsidRPr="00D90510" w:rsidRDefault="00510D2C" w:rsidP="00C20541">
      <w:pPr>
        <w:pStyle w:val="InstructionsText2"/>
        <w:numPr>
          <w:ilvl w:val="0"/>
          <w:numId w:val="13"/>
        </w:numPr>
        <w:rPr>
          <w:u w:val="none"/>
        </w:rPr>
      </w:pPr>
      <w:r w:rsidRPr="00D90510">
        <w:rPr>
          <w:u w:val="none"/>
        </w:rPr>
        <w:t xml:space="preserve">This is a summary template which contains information about items requiring stable funding. </w:t>
      </w:r>
      <w:r w:rsidR="003A2580">
        <w:rPr>
          <w:u w:val="none"/>
        </w:rPr>
        <w:t>Items which do not need to be completed by institutions are coloured grey.</w:t>
      </w:r>
    </w:p>
    <w:p w:rsidR="00510D2C" w:rsidRPr="00D90510" w:rsidRDefault="00510D2C" w:rsidP="00510D2C">
      <w:pPr>
        <w:pStyle w:val="InstructionsText2"/>
        <w:rPr>
          <w:u w:val="none"/>
        </w:rPr>
      </w:pPr>
      <w:r w:rsidRPr="00D90510">
        <w:rPr>
          <w:u w:val="none"/>
        </w:rPr>
        <w:t xml:space="preserve">All assets reported on an institutions balance sheet </w:t>
      </w:r>
      <w:r w:rsidR="00E15312">
        <w:rPr>
          <w:u w:val="none"/>
        </w:rPr>
        <w:t>shall</w:t>
      </w:r>
      <w:r w:rsidR="00E15312" w:rsidRPr="00D90510">
        <w:rPr>
          <w:u w:val="none"/>
        </w:rPr>
        <w:t xml:space="preserve"> </w:t>
      </w:r>
      <w:r w:rsidRPr="00D90510">
        <w:rPr>
          <w:u w:val="none"/>
        </w:rPr>
        <w:t xml:space="preserve">be reported here. The total amount reported </w:t>
      </w:r>
      <w:r w:rsidR="00E15312">
        <w:rPr>
          <w:u w:val="none"/>
        </w:rPr>
        <w:t>shall</w:t>
      </w:r>
      <w:r w:rsidR="00E15312" w:rsidRPr="00D90510">
        <w:rPr>
          <w:u w:val="none"/>
        </w:rPr>
        <w:t xml:space="preserve"> </w:t>
      </w:r>
      <w:r w:rsidRPr="00D90510">
        <w:rPr>
          <w:u w:val="none"/>
        </w:rPr>
        <w:t>therefore reflect the size of total own funds and liabilities together.</w:t>
      </w:r>
    </w:p>
    <w:p w:rsidR="009F16F5" w:rsidRDefault="009F16F5" w:rsidP="00510D2C">
      <w:pPr>
        <w:pStyle w:val="InstructionsText2"/>
        <w:rPr>
          <w:u w:val="none"/>
        </w:rPr>
      </w:pPr>
      <w:r>
        <w:rPr>
          <w:u w:val="none"/>
        </w:rPr>
        <w:t>Treatment of maturity:</w:t>
      </w:r>
    </w:p>
    <w:p w:rsidR="00510D2C" w:rsidRPr="00D90510" w:rsidRDefault="00510D2C" w:rsidP="009F16F5">
      <w:pPr>
        <w:pStyle w:val="InstructionsText2"/>
        <w:numPr>
          <w:ilvl w:val="1"/>
          <w:numId w:val="2"/>
        </w:numPr>
        <w:rPr>
          <w:u w:val="none"/>
        </w:rPr>
      </w:pPr>
      <w:r w:rsidRPr="00D90510">
        <w:rPr>
          <w:u w:val="none"/>
        </w:rPr>
        <w:t xml:space="preserve">In accordance with Article </w:t>
      </w:r>
      <w:r w:rsidR="00A67004">
        <w:rPr>
          <w:u w:val="none"/>
        </w:rPr>
        <w:t>428</w:t>
      </w:r>
      <w:r w:rsidR="00836EDE">
        <w:rPr>
          <w:u w:val="none"/>
        </w:rPr>
        <w:t>(2)</w:t>
      </w:r>
      <w:r w:rsidRPr="00D90510">
        <w:rPr>
          <w:u w:val="none"/>
        </w:rPr>
        <w:t xml:space="preserve"> of the </w:t>
      </w:r>
      <w:r w:rsidR="00A73395">
        <w:rPr>
          <w:u w:val="none"/>
        </w:rPr>
        <w:t>REGULATION (EU) NO 575/2013</w:t>
      </w:r>
      <w:r w:rsidRPr="00D90510">
        <w:rPr>
          <w:u w:val="none"/>
        </w:rPr>
        <w:t>, items shall be presented in five buckets as follows:</w:t>
      </w:r>
    </w:p>
    <w:p w:rsidR="00510D2C" w:rsidRDefault="00510D2C" w:rsidP="009F16F5">
      <w:pPr>
        <w:autoSpaceDE w:val="0"/>
        <w:autoSpaceDN w:val="0"/>
        <w:adjustRightInd w:val="0"/>
        <w:spacing w:before="0" w:after="0"/>
        <w:ind w:left="1800"/>
        <w:jc w:val="left"/>
        <w:rPr>
          <w:rFonts w:ascii="Times New Roman" w:hAnsi="Times New Roman"/>
          <w:szCs w:val="17"/>
          <w:lang w:eastAsia="de-DE"/>
        </w:rPr>
      </w:pPr>
      <w:r>
        <w:rPr>
          <w:rFonts w:ascii="Times New Roman" w:hAnsi="Times New Roman"/>
          <w:szCs w:val="17"/>
          <w:lang w:eastAsia="de-DE"/>
        </w:rPr>
        <w:t xml:space="preserve">(a) </w:t>
      </w:r>
      <w:proofErr w:type="gramStart"/>
      <w:r>
        <w:rPr>
          <w:rFonts w:ascii="Times New Roman" w:hAnsi="Times New Roman"/>
          <w:szCs w:val="17"/>
          <w:lang w:eastAsia="de-DE"/>
        </w:rPr>
        <w:t>assets</w:t>
      </w:r>
      <w:proofErr w:type="gramEnd"/>
      <w:r>
        <w:rPr>
          <w:rFonts w:ascii="Times New Roman" w:hAnsi="Times New Roman"/>
          <w:szCs w:val="17"/>
          <w:lang w:eastAsia="de-DE"/>
        </w:rPr>
        <w:t xml:space="preserve"> for which </w:t>
      </w:r>
      <w:r w:rsidRPr="006F593A">
        <w:rPr>
          <w:rFonts w:ascii="Times New Roman" w:hAnsi="Times New Roman"/>
          <w:szCs w:val="17"/>
          <w:lang w:eastAsia="de-DE"/>
        </w:rPr>
        <w:t>the closer of their maturity date and the earliest date at which they can contractually be called</w:t>
      </w:r>
      <w:r>
        <w:rPr>
          <w:rFonts w:ascii="Times New Roman" w:hAnsi="Times New Roman"/>
          <w:szCs w:val="17"/>
          <w:lang w:eastAsia="de-DE"/>
        </w:rPr>
        <w:t xml:space="preserve"> is within three months of the reporting date, </w:t>
      </w:r>
      <w:r w:rsidR="00E15312">
        <w:rPr>
          <w:rFonts w:ascii="Times New Roman" w:hAnsi="Times New Roman"/>
          <w:szCs w:val="17"/>
          <w:lang w:eastAsia="de-DE"/>
        </w:rPr>
        <w:t xml:space="preserve">shall </w:t>
      </w:r>
      <w:r>
        <w:rPr>
          <w:rFonts w:ascii="Times New Roman" w:hAnsi="Times New Roman"/>
          <w:szCs w:val="17"/>
          <w:lang w:eastAsia="de-DE"/>
        </w:rPr>
        <w:t xml:space="preserve">be reported in column </w:t>
      </w:r>
      <w:r w:rsidR="00662CE2">
        <w:rPr>
          <w:rFonts w:ascii="Times New Roman" w:hAnsi="Times New Roman"/>
          <w:szCs w:val="17"/>
          <w:lang w:eastAsia="de-DE"/>
        </w:rPr>
        <w:t>010</w:t>
      </w:r>
      <w:r w:rsidR="00087F26">
        <w:rPr>
          <w:rFonts w:ascii="Times New Roman" w:hAnsi="Times New Roman"/>
          <w:szCs w:val="17"/>
          <w:lang w:eastAsia="de-DE"/>
        </w:rPr>
        <w:t xml:space="preserve">, </w:t>
      </w:r>
      <w:r w:rsidR="00662CE2">
        <w:rPr>
          <w:rFonts w:ascii="Times New Roman" w:hAnsi="Times New Roman"/>
          <w:szCs w:val="17"/>
          <w:lang w:eastAsia="de-DE"/>
        </w:rPr>
        <w:t>060</w:t>
      </w:r>
      <w:r w:rsidR="00087F26">
        <w:rPr>
          <w:rFonts w:ascii="Times New Roman" w:hAnsi="Times New Roman"/>
          <w:szCs w:val="17"/>
          <w:lang w:eastAsia="de-DE"/>
        </w:rPr>
        <w:t xml:space="preserve"> or </w:t>
      </w:r>
      <w:r w:rsidR="00662CE2">
        <w:rPr>
          <w:rFonts w:ascii="Times New Roman" w:hAnsi="Times New Roman"/>
          <w:szCs w:val="17"/>
          <w:lang w:eastAsia="de-DE"/>
        </w:rPr>
        <w:t>110</w:t>
      </w:r>
      <w:r w:rsidR="00087F26">
        <w:rPr>
          <w:rFonts w:ascii="Times New Roman" w:hAnsi="Times New Roman"/>
          <w:szCs w:val="17"/>
          <w:lang w:eastAsia="de-DE"/>
        </w:rPr>
        <w:t xml:space="preserve"> depending on</w:t>
      </w:r>
      <w:r>
        <w:rPr>
          <w:rFonts w:ascii="Times New Roman" w:hAnsi="Times New Roman"/>
          <w:szCs w:val="17"/>
          <w:lang w:eastAsia="de-DE"/>
        </w:rPr>
        <w:t xml:space="preserve"> the relevant category.</w:t>
      </w:r>
    </w:p>
    <w:p w:rsidR="00510D2C" w:rsidRPr="006F593A" w:rsidRDefault="00510D2C" w:rsidP="009F16F5">
      <w:pPr>
        <w:autoSpaceDE w:val="0"/>
        <w:autoSpaceDN w:val="0"/>
        <w:adjustRightInd w:val="0"/>
        <w:spacing w:before="0" w:after="0"/>
        <w:ind w:left="1800"/>
        <w:jc w:val="left"/>
        <w:rPr>
          <w:rFonts w:ascii="Times New Roman" w:hAnsi="Times New Roman"/>
          <w:szCs w:val="17"/>
          <w:lang w:eastAsia="de-DE"/>
        </w:rPr>
      </w:pPr>
    </w:p>
    <w:p w:rsidR="00510D2C" w:rsidRDefault="00510D2C" w:rsidP="009F16F5">
      <w:pPr>
        <w:autoSpaceDE w:val="0"/>
        <w:autoSpaceDN w:val="0"/>
        <w:adjustRightInd w:val="0"/>
        <w:spacing w:before="0" w:after="0"/>
        <w:ind w:left="1800"/>
        <w:jc w:val="left"/>
        <w:rPr>
          <w:rFonts w:ascii="Times New Roman" w:hAnsi="Times New Roman"/>
          <w:szCs w:val="17"/>
          <w:lang w:eastAsia="de-DE"/>
        </w:rPr>
      </w:pPr>
      <w:r w:rsidRPr="006F593A">
        <w:rPr>
          <w:rFonts w:ascii="Times New Roman" w:hAnsi="Times New Roman"/>
          <w:szCs w:val="17"/>
          <w:lang w:eastAsia="de-DE"/>
        </w:rPr>
        <w:t xml:space="preserve">(b) </w:t>
      </w:r>
      <w:r>
        <w:rPr>
          <w:rFonts w:ascii="Times New Roman" w:hAnsi="Times New Roman"/>
          <w:szCs w:val="17"/>
          <w:lang w:eastAsia="de-DE"/>
        </w:rPr>
        <w:t xml:space="preserve">assets for which </w:t>
      </w:r>
      <w:r w:rsidRPr="006F593A">
        <w:rPr>
          <w:rFonts w:ascii="Times New Roman" w:hAnsi="Times New Roman"/>
          <w:szCs w:val="17"/>
          <w:lang w:eastAsia="de-DE"/>
        </w:rPr>
        <w:t>the closer of their maturity date and the earliest date at which they can contractually be called</w:t>
      </w:r>
      <w:r>
        <w:rPr>
          <w:rFonts w:ascii="Times New Roman" w:hAnsi="Times New Roman"/>
          <w:szCs w:val="17"/>
          <w:lang w:eastAsia="de-DE"/>
        </w:rPr>
        <w:t xml:space="preserve"> is between three and six month</w:t>
      </w:r>
      <w:r w:rsidR="00C20541">
        <w:rPr>
          <w:rFonts w:ascii="Times New Roman" w:hAnsi="Times New Roman"/>
          <w:szCs w:val="17"/>
          <w:lang w:eastAsia="de-DE"/>
        </w:rPr>
        <w:t>s</w:t>
      </w:r>
      <w:r>
        <w:rPr>
          <w:rFonts w:ascii="Times New Roman" w:hAnsi="Times New Roman"/>
          <w:szCs w:val="17"/>
          <w:lang w:eastAsia="de-DE"/>
        </w:rPr>
        <w:t xml:space="preserve"> from the reporting date, </w:t>
      </w:r>
      <w:r w:rsidR="00E15312">
        <w:rPr>
          <w:rFonts w:ascii="Times New Roman" w:hAnsi="Times New Roman"/>
          <w:szCs w:val="17"/>
          <w:lang w:eastAsia="de-DE"/>
        </w:rPr>
        <w:t xml:space="preserve">shall </w:t>
      </w:r>
      <w:r>
        <w:rPr>
          <w:rFonts w:ascii="Times New Roman" w:hAnsi="Times New Roman"/>
          <w:szCs w:val="17"/>
          <w:lang w:eastAsia="de-DE"/>
        </w:rPr>
        <w:t xml:space="preserve">be reported in column </w:t>
      </w:r>
      <w:r w:rsidR="00662CE2">
        <w:rPr>
          <w:rFonts w:ascii="Times New Roman" w:hAnsi="Times New Roman"/>
          <w:szCs w:val="17"/>
          <w:lang w:eastAsia="de-DE"/>
        </w:rPr>
        <w:t>020</w:t>
      </w:r>
      <w:r w:rsidR="00087F26">
        <w:rPr>
          <w:rFonts w:ascii="Times New Roman" w:hAnsi="Times New Roman"/>
          <w:szCs w:val="17"/>
          <w:lang w:eastAsia="de-DE"/>
        </w:rPr>
        <w:t xml:space="preserve">, </w:t>
      </w:r>
      <w:r w:rsidR="00662CE2">
        <w:rPr>
          <w:rFonts w:ascii="Times New Roman" w:hAnsi="Times New Roman"/>
          <w:szCs w:val="17"/>
          <w:lang w:eastAsia="de-DE"/>
        </w:rPr>
        <w:t>070</w:t>
      </w:r>
      <w:r w:rsidR="00087F26">
        <w:rPr>
          <w:rFonts w:ascii="Times New Roman" w:hAnsi="Times New Roman"/>
          <w:szCs w:val="17"/>
          <w:lang w:eastAsia="de-DE"/>
        </w:rPr>
        <w:t xml:space="preserve">, or </w:t>
      </w:r>
      <w:r w:rsidR="00662CE2">
        <w:rPr>
          <w:rFonts w:ascii="Times New Roman" w:hAnsi="Times New Roman"/>
          <w:szCs w:val="17"/>
          <w:lang w:eastAsia="de-DE"/>
        </w:rPr>
        <w:t>120</w:t>
      </w:r>
      <w:r w:rsidR="00087F26">
        <w:rPr>
          <w:rFonts w:ascii="Times New Roman" w:hAnsi="Times New Roman"/>
          <w:szCs w:val="17"/>
          <w:lang w:eastAsia="de-DE"/>
        </w:rPr>
        <w:t xml:space="preserve"> depending</w:t>
      </w:r>
      <w:r w:rsidR="007002B5">
        <w:rPr>
          <w:rFonts w:ascii="Times New Roman" w:hAnsi="Times New Roman"/>
          <w:szCs w:val="17"/>
          <w:lang w:eastAsia="de-DE"/>
        </w:rPr>
        <w:t xml:space="preserve"> </w:t>
      </w:r>
      <w:r w:rsidR="00087F26">
        <w:rPr>
          <w:rFonts w:ascii="Times New Roman" w:hAnsi="Times New Roman"/>
          <w:szCs w:val="17"/>
          <w:lang w:eastAsia="de-DE"/>
        </w:rPr>
        <w:t>on</w:t>
      </w:r>
      <w:r>
        <w:rPr>
          <w:rFonts w:ascii="Times New Roman" w:hAnsi="Times New Roman"/>
          <w:szCs w:val="17"/>
          <w:lang w:eastAsia="de-DE"/>
        </w:rPr>
        <w:t xml:space="preserve"> the relevant category.</w:t>
      </w:r>
    </w:p>
    <w:p w:rsidR="00510D2C" w:rsidRPr="006F593A" w:rsidRDefault="00510D2C" w:rsidP="009F16F5">
      <w:pPr>
        <w:autoSpaceDE w:val="0"/>
        <w:autoSpaceDN w:val="0"/>
        <w:adjustRightInd w:val="0"/>
        <w:spacing w:before="0" w:after="0"/>
        <w:ind w:left="1800"/>
        <w:jc w:val="left"/>
        <w:rPr>
          <w:rFonts w:ascii="Times New Roman" w:hAnsi="Times New Roman"/>
          <w:szCs w:val="17"/>
          <w:lang w:eastAsia="de-DE"/>
        </w:rPr>
      </w:pPr>
    </w:p>
    <w:p w:rsidR="00510D2C" w:rsidRDefault="00510D2C" w:rsidP="009F16F5">
      <w:pPr>
        <w:autoSpaceDE w:val="0"/>
        <w:autoSpaceDN w:val="0"/>
        <w:adjustRightInd w:val="0"/>
        <w:spacing w:before="0" w:after="0"/>
        <w:ind w:left="1800"/>
        <w:jc w:val="left"/>
        <w:rPr>
          <w:rFonts w:ascii="Times New Roman" w:hAnsi="Times New Roman"/>
          <w:szCs w:val="17"/>
          <w:lang w:eastAsia="de-DE"/>
        </w:rPr>
      </w:pPr>
      <w:r w:rsidRPr="006F593A">
        <w:rPr>
          <w:rFonts w:ascii="Times New Roman" w:hAnsi="Times New Roman"/>
          <w:szCs w:val="17"/>
          <w:lang w:eastAsia="de-DE"/>
        </w:rPr>
        <w:t xml:space="preserve">(c) </w:t>
      </w:r>
      <w:proofErr w:type="gramStart"/>
      <w:r>
        <w:rPr>
          <w:rFonts w:ascii="Times New Roman" w:hAnsi="Times New Roman"/>
          <w:szCs w:val="17"/>
          <w:lang w:eastAsia="de-DE"/>
        </w:rPr>
        <w:t>assets</w:t>
      </w:r>
      <w:proofErr w:type="gramEnd"/>
      <w:r>
        <w:rPr>
          <w:rFonts w:ascii="Times New Roman" w:hAnsi="Times New Roman"/>
          <w:szCs w:val="17"/>
          <w:lang w:eastAsia="de-DE"/>
        </w:rPr>
        <w:t xml:space="preserve"> for which </w:t>
      </w:r>
      <w:r w:rsidRPr="006F593A">
        <w:rPr>
          <w:rFonts w:ascii="Times New Roman" w:hAnsi="Times New Roman"/>
          <w:szCs w:val="17"/>
          <w:lang w:eastAsia="de-DE"/>
        </w:rPr>
        <w:t>the closer of their maturity date and the earliest date at which they can contractually be called</w:t>
      </w:r>
      <w:r>
        <w:rPr>
          <w:rFonts w:ascii="Times New Roman" w:hAnsi="Times New Roman"/>
          <w:szCs w:val="17"/>
          <w:lang w:eastAsia="de-DE"/>
        </w:rPr>
        <w:t xml:space="preserve"> is between 6 and 9 month</w:t>
      </w:r>
      <w:r w:rsidR="00C20541">
        <w:rPr>
          <w:rFonts w:ascii="Times New Roman" w:hAnsi="Times New Roman"/>
          <w:szCs w:val="17"/>
          <w:lang w:eastAsia="de-DE"/>
        </w:rPr>
        <w:t>s</w:t>
      </w:r>
      <w:r>
        <w:rPr>
          <w:rFonts w:ascii="Times New Roman" w:hAnsi="Times New Roman"/>
          <w:szCs w:val="17"/>
          <w:lang w:eastAsia="de-DE"/>
        </w:rPr>
        <w:t xml:space="preserve"> from the reporting date, </w:t>
      </w:r>
      <w:r w:rsidR="00E15312">
        <w:rPr>
          <w:rFonts w:ascii="Times New Roman" w:hAnsi="Times New Roman"/>
          <w:szCs w:val="17"/>
          <w:lang w:eastAsia="de-DE"/>
        </w:rPr>
        <w:t xml:space="preserve">shall </w:t>
      </w:r>
      <w:r>
        <w:rPr>
          <w:rFonts w:ascii="Times New Roman" w:hAnsi="Times New Roman"/>
          <w:szCs w:val="17"/>
          <w:lang w:eastAsia="de-DE"/>
        </w:rPr>
        <w:t xml:space="preserve">be reported in column </w:t>
      </w:r>
      <w:r w:rsidR="00662CE2">
        <w:rPr>
          <w:rFonts w:ascii="Times New Roman" w:hAnsi="Times New Roman"/>
          <w:szCs w:val="17"/>
          <w:lang w:eastAsia="de-DE"/>
        </w:rPr>
        <w:t>030</w:t>
      </w:r>
      <w:r w:rsidR="00087F26">
        <w:rPr>
          <w:rFonts w:ascii="Times New Roman" w:hAnsi="Times New Roman"/>
          <w:szCs w:val="17"/>
          <w:lang w:eastAsia="de-DE"/>
        </w:rPr>
        <w:t xml:space="preserve">, </w:t>
      </w:r>
      <w:r w:rsidR="00662CE2">
        <w:rPr>
          <w:rFonts w:ascii="Times New Roman" w:hAnsi="Times New Roman"/>
          <w:szCs w:val="17"/>
          <w:lang w:eastAsia="de-DE"/>
        </w:rPr>
        <w:t>080</w:t>
      </w:r>
      <w:r w:rsidR="00087F26">
        <w:rPr>
          <w:rFonts w:ascii="Times New Roman" w:hAnsi="Times New Roman"/>
          <w:szCs w:val="17"/>
          <w:lang w:eastAsia="de-DE"/>
        </w:rPr>
        <w:t xml:space="preserve">, or </w:t>
      </w:r>
      <w:r w:rsidR="00662CE2">
        <w:rPr>
          <w:rFonts w:ascii="Times New Roman" w:hAnsi="Times New Roman"/>
          <w:szCs w:val="17"/>
          <w:lang w:eastAsia="de-DE"/>
        </w:rPr>
        <w:t>130</w:t>
      </w:r>
      <w:r w:rsidR="00087F26">
        <w:rPr>
          <w:rFonts w:ascii="Times New Roman" w:hAnsi="Times New Roman"/>
          <w:szCs w:val="17"/>
          <w:lang w:eastAsia="de-DE"/>
        </w:rPr>
        <w:t xml:space="preserve"> depending on</w:t>
      </w:r>
      <w:r>
        <w:rPr>
          <w:rFonts w:ascii="Times New Roman" w:hAnsi="Times New Roman"/>
          <w:szCs w:val="17"/>
          <w:lang w:eastAsia="de-DE"/>
        </w:rPr>
        <w:t xml:space="preserve"> the relevant category.</w:t>
      </w:r>
    </w:p>
    <w:p w:rsidR="00510D2C" w:rsidRPr="006F593A" w:rsidRDefault="00510D2C" w:rsidP="009F16F5">
      <w:pPr>
        <w:autoSpaceDE w:val="0"/>
        <w:autoSpaceDN w:val="0"/>
        <w:adjustRightInd w:val="0"/>
        <w:spacing w:before="0" w:after="0"/>
        <w:ind w:left="1800"/>
        <w:jc w:val="left"/>
        <w:rPr>
          <w:rFonts w:ascii="Times New Roman" w:hAnsi="Times New Roman"/>
          <w:szCs w:val="17"/>
          <w:lang w:eastAsia="de-DE"/>
        </w:rPr>
      </w:pPr>
    </w:p>
    <w:p w:rsidR="00510D2C" w:rsidRDefault="00510D2C" w:rsidP="009F16F5">
      <w:pPr>
        <w:autoSpaceDE w:val="0"/>
        <w:autoSpaceDN w:val="0"/>
        <w:adjustRightInd w:val="0"/>
        <w:spacing w:before="0" w:after="0"/>
        <w:ind w:left="1800"/>
        <w:jc w:val="left"/>
        <w:rPr>
          <w:rFonts w:ascii="Times New Roman" w:hAnsi="Times New Roman"/>
          <w:szCs w:val="17"/>
          <w:lang w:eastAsia="de-DE"/>
        </w:rPr>
      </w:pPr>
      <w:r w:rsidRPr="006F593A">
        <w:rPr>
          <w:rFonts w:ascii="Times New Roman" w:hAnsi="Times New Roman"/>
          <w:szCs w:val="17"/>
          <w:lang w:eastAsia="de-DE"/>
        </w:rPr>
        <w:t xml:space="preserve">(d) </w:t>
      </w:r>
      <w:proofErr w:type="gramStart"/>
      <w:r>
        <w:rPr>
          <w:rFonts w:ascii="Times New Roman" w:hAnsi="Times New Roman"/>
          <w:szCs w:val="17"/>
          <w:lang w:eastAsia="de-DE"/>
        </w:rPr>
        <w:t>assets</w:t>
      </w:r>
      <w:proofErr w:type="gramEnd"/>
      <w:r>
        <w:rPr>
          <w:rFonts w:ascii="Times New Roman" w:hAnsi="Times New Roman"/>
          <w:szCs w:val="17"/>
          <w:lang w:eastAsia="de-DE"/>
        </w:rPr>
        <w:t xml:space="preserve"> for which </w:t>
      </w:r>
      <w:r w:rsidRPr="006F593A">
        <w:rPr>
          <w:rFonts w:ascii="Times New Roman" w:hAnsi="Times New Roman"/>
          <w:szCs w:val="17"/>
          <w:lang w:eastAsia="de-DE"/>
        </w:rPr>
        <w:t>the closer of their maturity date and the earliest date at which they can contractually be called</w:t>
      </w:r>
      <w:r>
        <w:rPr>
          <w:rFonts w:ascii="Times New Roman" w:hAnsi="Times New Roman"/>
          <w:szCs w:val="17"/>
          <w:lang w:eastAsia="de-DE"/>
        </w:rPr>
        <w:t xml:space="preserve"> is between 9 and 12 month</w:t>
      </w:r>
      <w:r w:rsidR="00C20541">
        <w:rPr>
          <w:rFonts w:ascii="Times New Roman" w:hAnsi="Times New Roman"/>
          <w:szCs w:val="17"/>
          <w:lang w:eastAsia="de-DE"/>
        </w:rPr>
        <w:t>s</w:t>
      </w:r>
      <w:r>
        <w:rPr>
          <w:rFonts w:ascii="Times New Roman" w:hAnsi="Times New Roman"/>
          <w:szCs w:val="17"/>
          <w:lang w:eastAsia="de-DE"/>
        </w:rPr>
        <w:t xml:space="preserve"> from the reporting date, </w:t>
      </w:r>
      <w:r w:rsidR="00E15312">
        <w:rPr>
          <w:rFonts w:ascii="Times New Roman" w:hAnsi="Times New Roman"/>
          <w:szCs w:val="17"/>
          <w:lang w:eastAsia="de-DE"/>
        </w:rPr>
        <w:t xml:space="preserve">shall </w:t>
      </w:r>
      <w:r>
        <w:rPr>
          <w:rFonts w:ascii="Times New Roman" w:hAnsi="Times New Roman"/>
          <w:szCs w:val="17"/>
          <w:lang w:eastAsia="de-DE"/>
        </w:rPr>
        <w:t xml:space="preserve">be reported in column </w:t>
      </w:r>
      <w:r w:rsidR="00662CE2">
        <w:rPr>
          <w:rFonts w:ascii="Times New Roman" w:hAnsi="Times New Roman"/>
          <w:szCs w:val="17"/>
          <w:lang w:eastAsia="de-DE"/>
        </w:rPr>
        <w:t>040</w:t>
      </w:r>
      <w:r w:rsidR="00087F26">
        <w:rPr>
          <w:rFonts w:ascii="Times New Roman" w:hAnsi="Times New Roman"/>
          <w:szCs w:val="17"/>
          <w:lang w:eastAsia="de-DE"/>
        </w:rPr>
        <w:t xml:space="preserve">, </w:t>
      </w:r>
      <w:r w:rsidR="00662CE2">
        <w:rPr>
          <w:rFonts w:ascii="Times New Roman" w:hAnsi="Times New Roman"/>
          <w:szCs w:val="17"/>
          <w:lang w:eastAsia="de-DE"/>
        </w:rPr>
        <w:t>090</w:t>
      </w:r>
      <w:r w:rsidR="00087F26">
        <w:rPr>
          <w:rFonts w:ascii="Times New Roman" w:hAnsi="Times New Roman"/>
          <w:szCs w:val="17"/>
          <w:lang w:eastAsia="de-DE"/>
        </w:rPr>
        <w:t xml:space="preserve">, or </w:t>
      </w:r>
      <w:r w:rsidR="00662CE2">
        <w:rPr>
          <w:rFonts w:ascii="Times New Roman" w:hAnsi="Times New Roman"/>
          <w:szCs w:val="17"/>
          <w:lang w:eastAsia="de-DE"/>
        </w:rPr>
        <w:t>140</w:t>
      </w:r>
      <w:r w:rsidR="00087F26">
        <w:rPr>
          <w:rFonts w:ascii="Times New Roman" w:hAnsi="Times New Roman"/>
          <w:szCs w:val="17"/>
          <w:lang w:eastAsia="de-DE"/>
        </w:rPr>
        <w:t xml:space="preserve"> depending on</w:t>
      </w:r>
      <w:r>
        <w:rPr>
          <w:rFonts w:ascii="Times New Roman" w:hAnsi="Times New Roman"/>
          <w:szCs w:val="17"/>
          <w:lang w:eastAsia="de-DE"/>
        </w:rPr>
        <w:t xml:space="preserve"> the relevant category.</w:t>
      </w:r>
    </w:p>
    <w:p w:rsidR="00510D2C" w:rsidRPr="006F593A" w:rsidRDefault="00510D2C" w:rsidP="009F16F5">
      <w:pPr>
        <w:autoSpaceDE w:val="0"/>
        <w:autoSpaceDN w:val="0"/>
        <w:adjustRightInd w:val="0"/>
        <w:spacing w:before="0" w:after="0"/>
        <w:ind w:left="1800"/>
        <w:jc w:val="left"/>
        <w:rPr>
          <w:rFonts w:ascii="Times New Roman" w:hAnsi="Times New Roman"/>
          <w:szCs w:val="17"/>
          <w:lang w:eastAsia="de-DE"/>
        </w:rPr>
      </w:pPr>
    </w:p>
    <w:p w:rsidR="00510D2C" w:rsidRDefault="00510D2C" w:rsidP="009F16F5">
      <w:pPr>
        <w:autoSpaceDE w:val="0"/>
        <w:autoSpaceDN w:val="0"/>
        <w:adjustRightInd w:val="0"/>
        <w:spacing w:before="0" w:after="0"/>
        <w:ind w:left="1800"/>
        <w:jc w:val="left"/>
        <w:rPr>
          <w:rFonts w:ascii="Times New Roman" w:hAnsi="Times New Roman"/>
          <w:szCs w:val="17"/>
          <w:lang w:eastAsia="de-DE"/>
        </w:rPr>
      </w:pPr>
      <w:r w:rsidRPr="0038458D">
        <w:rPr>
          <w:rFonts w:ascii="Times New Roman" w:hAnsi="Times New Roman"/>
          <w:szCs w:val="17"/>
          <w:lang w:eastAsia="de-DE"/>
        </w:rPr>
        <w:t xml:space="preserve">(e) </w:t>
      </w:r>
      <w:proofErr w:type="gramStart"/>
      <w:r>
        <w:rPr>
          <w:rFonts w:ascii="Times New Roman" w:hAnsi="Times New Roman"/>
          <w:szCs w:val="17"/>
          <w:lang w:eastAsia="de-DE"/>
        </w:rPr>
        <w:t>assets</w:t>
      </w:r>
      <w:proofErr w:type="gramEnd"/>
      <w:r w:rsidRPr="0038458D">
        <w:rPr>
          <w:rFonts w:ascii="Times New Roman" w:hAnsi="Times New Roman"/>
          <w:szCs w:val="17"/>
          <w:lang w:eastAsia="de-DE"/>
        </w:rPr>
        <w:t xml:space="preserve"> for which the closer of their maturity date and the earliest date at which they can contractually be called is beyond one year </w:t>
      </w:r>
      <w:r w:rsidR="00C20541">
        <w:rPr>
          <w:rFonts w:ascii="Times New Roman" w:hAnsi="Times New Roman"/>
          <w:szCs w:val="17"/>
          <w:lang w:eastAsia="de-DE"/>
        </w:rPr>
        <w:t>of</w:t>
      </w:r>
      <w:r w:rsidRPr="0038458D">
        <w:rPr>
          <w:rFonts w:ascii="Times New Roman" w:hAnsi="Times New Roman"/>
          <w:szCs w:val="17"/>
          <w:lang w:eastAsia="de-DE"/>
        </w:rPr>
        <w:t xml:space="preserve"> the reporting date and own funds </w:t>
      </w:r>
      <w:r w:rsidR="00E15312">
        <w:rPr>
          <w:rFonts w:ascii="Times New Roman" w:hAnsi="Times New Roman"/>
          <w:szCs w:val="17"/>
          <w:lang w:eastAsia="de-DE"/>
        </w:rPr>
        <w:t>shall</w:t>
      </w:r>
      <w:r w:rsidR="00E15312" w:rsidRPr="0038458D">
        <w:rPr>
          <w:rFonts w:ascii="Times New Roman" w:hAnsi="Times New Roman"/>
          <w:szCs w:val="17"/>
          <w:lang w:eastAsia="de-DE"/>
        </w:rPr>
        <w:t xml:space="preserve"> </w:t>
      </w:r>
      <w:r w:rsidRPr="0038458D">
        <w:rPr>
          <w:rFonts w:ascii="Times New Roman" w:hAnsi="Times New Roman"/>
          <w:szCs w:val="17"/>
          <w:lang w:eastAsia="de-DE"/>
        </w:rPr>
        <w:t xml:space="preserve">be reported in column </w:t>
      </w:r>
      <w:r w:rsidR="00662CE2">
        <w:rPr>
          <w:rFonts w:ascii="Times New Roman" w:hAnsi="Times New Roman"/>
          <w:szCs w:val="17"/>
          <w:lang w:eastAsia="de-DE"/>
        </w:rPr>
        <w:t>050</w:t>
      </w:r>
      <w:r w:rsidR="00087F26">
        <w:rPr>
          <w:rFonts w:ascii="Times New Roman" w:hAnsi="Times New Roman"/>
          <w:szCs w:val="17"/>
          <w:lang w:eastAsia="de-DE"/>
        </w:rPr>
        <w:t xml:space="preserve">, </w:t>
      </w:r>
      <w:r w:rsidR="00662CE2">
        <w:rPr>
          <w:rFonts w:ascii="Times New Roman" w:hAnsi="Times New Roman"/>
          <w:szCs w:val="17"/>
          <w:lang w:eastAsia="de-DE"/>
        </w:rPr>
        <w:t>100</w:t>
      </w:r>
      <w:r w:rsidR="00087F26">
        <w:rPr>
          <w:rFonts w:ascii="Times New Roman" w:hAnsi="Times New Roman"/>
          <w:szCs w:val="17"/>
          <w:lang w:eastAsia="de-DE"/>
        </w:rPr>
        <w:t xml:space="preserve">, or </w:t>
      </w:r>
      <w:r w:rsidR="00662CE2">
        <w:rPr>
          <w:rFonts w:ascii="Times New Roman" w:hAnsi="Times New Roman"/>
          <w:szCs w:val="17"/>
          <w:lang w:eastAsia="de-DE"/>
        </w:rPr>
        <w:t>150</w:t>
      </w:r>
      <w:r w:rsidR="00087F26">
        <w:rPr>
          <w:rFonts w:ascii="Times New Roman" w:hAnsi="Times New Roman"/>
          <w:szCs w:val="17"/>
          <w:lang w:eastAsia="de-DE"/>
        </w:rPr>
        <w:t xml:space="preserve"> depending on</w:t>
      </w:r>
      <w:r w:rsidRPr="0038458D">
        <w:rPr>
          <w:rFonts w:ascii="Times New Roman" w:hAnsi="Times New Roman"/>
          <w:szCs w:val="17"/>
          <w:lang w:eastAsia="de-DE"/>
        </w:rPr>
        <w:t xml:space="preserve"> the relevant category.</w:t>
      </w:r>
    </w:p>
    <w:p w:rsidR="009F16F5" w:rsidRDefault="009F16F5" w:rsidP="009F16F5">
      <w:pPr>
        <w:pStyle w:val="InstructionsText2"/>
        <w:numPr>
          <w:ilvl w:val="1"/>
          <w:numId w:val="2"/>
        </w:numPr>
        <w:rPr>
          <w:u w:val="none"/>
        </w:rPr>
      </w:pPr>
      <w:r w:rsidRPr="009F16F5">
        <w:rPr>
          <w:u w:val="none"/>
        </w:rPr>
        <w:t xml:space="preserve">For options exercisable at the </w:t>
      </w:r>
      <w:r>
        <w:rPr>
          <w:u w:val="none"/>
        </w:rPr>
        <w:t>institution’s</w:t>
      </w:r>
      <w:r w:rsidRPr="009F16F5">
        <w:rPr>
          <w:u w:val="none"/>
        </w:rPr>
        <w:t xml:space="preserve"> discretion, </w:t>
      </w:r>
      <w:r>
        <w:rPr>
          <w:u w:val="none"/>
        </w:rPr>
        <w:t>institutions</w:t>
      </w:r>
      <w:r w:rsidRPr="009F16F5">
        <w:rPr>
          <w:u w:val="none"/>
        </w:rPr>
        <w:t xml:space="preserve"> </w:t>
      </w:r>
      <w:r w:rsidR="00E15312">
        <w:rPr>
          <w:u w:val="none"/>
        </w:rPr>
        <w:t>shall</w:t>
      </w:r>
      <w:r w:rsidR="00E15312" w:rsidRPr="009F16F5">
        <w:rPr>
          <w:u w:val="none"/>
        </w:rPr>
        <w:t xml:space="preserve"> </w:t>
      </w:r>
      <w:r w:rsidRPr="009F16F5">
        <w:rPr>
          <w:u w:val="none"/>
        </w:rPr>
        <w:t xml:space="preserve">take into account reputational factors that may limit </w:t>
      </w:r>
      <w:r>
        <w:rPr>
          <w:u w:val="none"/>
        </w:rPr>
        <w:t>the</w:t>
      </w:r>
      <w:r w:rsidRPr="009F16F5">
        <w:rPr>
          <w:u w:val="none"/>
        </w:rPr>
        <w:t xml:space="preserve"> ability not to exercise the option. In particular, if third parties expect that an option will not be exercised, the </w:t>
      </w:r>
      <w:r>
        <w:rPr>
          <w:u w:val="none"/>
        </w:rPr>
        <w:t>institution</w:t>
      </w:r>
      <w:r w:rsidRPr="009F16F5">
        <w:rPr>
          <w:u w:val="none"/>
        </w:rPr>
        <w:t xml:space="preserve"> </w:t>
      </w:r>
      <w:r w:rsidR="00E15312">
        <w:rPr>
          <w:u w:val="none"/>
        </w:rPr>
        <w:t>shall</w:t>
      </w:r>
      <w:r w:rsidR="00E15312" w:rsidRPr="009F16F5">
        <w:rPr>
          <w:u w:val="none"/>
        </w:rPr>
        <w:t xml:space="preserve"> </w:t>
      </w:r>
      <w:r w:rsidRPr="009F16F5">
        <w:rPr>
          <w:u w:val="none"/>
        </w:rPr>
        <w:t>assume such behaviour for the purpose</w:t>
      </w:r>
      <w:r>
        <w:rPr>
          <w:u w:val="none"/>
        </w:rPr>
        <w:t xml:space="preserve"> of reporting assets in this template.</w:t>
      </w:r>
    </w:p>
    <w:p w:rsidR="00073AA2" w:rsidRPr="009F16F5" w:rsidRDefault="00073AA2" w:rsidP="009F16F5">
      <w:pPr>
        <w:pStyle w:val="InstructionsText2"/>
        <w:numPr>
          <w:ilvl w:val="1"/>
          <w:numId w:val="2"/>
        </w:numPr>
        <w:rPr>
          <w:u w:val="none"/>
        </w:rPr>
      </w:pPr>
      <w:r>
        <w:rPr>
          <w:u w:val="none"/>
        </w:rPr>
        <w:t xml:space="preserve">Assets </w:t>
      </w:r>
      <w:r w:rsidR="00E15312">
        <w:rPr>
          <w:u w:val="none"/>
        </w:rPr>
        <w:t xml:space="preserve">shall </w:t>
      </w:r>
      <w:r>
        <w:rPr>
          <w:u w:val="none"/>
        </w:rPr>
        <w:t>be reported according to their residual contract maturity and not behavioural assumptions.</w:t>
      </w:r>
    </w:p>
    <w:p w:rsidR="009C4F03" w:rsidRPr="009F16F5" w:rsidRDefault="00165F8A" w:rsidP="009F16F5">
      <w:pPr>
        <w:pStyle w:val="InstructionsText2"/>
        <w:rPr>
          <w:u w:val="none"/>
        </w:rPr>
      </w:pPr>
      <w:r>
        <w:rPr>
          <w:u w:val="none"/>
        </w:rPr>
        <w:t>I</w:t>
      </w:r>
      <w:r w:rsidRPr="009F16F5">
        <w:rPr>
          <w:u w:val="none"/>
        </w:rPr>
        <w:t xml:space="preserve">n accordance with Article </w:t>
      </w:r>
      <w:r>
        <w:rPr>
          <w:u w:val="none"/>
        </w:rPr>
        <w:t>510</w:t>
      </w:r>
      <w:r w:rsidRPr="009F16F5">
        <w:rPr>
          <w:u w:val="none"/>
        </w:rPr>
        <w:t xml:space="preserve"> of the </w:t>
      </w:r>
      <w:r w:rsidR="00A73395">
        <w:rPr>
          <w:u w:val="none"/>
        </w:rPr>
        <w:t>REGULATION (EU) NO 575/2013</w:t>
      </w:r>
      <w:r>
        <w:rPr>
          <w:u w:val="none"/>
        </w:rPr>
        <w:t>, f</w:t>
      </w:r>
      <w:r w:rsidR="009C4F03" w:rsidRPr="009F16F5">
        <w:rPr>
          <w:u w:val="none"/>
        </w:rPr>
        <w:t xml:space="preserve">or the purpose of monitoring Stable Funding, for each category of assets reported in the required stable funding template, institutions </w:t>
      </w:r>
      <w:r w:rsidR="00E15312">
        <w:rPr>
          <w:u w:val="none"/>
        </w:rPr>
        <w:t>shall</w:t>
      </w:r>
      <w:r w:rsidR="00E15312" w:rsidRPr="009F16F5">
        <w:rPr>
          <w:u w:val="none"/>
        </w:rPr>
        <w:t xml:space="preserve"> </w:t>
      </w:r>
      <w:r w:rsidR="009C4F03" w:rsidRPr="009F16F5">
        <w:rPr>
          <w:u w:val="none"/>
        </w:rPr>
        <w:t>provide a separate break down of the assets encumbrance as follows:</w:t>
      </w:r>
    </w:p>
    <w:p w:rsidR="009C4F03" w:rsidRDefault="009C4F03" w:rsidP="009C4F03">
      <w:pPr>
        <w:pStyle w:val="InstructionsText2"/>
        <w:numPr>
          <w:ilvl w:val="1"/>
          <w:numId w:val="2"/>
        </w:numPr>
        <w:rPr>
          <w:u w:val="none"/>
        </w:rPr>
      </w:pPr>
      <w:r>
        <w:rPr>
          <w:u w:val="none"/>
        </w:rPr>
        <w:t xml:space="preserve">The amount of assets reported which are unencumbered </w:t>
      </w:r>
      <w:r w:rsidR="00E15312">
        <w:rPr>
          <w:u w:val="none"/>
        </w:rPr>
        <w:t xml:space="preserve">shall </w:t>
      </w:r>
      <w:r>
        <w:rPr>
          <w:u w:val="none"/>
        </w:rPr>
        <w:t>be reported in the first sub-category.</w:t>
      </w:r>
    </w:p>
    <w:p w:rsidR="009C4F03" w:rsidRDefault="009C4F03" w:rsidP="009C4F03">
      <w:pPr>
        <w:pStyle w:val="InstructionsText2"/>
        <w:numPr>
          <w:ilvl w:val="1"/>
          <w:numId w:val="2"/>
        </w:numPr>
        <w:rPr>
          <w:u w:val="none"/>
        </w:rPr>
      </w:pPr>
      <w:r>
        <w:rPr>
          <w:u w:val="none"/>
        </w:rPr>
        <w:t xml:space="preserve">The amount of assets which are encumbered </w:t>
      </w:r>
      <w:r w:rsidR="00E15312">
        <w:rPr>
          <w:u w:val="none"/>
        </w:rPr>
        <w:t xml:space="preserve">shall </w:t>
      </w:r>
      <w:r>
        <w:rPr>
          <w:u w:val="none"/>
        </w:rPr>
        <w:t>be reported in the relevant sub-line depending on the period of encumbrance</w:t>
      </w:r>
      <w:r w:rsidR="009F16F5">
        <w:rPr>
          <w:u w:val="none"/>
        </w:rPr>
        <w:t xml:space="preserve">, as </w:t>
      </w:r>
      <w:r w:rsidR="00662CE2">
        <w:rPr>
          <w:u w:val="none"/>
        </w:rPr>
        <w:t>follows</w:t>
      </w:r>
      <w:r>
        <w:rPr>
          <w:u w:val="none"/>
        </w:rPr>
        <w:t>:</w:t>
      </w:r>
    </w:p>
    <w:p w:rsidR="009C4F03" w:rsidRPr="009C4F03" w:rsidRDefault="009C4F03" w:rsidP="009C4F03">
      <w:pPr>
        <w:pStyle w:val="InstructionsText2"/>
        <w:numPr>
          <w:ilvl w:val="2"/>
          <w:numId w:val="2"/>
        </w:numPr>
        <w:rPr>
          <w:u w:val="none"/>
        </w:rPr>
      </w:pPr>
      <w:r w:rsidRPr="00534D41">
        <w:rPr>
          <w:u w:val="none"/>
        </w:rPr>
        <w:t xml:space="preserve">for a period within three months </w:t>
      </w:r>
    </w:p>
    <w:p w:rsidR="009C4F03" w:rsidRPr="009C4F03" w:rsidRDefault="009C4F03" w:rsidP="009C4F03">
      <w:pPr>
        <w:pStyle w:val="InstructionsText2"/>
        <w:numPr>
          <w:ilvl w:val="2"/>
          <w:numId w:val="2"/>
        </w:numPr>
        <w:rPr>
          <w:u w:val="none"/>
        </w:rPr>
      </w:pPr>
      <w:r w:rsidRPr="00534D41">
        <w:rPr>
          <w:u w:val="none"/>
        </w:rPr>
        <w:lastRenderedPageBreak/>
        <w:t>for a period between three and 6 months</w:t>
      </w:r>
    </w:p>
    <w:p w:rsidR="009C4F03" w:rsidRPr="009C4F03" w:rsidRDefault="009C4F03" w:rsidP="009C4F03">
      <w:pPr>
        <w:pStyle w:val="InstructionsText2"/>
        <w:numPr>
          <w:ilvl w:val="2"/>
          <w:numId w:val="2"/>
        </w:numPr>
        <w:rPr>
          <w:u w:val="none"/>
        </w:rPr>
      </w:pPr>
      <w:r w:rsidRPr="00534D41">
        <w:rPr>
          <w:u w:val="none"/>
        </w:rPr>
        <w:t>for a period between 6 and 9 months</w:t>
      </w:r>
    </w:p>
    <w:p w:rsidR="009C4F03" w:rsidRPr="009C4F03" w:rsidRDefault="009C4F03" w:rsidP="009C4F03">
      <w:pPr>
        <w:pStyle w:val="InstructionsText2"/>
        <w:numPr>
          <w:ilvl w:val="2"/>
          <w:numId w:val="2"/>
        </w:numPr>
        <w:rPr>
          <w:u w:val="none"/>
        </w:rPr>
      </w:pPr>
      <w:r w:rsidRPr="00534D41">
        <w:rPr>
          <w:u w:val="none"/>
        </w:rPr>
        <w:t>for a period between 9 and 12 months</w:t>
      </w:r>
    </w:p>
    <w:p w:rsidR="009C4F03" w:rsidRDefault="009C4F03" w:rsidP="009C4F03">
      <w:pPr>
        <w:pStyle w:val="InstructionsText2"/>
        <w:numPr>
          <w:ilvl w:val="2"/>
          <w:numId w:val="2"/>
        </w:numPr>
        <w:rPr>
          <w:u w:val="none"/>
        </w:rPr>
      </w:pPr>
      <w:r w:rsidRPr="009C4F03">
        <w:rPr>
          <w:u w:val="none"/>
        </w:rPr>
        <w:t>for a period greater than 12 months</w:t>
      </w:r>
    </w:p>
    <w:p w:rsidR="00492852" w:rsidRDefault="00492852" w:rsidP="00492852">
      <w:pPr>
        <w:pStyle w:val="InstructionsText2"/>
        <w:rPr>
          <w:u w:val="none"/>
        </w:rPr>
      </w:pPr>
      <w:r>
        <w:rPr>
          <w:u w:val="none"/>
        </w:rPr>
        <w:t xml:space="preserve">Treatment of </w:t>
      </w:r>
      <w:r w:rsidR="009A49BF">
        <w:rPr>
          <w:u w:val="none"/>
        </w:rPr>
        <w:t xml:space="preserve">assets received or lent in </w:t>
      </w:r>
      <w:r w:rsidRPr="00492852">
        <w:rPr>
          <w:bCs/>
          <w:u w:val="none"/>
        </w:rPr>
        <w:t>secured lending and capital market driven transactions in accordance with Article 1</w:t>
      </w:r>
      <w:r w:rsidR="003D017B">
        <w:rPr>
          <w:bCs/>
          <w:u w:val="none"/>
        </w:rPr>
        <w:t>92</w:t>
      </w:r>
      <w:r w:rsidRPr="00492852">
        <w:rPr>
          <w:bCs/>
          <w:u w:val="none"/>
        </w:rPr>
        <w:t xml:space="preserve"> o</w:t>
      </w:r>
      <w:r w:rsidR="009855A7">
        <w:rPr>
          <w:bCs/>
          <w:u w:val="none"/>
        </w:rPr>
        <w:t>f</w:t>
      </w:r>
      <w:r w:rsidRPr="00492852">
        <w:rPr>
          <w:bCs/>
          <w:u w:val="none"/>
        </w:rPr>
        <w:t xml:space="preserve"> </w:t>
      </w:r>
      <w:r w:rsidR="00A73395">
        <w:rPr>
          <w:bCs/>
          <w:u w:val="none"/>
        </w:rPr>
        <w:t>REGULATION (EU) NO 575/2013</w:t>
      </w:r>
      <w:r>
        <w:rPr>
          <w:u w:val="none"/>
        </w:rPr>
        <w:t>:</w:t>
      </w:r>
    </w:p>
    <w:p w:rsidR="00492852" w:rsidRPr="00492852" w:rsidRDefault="00492852" w:rsidP="00492852">
      <w:pPr>
        <w:pStyle w:val="InstructionsText2"/>
        <w:numPr>
          <w:ilvl w:val="1"/>
          <w:numId w:val="2"/>
        </w:numPr>
        <w:rPr>
          <w:u w:val="none"/>
        </w:rPr>
      </w:pPr>
      <w:r w:rsidRPr="00492852">
        <w:rPr>
          <w:u w:val="none"/>
        </w:rPr>
        <w:t xml:space="preserve">Institutions </w:t>
      </w:r>
      <w:r w:rsidR="00E15312">
        <w:rPr>
          <w:u w:val="none"/>
        </w:rPr>
        <w:t>shall</w:t>
      </w:r>
      <w:r w:rsidR="00E15312" w:rsidRPr="00492852">
        <w:rPr>
          <w:u w:val="none"/>
        </w:rPr>
        <w:t xml:space="preserve"> </w:t>
      </w:r>
      <w:r w:rsidRPr="00492852">
        <w:rPr>
          <w:u w:val="none"/>
        </w:rPr>
        <w:t xml:space="preserve">exclude assets which they have borrowed in </w:t>
      </w:r>
      <w:r w:rsidRPr="00492852">
        <w:rPr>
          <w:bCs/>
          <w:u w:val="none"/>
        </w:rPr>
        <w:t>secured lending and capital market driven transactions in accordance with Article 1</w:t>
      </w:r>
      <w:r w:rsidR="003D017B">
        <w:rPr>
          <w:bCs/>
          <w:u w:val="none"/>
        </w:rPr>
        <w:t>92</w:t>
      </w:r>
      <w:r w:rsidRPr="00492852">
        <w:rPr>
          <w:bCs/>
          <w:u w:val="none"/>
        </w:rPr>
        <w:t xml:space="preserve"> or </w:t>
      </w:r>
      <w:r w:rsidR="00A73395">
        <w:rPr>
          <w:bCs/>
          <w:u w:val="none"/>
        </w:rPr>
        <w:t>REGULATION (EU) NO 575/2013</w:t>
      </w:r>
      <w:r>
        <w:rPr>
          <w:bCs/>
          <w:u w:val="none"/>
        </w:rPr>
        <w:t xml:space="preserve"> (</w:t>
      </w:r>
      <w:r w:rsidRPr="00492852">
        <w:rPr>
          <w:u w:val="none"/>
        </w:rPr>
        <w:t>such as reverse repurchase transactions and collateral swaps</w:t>
      </w:r>
      <w:r>
        <w:rPr>
          <w:u w:val="none"/>
        </w:rPr>
        <w:t>)</w:t>
      </w:r>
      <w:r w:rsidRPr="00492852">
        <w:rPr>
          <w:u w:val="none"/>
        </w:rPr>
        <w:t xml:space="preserve"> of which they do not have beneficial ownership.</w:t>
      </w:r>
    </w:p>
    <w:p w:rsidR="009A49BF" w:rsidRPr="009A49BF" w:rsidRDefault="00492852" w:rsidP="009A49BF">
      <w:pPr>
        <w:pStyle w:val="InstructionsText2"/>
        <w:numPr>
          <w:ilvl w:val="1"/>
          <w:numId w:val="2"/>
        </w:numPr>
        <w:rPr>
          <w:u w:val="none"/>
        </w:rPr>
      </w:pPr>
      <w:r w:rsidRPr="009A49BF">
        <w:rPr>
          <w:u w:val="none"/>
        </w:rPr>
        <w:t xml:space="preserve">Institutions </w:t>
      </w:r>
      <w:r w:rsidR="00E15312">
        <w:rPr>
          <w:u w:val="none"/>
        </w:rPr>
        <w:t>shall</w:t>
      </w:r>
      <w:r w:rsidR="00E15312" w:rsidRPr="009A49BF">
        <w:rPr>
          <w:u w:val="none"/>
        </w:rPr>
        <w:t xml:space="preserve"> </w:t>
      </w:r>
      <w:r w:rsidRPr="009A49BF">
        <w:rPr>
          <w:u w:val="none"/>
        </w:rPr>
        <w:t xml:space="preserve">report those assets they have lent in </w:t>
      </w:r>
      <w:r w:rsidRPr="009A49BF">
        <w:rPr>
          <w:bCs/>
          <w:u w:val="none"/>
        </w:rPr>
        <w:t>secured lending and capital market driven transactions in accordance with Article 1</w:t>
      </w:r>
      <w:r w:rsidR="003D017B">
        <w:rPr>
          <w:bCs/>
          <w:u w:val="none"/>
        </w:rPr>
        <w:t>92</w:t>
      </w:r>
      <w:r w:rsidRPr="009A49BF">
        <w:rPr>
          <w:bCs/>
          <w:u w:val="none"/>
        </w:rPr>
        <w:t xml:space="preserve"> or </w:t>
      </w:r>
      <w:r w:rsidR="00A73395">
        <w:rPr>
          <w:bCs/>
          <w:u w:val="none"/>
        </w:rPr>
        <w:t>REGULATION (EU) NO 575/2013</w:t>
      </w:r>
      <w:r w:rsidRPr="009A49BF">
        <w:rPr>
          <w:u w:val="none"/>
        </w:rPr>
        <w:t xml:space="preserve"> (such as repurchase transactions or collateral swaps) of which they retain beneficial ownership.</w:t>
      </w:r>
    </w:p>
    <w:p w:rsidR="00492852" w:rsidRPr="009A49BF" w:rsidRDefault="00492852" w:rsidP="009A49BF">
      <w:pPr>
        <w:pStyle w:val="InstructionsText2"/>
        <w:numPr>
          <w:ilvl w:val="1"/>
          <w:numId w:val="2"/>
        </w:numPr>
        <w:rPr>
          <w:u w:val="none"/>
        </w:rPr>
      </w:pPr>
      <w:r w:rsidRPr="009A49BF">
        <w:rPr>
          <w:u w:val="none"/>
        </w:rPr>
        <w:t xml:space="preserve">Where </w:t>
      </w:r>
      <w:r w:rsidR="009A49BF" w:rsidRPr="009A49BF">
        <w:rPr>
          <w:u w:val="none"/>
        </w:rPr>
        <w:t>an institution has</w:t>
      </w:r>
      <w:r w:rsidRPr="009A49BF">
        <w:rPr>
          <w:u w:val="none"/>
        </w:rPr>
        <w:t xml:space="preserve"> encumbered securities in </w:t>
      </w:r>
      <w:r w:rsidR="009A49BF" w:rsidRPr="009A49BF">
        <w:rPr>
          <w:u w:val="none"/>
        </w:rPr>
        <w:t xml:space="preserve">repurchase transactions lent in </w:t>
      </w:r>
      <w:r w:rsidR="009A49BF" w:rsidRPr="009A49BF">
        <w:rPr>
          <w:bCs/>
          <w:u w:val="none"/>
        </w:rPr>
        <w:t>secured lending and capital market driven transactions in accordance with Article 1</w:t>
      </w:r>
      <w:r w:rsidR="003D017B">
        <w:rPr>
          <w:bCs/>
          <w:u w:val="none"/>
        </w:rPr>
        <w:t>92</w:t>
      </w:r>
      <w:r w:rsidR="009A49BF" w:rsidRPr="009A49BF">
        <w:rPr>
          <w:bCs/>
          <w:u w:val="none"/>
        </w:rPr>
        <w:t xml:space="preserve"> or </w:t>
      </w:r>
      <w:r w:rsidR="00A73395">
        <w:rPr>
          <w:bCs/>
          <w:u w:val="none"/>
        </w:rPr>
        <w:t>REGULATION (EU) NO 575/2013</w:t>
      </w:r>
      <w:r w:rsidR="009A49BF" w:rsidRPr="009A49BF">
        <w:rPr>
          <w:bCs/>
          <w:u w:val="none"/>
        </w:rPr>
        <w:t xml:space="preserve"> but</w:t>
      </w:r>
      <w:r w:rsidRPr="009A49BF">
        <w:rPr>
          <w:u w:val="none"/>
        </w:rPr>
        <w:t xml:space="preserve"> retained beneficial ownership and they remain on their balance sheet, they </w:t>
      </w:r>
      <w:r w:rsidR="00E15312">
        <w:rPr>
          <w:u w:val="none"/>
        </w:rPr>
        <w:t>shall</w:t>
      </w:r>
      <w:r w:rsidR="00E15312" w:rsidRPr="009A49BF">
        <w:rPr>
          <w:u w:val="none"/>
        </w:rPr>
        <w:t xml:space="preserve"> </w:t>
      </w:r>
      <w:r w:rsidRPr="009A49BF">
        <w:rPr>
          <w:u w:val="none"/>
        </w:rPr>
        <w:t>allocate such securities to the appropriate RSF category.</w:t>
      </w:r>
    </w:p>
    <w:p w:rsidR="009A49BF" w:rsidRPr="009A49BF" w:rsidRDefault="009A49BF" w:rsidP="009A49BF">
      <w:pPr>
        <w:pStyle w:val="InstructionsText2"/>
        <w:rPr>
          <w:u w:val="none"/>
        </w:rPr>
      </w:pPr>
      <w:r>
        <w:rPr>
          <w:u w:val="none"/>
        </w:rPr>
        <w:t xml:space="preserve">Treatment of </w:t>
      </w:r>
      <w:r w:rsidRPr="009A49BF">
        <w:rPr>
          <w:u w:val="none"/>
        </w:rPr>
        <w:t>derivatives payables and receivables:</w:t>
      </w:r>
    </w:p>
    <w:p w:rsidR="00492852" w:rsidRPr="009A49BF" w:rsidRDefault="00492852" w:rsidP="009A49BF">
      <w:pPr>
        <w:pStyle w:val="InstructionsText2"/>
        <w:numPr>
          <w:ilvl w:val="1"/>
          <w:numId w:val="2"/>
        </w:numPr>
        <w:rPr>
          <w:u w:val="none"/>
        </w:rPr>
      </w:pPr>
      <w:r w:rsidRPr="009A49BF">
        <w:rPr>
          <w:u w:val="none"/>
        </w:rPr>
        <w:t>A</w:t>
      </w:r>
      <w:r w:rsidR="009A49BF" w:rsidRPr="009A49BF">
        <w:rPr>
          <w:u w:val="none"/>
        </w:rPr>
        <w:t>n</w:t>
      </w:r>
      <w:r w:rsidRPr="009A49BF">
        <w:rPr>
          <w:u w:val="none"/>
        </w:rPr>
        <w:t xml:space="preserve"> </w:t>
      </w:r>
      <w:r w:rsidR="009A49BF" w:rsidRPr="009A49BF">
        <w:rPr>
          <w:u w:val="none"/>
        </w:rPr>
        <w:t>institution</w:t>
      </w:r>
      <w:r w:rsidRPr="009A49BF">
        <w:rPr>
          <w:u w:val="none"/>
        </w:rPr>
        <w:t xml:space="preserve"> will usually have both net derivatives liabilities (</w:t>
      </w:r>
      <w:r w:rsidR="009A49BF" w:rsidRPr="009A49BF">
        <w:rPr>
          <w:u w:val="none"/>
        </w:rPr>
        <w:t>i.e.</w:t>
      </w:r>
      <w:r w:rsidRPr="009A49BF">
        <w:rPr>
          <w:u w:val="none"/>
        </w:rPr>
        <w:t xml:space="preserve"> payables) and net derivative assets</w:t>
      </w:r>
      <w:r w:rsidR="009A49BF" w:rsidRPr="009A49BF">
        <w:rPr>
          <w:u w:val="none"/>
        </w:rPr>
        <w:t xml:space="preserve"> </w:t>
      </w:r>
      <w:r w:rsidRPr="009A49BF">
        <w:rPr>
          <w:u w:val="none"/>
        </w:rPr>
        <w:t>(</w:t>
      </w:r>
      <w:r w:rsidR="009A49BF" w:rsidRPr="009A49BF">
        <w:rPr>
          <w:u w:val="none"/>
        </w:rPr>
        <w:t>i.e.</w:t>
      </w:r>
      <w:r w:rsidRPr="009A49BF">
        <w:rPr>
          <w:u w:val="none"/>
        </w:rPr>
        <w:t xml:space="preserve"> receivables) on its balance sheet.</w:t>
      </w:r>
      <w:r w:rsidR="009A49BF" w:rsidRPr="009A49BF">
        <w:rPr>
          <w:u w:val="none"/>
        </w:rPr>
        <w:t xml:space="preserve"> Institutions</w:t>
      </w:r>
      <w:r w:rsidRPr="009A49BF">
        <w:rPr>
          <w:u w:val="none"/>
        </w:rPr>
        <w:t xml:space="preserve"> </w:t>
      </w:r>
      <w:r w:rsidR="00E15312">
        <w:rPr>
          <w:u w:val="none"/>
        </w:rPr>
        <w:t>shall</w:t>
      </w:r>
      <w:r w:rsidR="00E15312" w:rsidRPr="009A49BF">
        <w:rPr>
          <w:u w:val="none"/>
        </w:rPr>
        <w:t xml:space="preserve"> </w:t>
      </w:r>
      <w:r w:rsidRPr="009A49BF">
        <w:rPr>
          <w:u w:val="none"/>
        </w:rPr>
        <w:t>calculate these according to regulatory netting rules, not accounting rules,</w:t>
      </w:r>
      <w:r w:rsidR="009A49BF">
        <w:rPr>
          <w:u w:val="none"/>
        </w:rPr>
        <w:t xml:space="preserve"> and report the</w:t>
      </w:r>
      <w:r w:rsidR="009A49BF" w:rsidRPr="009A49BF">
        <w:rPr>
          <w:u w:val="none"/>
        </w:rPr>
        <w:t xml:space="preserve"> amounts </w:t>
      </w:r>
      <w:r w:rsidR="009A49BF">
        <w:rPr>
          <w:u w:val="none"/>
        </w:rPr>
        <w:t xml:space="preserve">in both </w:t>
      </w:r>
      <w:proofErr w:type="gramStart"/>
      <w:r w:rsidR="009A49BF">
        <w:rPr>
          <w:u w:val="none"/>
        </w:rPr>
        <w:t>template</w:t>
      </w:r>
      <w:proofErr w:type="gramEnd"/>
      <w:r w:rsidR="009A49BF">
        <w:rPr>
          <w:u w:val="none"/>
        </w:rPr>
        <w:t xml:space="preserve"> 1.1. “Required funding” and template 1.2 “Stable funding” </w:t>
      </w:r>
      <w:r w:rsidR="009A49BF" w:rsidRPr="009A49BF">
        <w:rPr>
          <w:u w:val="none"/>
        </w:rPr>
        <w:t>accordingly.</w:t>
      </w:r>
    </w:p>
    <w:p w:rsidR="00510D2C" w:rsidRPr="003105C6" w:rsidRDefault="00510D2C" w:rsidP="00510D2C">
      <w:pPr>
        <w:pStyle w:val="Instructionsberschrift2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requiring stable funding</w:t>
      </w:r>
    </w:p>
    <w:p w:rsidR="00510D2C" w:rsidRPr="003105C6" w:rsidRDefault="00510D2C" w:rsidP="00510D2C">
      <w:pPr>
        <w:pStyle w:val="Instructionsberschrift2"/>
        <w:numPr>
          <w:ilvl w:val="2"/>
          <w:numId w:val="3"/>
        </w:numPr>
        <w:rPr>
          <w:rFonts w:ascii="Times New Roman" w:hAnsi="Times New Roman" w:cs="Times New Roman"/>
        </w:rPr>
      </w:pPr>
      <w:r w:rsidRPr="003105C6">
        <w:rPr>
          <w:rFonts w:ascii="Times New Roman" w:hAnsi="Times New Roman" w:cs="Times New Roman"/>
        </w:rPr>
        <w:t>Instructions concerning specific rows</w:t>
      </w:r>
    </w:p>
    <w:p w:rsidR="00E23EE9" w:rsidRDefault="00E23EE9" w:rsidP="00510D2C">
      <w:pPr>
        <w:pStyle w:val="InstructionsText"/>
      </w:pPr>
    </w:p>
    <w:p w:rsidR="00E23EE9" w:rsidRPr="0017440D" w:rsidRDefault="00E23EE9" w:rsidP="00510D2C">
      <w:pPr>
        <w:pStyle w:val="InstructionsText"/>
      </w:pPr>
    </w:p>
    <w:tbl>
      <w:tblPr>
        <w:tblW w:w="8749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7560"/>
      </w:tblGrid>
      <w:tr w:rsidR="00510D2C" w:rsidRPr="0017440D" w:rsidTr="00671294">
        <w:tc>
          <w:tcPr>
            <w:tcW w:w="1189" w:type="dxa"/>
            <w:shd w:val="clear" w:color="auto" w:fill="E6E6E6"/>
          </w:tcPr>
          <w:p w:rsidR="00510D2C" w:rsidRPr="000903FA" w:rsidRDefault="00743DBF" w:rsidP="00C55533">
            <w:pPr>
              <w:pStyle w:val="InstructionsText"/>
              <w:rPr>
                <w:rStyle w:val="InstructionsTabelleText"/>
              </w:rPr>
            </w:pPr>
            <w:r>
              <w:rPr>
                <w:rStyle w:val="InstructionsTabelleText"/>
              </w:rPr>
              <w:t>Row</w:t>
            </w:r>
          </w:p>
        </w:tc>
        <w:tc>
          <w:tcPr>
            <w:tcW w:w="7560" w:type="dxa"/>
            <w:shd w:val="clear" w:color="auto" w:fill="E6E6E6"/>
          </w:tcPr>
          <w:p w:rsidR="00510D2C" w:rsidRPr="000903FA" w:rsidRDefault="00510D2C" w:rsidP="00C55533">
            <w:pPr>
              <w:pStyle w:val="InstructionsText"/>
              <w:rPr>
                <w:rStyle w:val="InstructionsTabelleText"/>
                <w:bCs/>
                <w:szCs w:val="24"/>
                <w:lang w:eastAsia="en-US"/>
              </w:rPr>
            </w:pPr>
            <w:r w:rsidRPr="000903FA">
              <w:rPr>
                <w:rStyle w:val="InstructionsTabelleText"/>
              </w:rPr>
              <w:t>Legal references and instructions</w:t>
            </w:r>
          </w:p>
        </w:tc>
      </w:tr>
      <w:tr w:rsidR="00F11C9C" w:rsidRPr="0017440D" w:rsidTr="00671294">
        <w:tc>
          <w:tcPr>
            <w:tcW w:w="8749" w:type="dxa"/>
            <w:gridSpan w:val="2"/>
            <w:shd w:val="clear" w:color="auto" w:fill="E6E6E6"/>
          </w:tcPr>
          <w:p w:rsidR="00F11C9C" w:rsidRDefault="00F11C9C" w:rsidP="0073142E">
            <w:pPr>
              <w:pStyle w:val="InstructionsText"/>
              <w:ind w:left="360"/>
              <w:jc w:val="left"/>
              <w:rPr>
                <w:rStyle w:val="FormatvorlageInstructionsTabelleText"/>
              </w:rPr>
            </w:pPr>
          </w:p>
          <w:p w:rsidR="00F11C9C" w:rsidRPr="0016272C" w:rsidRDefault="00F11C9C" w:rsidP="009C014B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</w:tc>
      </w:tr>
      <w:tr w:rsidR="00743DBF" w:rsidRPr="0017440D" w:rsidTr="00087F26">
        <w:tc>
          <w:tcPr>
            <w:tcW w:w="1189" w:type="dxa"/>
            <w:shd w:val="clear" w:color="auto" w:fill="F2F2F2" w:themeFill="background1" w:themeFillShade="F2"/>
            <w:vAlign w:val="center"/>
          </w:tcPr>
          <w:p w:rsidR="00743DBF" w:rsidRDefault="00743DBF" w:rsidP="00662CE2">
            <w:pPr>
              <w:rPr>
                <w:rStyle w:val="FormatvorlageInstructionsTabelleText"/>
                <w:szCs w:val="17"/>
                <w:lang w:eastAsia="de-DE"/>
              </w:rPr>
            </w:pPr>
            <w:r>
              <w:rPr>
                <w:rStyle w:val="FormatvorlageInstructionsTabelleText"/>
                <w:szCs w:val="17"/>
                <w:lang w:eastAsia="de-DE"/>
              </w:rPr>
              <w:t>010-13</w:t>
            </w:r>
            <w:r w:rsidR="00662CE2">
              <w:rPr>
                <w:rStyle w:val="FormatvorlageInstructionsTabelleText"/>
                <w:szCs w:val="17"/>
                <w:lang w:eastAsia="de-DE"/>
              </w:rPr>
              <w:t>2</w:t>
            </w:r>
            <w:r>
              <w:rPr>
                <w:rStyle w:val="FormatvorlageInstructionsTabelleText"/>
                <w:szCs w:val="17"/>
                <w:lang w:eastAsia="de-DE"/>
              </w:rPr>
              <w:t>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743DBF" w:rsidRDefault="00743DBF" w:rsidP="00743DBF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 xml:space="preserve">1 </w:t>
            </w:r>
            <w:r w:rsidRPr="0016272C">
              <w:rPr>
                <w:rFonts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ITEMS REQUIRING STABLE FUNDING</w:t>
            </w:r>
          </w:p>
          <w:p w:rsidR="00743DBF" w:rsidRDefault="00743DBF" w:rsidP="00743DBF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:rsidR="00743DBF" w:rsidRDefault="00743DBF" w:rsidP="00743DBF">
            <w:pPr>
              <w:pStyle w:val="InstructionsText"/>
              <w:ind w:left="0"/>
              <w:rPr>
                <w:rStyle w:val="FormatvorlageInstructionsTabelleText"/>
              </w:rPr>
            </w:pPr>
            <w:r w:rsidRPr="007A4A97">
              <w:rPr>
                <w:rStyle w:val="FormatvorlageInstructionsTabelleText"/>
              </w:rPr>
              <w:t xml:space="preserve">Total </w:t>
            </w:r>
            <w:r>
              <w:rPr>
                <w:rStyle w:val="FormatvorlageInstructionsTabelleText"/>
              </w:rPr>
              <w:t xml:space="preserve">assets </w:t>
            </w:r>
            <w:r w:rsidR="00E15312">
              <w:rPr>
                <w:rStyle w:val="FormatvorlageInstructionsTabelleText"/>
              </w:rPr>
              <w:t xml:space="preserve">shall </w:t>
            </w:r>
            <w:r>
              <w:rPr>
                <w:rStyle w:val="FormatvorlageInstructionsTabelleText"/>
              </w:rPr>
              <w:t>be reported as follows:</w:t>
            </w:r>
          </w:p>
          <w:p w:rsidR="00743DBF" w:rsidRDefault="00743DBF" w:rsidP="00743DBF">
            <w:pPr>
              <w:pStyle w:val="InstructionsText"/>
              <w:ind w:left="0"/>
              <w:rPr>
                <w:rStyle w:val="FormatvorlageInstructionsTabelleText"/>
              </w:rPr>
            </w:pPr>
          </w:p>
          <w:p w:rsidR="00743DBF" w:rsidRDefault="00743DBF" w:rsidP="00743DBF">
            <w:pPr>
              <w:pStyle w:val="InstructionsText"/>
              <w:numPr>
                <w:ilvl w:val="0"/>
                <w:numId w:val="20"/>
              </w:numPr>
              <w:jc w:val="lef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In columns P-T for assets which are not reported as liquid assets for the purpose of the liquidity coverage template.</w:t>
            </w:r>
          </w:p>
          <w:p w:rsidR="00743DBF" w:rsidRDefault="00743DBF" w:rsidP="00743DBF">
            <w:pPr>
              <w:pStyle w:val="InstructionsText"/>
              <w:ind w:left="360"/>
              <w:jc w:val="left"/>
              <w:rPr>
                <w:rStyle w:val="FormatvorlageInstructionsTabelleText"/>
              </w:rPr>
            </w:pPr>
          </w:p>
          <w:p w:rsidR="00743DBF" w:rsidRDefault="00743DBF" w:rsidP="00743DBF">
            <w:pPr>
              <w:pStyle w:val="InstructionsText"/>
              <w:numPr>
                <w:ilvl w:val="0"/>
                <w:numId w:val="20"/>
              </w:numPr>
              <w:jc w:val="lef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In columns F-J for assets which are considered extremely high liquidity and credit quality for the purpose of the liquidity coverage template columns </w:t>
            </w:r>
          </w:p>
          <w:p w:rsidR="00743DBF" w:rsidRDefault="00743DBF" w:rsidP="00743DBF">
            <w:pPr>
              <w:pStyle w:val="InstructionsText"/>
              <w:ind w:left="0"/>
              <w:jc w:val="left"/>
              <w:rPr>
                <w:rStyle w:val="FormatvorlageInstructionsTabelleText"/>
              </w:rPr>
            </w:pPr>
          </w:p>
          <w:p w:rsidR="00743DBF" w:rsidRDefault="00743DBF" w:rsidP="00743DBF">
            <w:pPr>
              <w:pStyle w:val="InstructionsText"/>
              <w:numPr>
                <w:ilvl w:val="0"/>
                <w:numId w:val="20"/>
              </w:numPr>
              <w:jc w:val="lef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>In columns K-O for assets which are considered high liquidity and credit quality for the purpose of the liquidity coverage template.</w:t>
            </w:r>
          </w:p>
          <w:p w:rsidR="00743DBF" w:rsidRDefault="00743DBF" w:rsidP="00743DBF">
            <w:pPr>
              <w:pStyle w:val="InstructionsText"/>
              <w:ind w:left="0"/>
              <w:jc w:val="left"/>
              <w:rPr>
                <w:rStyle w:val="FormatvorlageInstructionsTabelleText"/>
              </w:rPr>
            </w:pPr>
          </w:p>
          <w:p w:rsidR="00743DBF" w:rsidRDefault="00743DBF" w:rsidP="00743DBF">
            <w:pPr>
              <w:spacing w:before="0" w:after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Style w:val="FormatvorlageInstructionsTabelleText"/>
              </w:rPr>
              <w:lastRenderedPageBreak/>
              <w:t>Assets</w:t>
            </w:r>
            <w:r w:rsidR="00A66A60">
              <w:rPr>
                <w:rStyle w:val="FormatvorlageInstructionsTabelleText"/>
              </w:rPr>
              <w:t xml:space="preserve"> </w:t>
            </w:r>
            <w:r w:rsidR="00E15312">
              <w:rPr>
                <w:rStyle w:val="FormatvorlageInstructionsTabelleText"/>
              </w:rPr>
              <w:t xml:space="preserve">shall </w:t>
            </w:r>
            <w:r>
              <w:rPr>
                <w:rStyle w:val="FormatvorlageInstructionsTabelleText"/>
              </w:rPr>
              <w:t xml:space="preserve">be reported according to </w:t>
            </w:r>
            <w:r w:rsidRPr="00B07DED">
              <w:rPr>
                <w:rStyle w:val="FormatvorlageInstructionsTabelleText"/>
              </w:rPr>
              <w:t>the closer of their maturity date and the earliest date at which they can contractually be called</w:t>
            </w:r>
            <w:r>
              <w:rPr>
                <w:rStyle w:val="FormatvorlageInstructionsTabelleText"/>
              </w:rPr>
              <w:t>.</w:t>
            </w:r>
          </w:p>
          <w:p w:rsidR="00743DBF" w:rsidRPr="00671D0E" w:rsidRDefault="00743DBF" w:rsidP="00087F26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9855A7" w:rsidRPr="0017440D" w:rsidTr="00087F26">
        <w:tc>
          <w:tcPr>
            <w:tcW w:w="1189" w:type="dxa"/>
            <w:shd w:val="clear" w:color="auto" w:fill="F2F2F2" w:themeFill="background1" w:themeFillShade="F2"/>
            <w:vAlign w:val="center"/>
          </w:tcPr>
          <w:p w:rsidR="009855A7" w:rsidRPr="009855A7" w:rsidRDefault="00D111B5" w:rsidP="00B82DE8">
            <w:pPr>
              <w:rPr>
                <w:rFonts w:cs="Arial"/>
                <w:szCs w:val="20"/>
                <w:lang w:eastAsia="en-GB"/>
              </w:rPr>
            </w:pPr>
            <w:r>
              <w:rPr>
                <w:rStyle w:val="FormatvorlageInstructionsTabelleText"/>
                <w:szCs w:val="17"/>
                <w:lang w:eastAsia="de-DE"/>
              </w:rPr>
              <w:lastRenderedPageBreak/>
              <w:t>010-470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087F26" w:rsidRDefault="00221EBF" w:rsidP="00087F26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 A</w:t>
            </w:r>
            <w:r w:rsidR="00087F26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ssets </w:t>
            </w:r>
            <w:r w:rsidR="00087F26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that would qualify as liquid in accordance with</w:t>
            </w:r>
            <w:r w:rsidR="00087F26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Article 4</w:t>
            </w:r>
            <w:r w:rsidR="00087F26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16</w:t>
            </w:r>
          </w:p>
          <w:p w:rsidR="00087F26" w:rsidRPr="00C119B1" w:rsidRDefault="00087F26" w:rsidP="00087F26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087F26" w:rsidRDefault="00087F26" w:rsidP="00087F26">
            <w:pPr>
              <w:pStyle w:val="InstructionsText"/>
              <w:ind w:left="0"/>
              <w:rPr>
                <w:rStyle w:val="FormatvorlageInstructionsTabelleText"/>
              </w:rPr>
            </w:pPr>
            <w:r w:rsidRPr="008F13C5">
              <w:rPr>
                <w:rStyle w:val="FormatvorlageInstructionsTabelleText"/>
              </w:rPr>
              <w:t xml:space="preserve">Article </w:t>
            </w:r>
            <w:r>
              <w:rPr>
                <w:rStyle w:val="FormatvorlageInstructionsTabelleText"/>
              </w:rPr>
              <w:t>428(</w:t>
            </w:r>
            <w:r w:rsidRPr="008F13C5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8F13C5">
              <w:rPr>
                <w:rStyle w:val="FormatvorlageInstructionsTabelleText"/>
              </w:rPr>
              <w:t xml:space="preserve">(a) of </w:t>
            </w:r>
            <w:r w:rsidR="00A73395">
              <w:rPr>
                <w:rStyle w:val="FormatvorlageInstructionsTabelleText"/>
              </w:rPr>
              <w:t>REGULATION (EU) NO 575/2013</w:t>
            </w:r>
            <w:r w:rsidRPr="008F13C5">
              <w:rPr>
                <w:rStyle w:val="FormatvorlageInstructionsTabelleText"/>
              </w:rPr>
              <w:t xml:space="preserve"> </w:t>
            </w:r>
          </w:p>
          <w:p w:rsidR="00087F26" w:rsidRDefault="00087F26" w:rsidP="00087F26">
            <w:pPr>
              <w:pStyle w:val="InstructionsText"/>
              <w:ind w:left="0"/>
              <w:rPr>
                <w:rStyle w:val="FormatvorlageInstructionsTabelleText"/>
              </w:rPr>
            </w:pPr>
          </w:p>
          <w:p w:rsidR="00087F26" w:rsidRDefault="00087F26" w:rsidP="00087F26">
            <w:pPr>
              <w:pStyle w:val="InstructionsText"/>
              <w:ind w:left="0"/>
              <w:rPr>
                <w:rStyle w:val="FormatvorlageInstructionsTabelleText"/>
              </w:rPr>
            </w:pPr>
            <w:r w:rsidRPr="008F13C5">
              <w:rPr>
                <w:rStyle w:val="FormatvorlageInstructionsTabelleText"/>
              </w:rPr>
              <w:t>Total assets referred to in Article 4</w:t>
            </w:r>
            <w:r>
              <w:rPr>
                <w:rStyle w:val="FormatvorlageInstructionsTabelleText"/>
              </w:rPr>
              <w:t>16</w:t>
            </w:r>
            <w:r w:rsidRPr="00F11C9C">
              <w:rPr>
                <w:rStyle w:val="FormatvorlageInstructionsTabelleText"/>
              </w:rPr>
              <w:t xml:space="preserve"> </w:t>
            </w:r>
            <w:r w:rsidR="00E15312">
              <w:rPr>
                <w:rStyle w:val="FormatvorlageInstructionsTabelleText"/>
              </w:rPr>
              <w:t>shall</w:t>
            </w:r>
            <w:r w:rsidRPr="008F13C5">
              <w:rPr>
                <w:rStyle w:val="FormatvorlageInstructionsTabelleText"/>
              </w:rPr>
              <w:t xml:space="preserve"> be reported</w:t>
            </w:r>
            <w:r>
              <w:rPr>
                <w:rStyle w:val="FormatvorlageInstructionsTabelleText"/>
              </w:rPr>
              <w:t xml:space="preserve"> within </w:t>
            </w:r>
            <w:r w:rsidRPr="008F13C5">
              <w:rPr>
                <w:rStyle w:val="FormatvorlageInstructionsTabelleText"/>
              </w:rPr>
              <w:t>the relevan</w:t>
            </w:r>
            <w:r>
              <w:rPr>
                <w:rStyle w:val="FormatvorlageInstructionsTabelleText"/>
              </w:rPr>
              <w:t xml:space="preserve">t sub-line(s) and column(s) </w:t>
            </w:r>
          </w:p>
          <w:p w:rsidR="009855A7" w:rsidRPr="00F11C9C" w:rsidRDefault="009855A7" w:rsidP="00F11C9C">
            <w:pPr>
              <w:rPr>
                <w:rStyle w:val="FormatvorlageInstructionsTabelleText"/>
                <w:szCs w:val="17"/>
                <w:lang w:eastAsia="de-DE"/>
              </w:rPr>
            </w:pPr>
          </w:p>
        </w:tc>
      </w:tr>
      <w:tr w:rsidR="00087F26" w:rsidRPr="0017440D" w:rsidTr="00B82DE8">
        <w:tc>
          <w:tcPr>
            <w:tcW w:w="1189" w:type="dxa"/>
            <w:vAlign w:val="center"/>
          </w:tcPr>
          <w:p w:rsidR="00087F26" w:rsidRPr="009855A7" w:rsidRDefault="00D111B5" w:rsidP="00B82DE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010</w:t>
            </w:r>
          </w:p>
        </w:tc>
        <w:tc>
          <w:tcPr>
            <w:tcW w:w="7560" w:type="dxa"/>
            <w:vAlign w:val="center"/>
          </w:tcPr>
          <w:p w:rsidR="00087F26" w:rsidRDefault="00D111B5" w:rsidP="00087F26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 C</w:t>
            </w:r>
            <w:r w:rsidR="00087F26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ash </w:t>
            </w:r>
          </w:p>
          <w:p w:rsidR="00087F26" w:rsidRPr="00B37090" w:rsidRDefault="00087F26" w:rsidP="00087F26">
            <w:pPr>
              <w:pStyle w:val="InstructionsText"/>
              <w:rPr>
                <w:rStyle w:val="FormatvorlageInstructionsTabelleText"/>
              </w:rPr>
            </w:pPr>
            <w:r w:rsidRPr="00B37090">
              <w:rPr>
                <w:rStyle w:val="FormatvorlageInstructionsTabelleText"/>
              </w:rPr>
              <w:t>Articles 4</w:t>
            </w:r>
            <w:r>
              <w:rPr>
                <w:rStyle w:val="FormatvorlageInstructionsTabelleText"/>
              </w:rPr>
              <w:t>16(</w:t>
            </w:r>
            <w:r w:rsidRPr="00B37090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37090">
              <w:rPr>
                <w:rStyle w:val="FormatvorlageInstructionsTabelleText"/>
              </w:rPr>
              <w:t xml:space="preserve">(a) </w:t>
            </w:r>
          </w:p>
          <w:p w:rsidR="00087F26" w:rsidRPr="00B37090" w:rsidRDefault="00087F26" w:rsidP="00087F26">
            <w:pPr>
              <w:pStyle w:val="InstructionsText"/>
              <w:rPr>
                <w:rStyle w:val="FormatvorlageInstructionsTabelleText"/>
              </w:rPr>
            </w:pPr>
          </w:p>
          <w:p w:rsidR="00087F26" w:rsidRPr="00F11C9C" w:rsidRDefault="00087F26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 w:rsidRPr="00B37090">
              <w:rPr>
                <w:rStyle w:val="FormatvorlageInstructionsTabelleText"/>
              </w:rPr>
              <w:t>Total amount of cash including coins and banknotes/currency</w:t>
            </w:r>
            <w:r>
              <w:rPr>
                <w:rStyle w:val="FormatvorlageInstructionsTabelleText"/>
              </w:rPr>
              <w:t>.</w:t>
            </w:r>
          </w:p>
        </w:tc>
      </w:tr>
      <w:tr w:rsidR="00087F26" w:rsidRPr="0017440D" w:rsidTr="00B82DE8">
        <w:tc>
          <w:tcPr>
            <w:tcW w:w="1189" w:type="dxa"/>
            <w:vAlign w:val="center"/>
          </w:tcPr>
          <w:p w:rsidR="00087F26" w:rsidRPr="009855A7" w:rsidRDefault="00D111B5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020</w:t>
            </w:r>
          </w:p>
        </w:tc>
        <w:tc>
          <w:tcPr>
            <w:tcW w:w="7560" w:type="dxa"/>
            <w:vAlign w:val="center"/>
          </w:tcPr>
          <w:p w:rsidR="00087F26" w:rsidRDefault="00D111B5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1.1.2 Exposures to </w:t>
            </w:r>
            <w:r w:rsidR="00087F26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central banks</w:t>
            </w:r>
          </w:p>
          <w:p w:rsidR="00087F26" w:rsidRPr="00B37090" w:rsidRDefault="00087F26" w:rsidP="003E7B02">
            <w:pPr>
              <w:pStyle w:val="InstructionsText"/>
              <w:rPr>
                <w:rStyle w:val="FormatvorlageInstructionsTabelleText"/>
              </w:rPr>
            </w:pPr>
            <w:r w:rsidRPr="00B37090">
              <w:rPr>
                <w:rStyle w:val="FormatvorlageInstructionsTabelleText"/>
              </w:rPr>
              <w:t>Articles 4</w:t>
            </w:r>
            <w:r>
              <w:rPr>
                <w:rStyle w:val="FormatvorlageInstructionsTabelleText"/>
              </w:rPr>
              <w:t>16(</w:t>
            </w:r>
            <w:r w:rsidRPr="00B37090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37090">
              <w:rPr>
                <w:rStyle w:val="FormatvorlageInstructionsTabelleText"/>
              </w:rPr>
              <w:t xml:space="preserve">(a) </w:t>
            </w:r>
          </w:p>
          <w:p w:rsidR="00087F26" w:rsidRDefault="00087F26" w:rsidP="00F11C9C">
            <w:pPr>
              <w:pStyle w:val="InstructionsText"/>
              <w:rPr>
                <w:rStyle w:val="FormatvorlageInstructionsTabelleText"/>
              </w:rPr>
            </w:pPr>
          </w:p>
          <w:p w:rsidR="00087F26" w:rsidRDefault="00087F26" w:rsidP="00F11C9C">
            <w:pPr>
              <w:pStyle w:val="InstructionsText"/>
              <w:rPr>
                <w:u w:val="none"/>
              </w:rPr>
            </w:pPr>
            <w:r w:rsidRPr="00B37090">
              <w:rPr>
                <w:rStyle w:val="FormatvorlageInstructionsTabelleText"/>
              </w:rPr>
              <w:t>Total amount of deposits held with central banks</w:t>
            </w:r>
            <w:r w:rsidRPr="00925542">
              <w:rPr>
                <w:u w:val="none"/>
              </w:rPr>
              <w:t>.</w:t>
            </w:r>
          </w:p>
          <w:p w:rsidR="00087F26" w:rsidRPr="00F11C9C" w:rsidRDefault="00087F26" w:rsidP="00F11C9C">
            <w:pPr>
              <w:pStyle w:val="InstructionsText"/>
              <w:rPr>
                <w:rStyle w:val="FormatvorlageInstructionsTabelleText"/>
                <w:rFonts w:ascii="Times New Roman" w:hAnsi="Times New Roman"/>
                <w:bCs w:val="0"/>
                <w:u w:val="single"/>
              </w:rPr>
            </w:pPr>
          </w:p>
        </w:tc>
      </w:tr>
      <w:tr w:rsidR="00087F26" w:rsidRPr="0017440D" w:rsidTr="00B82DE8">
        <w:tc>
          <w:tcPr>
            <w:tcW w:w="1189" w:type="dxa"/>
            <w:vAlign w:val="center"/>
          </w:tcPr>
          <w:p w:rsidR="00087F26" w:rsidRPr="009855A7" w:rsidRDefault="00E9157C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030</w:t>
            </w:r>
          </w:p>
        </w:tc>
        <w:tc>
          <w:tcPr>
            <w:tcW w:w="7560" w:type="dxa"/>
            <w:vAlign w:val="center"/>
          </w:tcPr>
          <w:p w:rsidR="00087F26" w:rsidRDefault="00D111B5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</w:t>
            </w:r>
            <w:r w:rsidR="00E9157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2.1 Of which: exposures </w:t>
            </w:r>
            <w:r w:rsidR="00087F26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that can be withdrawn in times of stress</w:t>
            </w:r>
          </w:p>
          <w:p w:rsidR="00087F26" w:rsidRPr="00B37090" w:rsidRDefault="00087F26" w:rsidP="00F11C9C">
            <w:pPr>
              <w:pStyle w:val="InstructionsText"/>
              <w:rPr>
                <w:rStyle w:val="FormatvorlageInstructionsTabelleText"/>
              </w:rPr>
            </w:pPr>
            <w:r w:rsidRPr="00B37090">
              <w:rPr>
                <w:rStyle w:val="FormatvorlageInstructionsTabelleText"/>
              </w:rPr>
              <w:t>Article 4</w:t>
            </w:r>
            <w:r>
              <w:rPr>
                <w:rStyle w:val="FormatvorlageInstructionsTabelleText"/>
              </w:rPr>
              <w:t>16(</w:t>
            </w:r>
            <w:r w:rsidRPr="00B37090">
              <w:rPr>
                <w:rStyle w:val="FormatvorlageInstructionsTabelleText"/>
              </w:rPr>
              <w:t>1</w:t>
            </w:r>
            <w:r>
              <w:rPr>
                <w:rStyle w:val="FormatvorlageInstructionsTabelleText"/>
              </w:rPr>
              <w:t>)</w:t>
            </w:r>
            <w:r w:rsidRPr="00B37090">
              <w:rPr>
                <w:rStyle w:val="FormatvorlageInstructionsTabelleText"/>
              </w:rPr>
              <w:t>(a)</w:t>
            </w:r>
          </w:p>
          <w:p w:rsidR="00087F26" w:rsidRPr="00B37090" w:rsidRDefault="00087F26" w:rsidP="00F11C9C">
            <w:pPr>
              <w:pStyle w:val="InstructionsText"/>
              <w:rPr>
                <w:rStyle w:val="FormatvorlageInstructionsTabelleText"/>
              </w:rPr>
            </w:pPr>
          </w:p>
          <w:p w:rsidR="00087F26" w:rsidRDefault="00087F26" w:rsidP="00F11C9C">
            <w:pPr>
              <w:pStyle w:val="InstructionsText"/>
              <w:rPr>
                <w:rStyle w:val="FormatvorlageInstructionsTabelleText"/>
              </w:rPr>
            </w:pPr>
            <w:r w:rsidRPr="00B37090">
              <w:rPr>
                <w:rStyle w:val="FormatvorlageInstructionsTabelleText"/>
              </w:rPr>
              <w:t>Total amount of deposits held with central banks to the extent that these deposits can be withdrawn in times of stress</w:t>
            </w:r>
            <w:r>
              <w:rPr>
                <w:rStyle w:val="FormatvorlageInstructionsTabelleText"/>
              </w:rPr>
              <w:t>.</w:t>
            </w:r>
          </w:p>
          <w:p w:rsidR="00087F26" w:rsidRPr="00F11C9C" w:rsidRDefault="00087F26" w:rsidP="00F11C9C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087F26" w:rsidRPr="0017440D" w:rsidTr="00B82DE8">
        <w:tc>
          <w:tcPr>
            <w:tcW w:w="1189" w:type="dxa"/>
            <w:shd w:val="clear" w:color="auto" w:fill="E6E6E6"/>
            <w:vAlign w:val="center"/>
          </w:tcPr>
          <w:p w:rsidR="00087F26" w:rsidRPr="009855A7" w:rsidRDefault="00E9157C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040-050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87F26" w:rsidRDefault="00D111B5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1.1.3 </w:t>
            </w:r>
            <w:r w:rsidR="00087F26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transferable assets representing claims on or guaranteed by the central government of a Member state or a third country if the institution incurs a liquidity risk in that Member state or third country that it covers by holding those liquidity assets</w:t>
            </w:r>
          </w:p>
          <w:p w:rsidR="00087F26" w:rsidRPr="00B37090" w:rsidRDefault="00087F26" w:rsidP="00F11C9C">
            <w:pPr>
              <w:pStyle w:val="InstructionsText"/>
              <w:rPr>
                <w:rStyle w:val="FormatvorlageInstructionsTabelleText"/>
                <w:b/>
              </w:rPr>
            </w:pPr>
            <w:r w:rsidRPr="00B37090">
              <w:rPr>
                <w:rStyle w:val="InstructionsTabelleberschrift"/>
                <w:b w:val="0"/>
                <w:u w:val="none"/>
              </w:rPr>
              <w:t>Article 4</w:t>
            </w:r>
            <w:r>
              <w:rPr>
                <w:rStyle w:val="InstructionsTabelleberschrift"/>
                <w:b w:val="0"/>
                <w:u w:val="none"/>
              </w:rPr>
              <w:t>16(</w:t>
            </w:r>
            <w:r w:rsidRPr="00B37090">
              <w:rPr>
                <w:rStyle w:val="InstructionsTabelleberschrift"/>
                <w:b w:val="0"/>
                <w:u w:val="none"/>
              </w:rPr>
              <w:t>1</w:t>
            </w:r>
            <w:r>
              <w:rPr>
                <w:rStyle w:val="InstructionsTabelleberschrift"/>
                <w:b w:val="0"/>
                <w:u w:val="none"/>
              </w:rPr>
              <w:t>)</w:t>
            </w:r>
            <w:r w:rsidRPr="00B37090">
              <w:rPr>
                <w:rStyle w:val="InstructionsTabelleberschrift"/>
                <w:b w:val="0"/>
                <w:u w:val="none"/>
              </w:rPr>
              <w:t>(c)</w:t>
            </w:r>
            <w:r w:rsidR="00662CE2">
              <w:rPr>
                <w:rStyle w:val="InstructionsTabelleberschrift"/>
                <w:b w:val="0"/>
                <w:u w:val="none"/>
              </w:rPr>
              <w:t>(</w:t>
            </w:r>
            <w:proofErr w:type="spellStart"/>
            <w:r w:rsidR="00662CE2">
              <w:rPr>
                <w:rStyle w:val="InstructionsTabelleberschrift"/>
                <w:b w:val="0"/>
                <w:u w:val="none"/>
              </w:rPr>
              <w:t>i</w:t>
            </w:r>
            <w:proofErr w:type="spellEnd"/>
            <w:r w:rsidR="00662CE2">
              <w:rPr>
                <w:rStyle w:val="InstructionsTabelleberschrift"/>
                <w:b w:val="0"/>
                <w:u w:val="none"/>
              </w:rPr>
              <w:t>)</w:t>
            </w:r>
            <w:r w:rsidRPr="00B37090">
              <w:rPr>
                <w:rStyle w:val="InstructionsTabelleberschrift"/>
                <w:b w:val="0"/>
                <w:u w:val="none"/>
              </w:rPr>
              <w:t xml:space="preserve"> of </w:t>
            </w:r>
            <w:r w:rsidR="00A73395">
              <w:rPr>
                <w:rStyle w:val="InstructionsTabelleberschrift"/>
                <w:b w:val="0"/>
                <w:u w:val="none"/>
              </w:rPr>
              <w:t>REGULATION (EU) NO 575/2013</w:t>
            </w:r>
          </w:p>
          <w:p w:rsidR="00087F26" w:rsidRPr="00B37090" w:rsidRDefault="00087F26" w:rsidP="00F11C9C">
            <w:pPr>
              <w:pStyle w:val="InstructionsText"/>
              <w:rPr>
                <w:rStyle w:val="InstructionsTabelleberschrift"/>
              </w:rPr>
            </w:pPr>
          </w:p>
          <w:p w:rsidR="00497D10" w:rsidRPr="00F11C9C" w:rsidRDefault="00087F26" w:rsidP="00497D10">
            <w:pPr>
              <w:pStyle w:val="InstructionsText"/>
              <w:rPr>
                <w:rStyle w:val="FormatvorlageInstructionsTabelleText"/>
              </w:rPr>
            </w:pPr>
            <w:r w:rsidRPr="00B37090">
              <w:rPr>
                <w:rStyle w:val="InstructionsTabelleberschrift"/>
                <w:b w:val="0"/>
                <w:u w:val="none"/>
              </w:rPr>
              <w:t xml:space="preserve">Total </w:t>
            </w:r>
            <w:r>
              <w:rPr>
                <w:rStyle w:val="InstructionsTabelleberschrift"/>
                <w:b w:val="0"/>
                <w:u w:val="none"/>
              </w:rPr>
              <w:t>amount</w:t>
            </w:r>
            <w:r w:rsidRPr="00B37090">
              <w:rPr>
                <w:rStyle w:val="InstructionsTabelleberschrift"/>
                <w:b w:val="0"/>
                <w:u w:val="none"/>
              </w:rPr>
              <w:t xml:space="preserve"> of transferable assets </w:t>
            </w:r>
            <w:r>
              <w:rPr>
                <w:rStyle w:val="InstructionsTabelleberschrift"/>
                <w:b w:val="0"/>
                <w:u w:val="none"/>
              </w:rPr>
              <w:t xml:space="preserve">referred to in Article </w:t>
            </w:r>
            <w:r w:rsidRPr="00B37090">
              <w:rPr>
                <w:rStyle w:val="InstructionsTabelleberschrift"/>
                <w:b w:val="0"/>
                <w:u w:val="none"/>
              </w:rPr>
              <w:t>4</w:t>
            </w:r>
            <w:r>
              <w:rPr>
                <w:rStyle w:val="InstructionsTabelleberschrift"/>
                <w:b w:val="0"/>
                <w:u w:val="none"/>
              </w:rPr>
              <w:t>16(</w:t>
            </w:r>
            <w:r w:rsidRPr="00B37090">
              <w:rPr>
                <w:rStyle w:val="InstructionsTabelleberschrift"/>
                <w:b w:val="0"/>
                <w:u w:val="none"/>
              </w:rPr>
              <w:t>1</w:t>
            </w:r>
            <w:r>
              <w:rPr>
                <w:rStyle w:val="InstructionsTabelleberschrift"/>
                <w:b w:val="0"/>
                <w:u w:val="none"/>
              </w:rPr>
              <w:t>)</w:t>
            </w:r>
            <w:r w:rsidRPr="00B37090">
              <w:rPr>
                <w:rStyle w:val="InstructionsTabelleberschrift"/>
                <w:b w:val="0"/>
                <w:u w:val="none"/>
              </w:rPr>
              <w:t>(c)</w:t>
            </w:r>
            <w:r w:rsidR="00662CE2">
              <w:rPr>
                <w:rStyle w:val="InstructionsTabelleberschrift"/>
                <w:b w:val="0"/>
                <w:u w:val="none"/>
              </w:rPr>
              <w:t>(</w:t>
            </w:r>
            <w:proofErr w:type="spellStart"/>
            <w:r w:rsidR="00662CE2">
              <w:rPr>
                <w:rStyle w:val="InstructionsTabelleberschrift"/>
                <w:b w:val="0"/>
                <w:u w:val="none"/>
              </w:rPr>
              <w:t>i</w:t>
            </w:r>
            <w:proofErr w:type="spellEnd"/>
            <w:r w:rsidR="00662CE2">
              <w:rPr>
                <w:rStyle w:val="InstructionsTabelleberschrift"/>
                <w:b w:val="0"/>
                <w:u w:val="none"/>
              </w:rPr>
              <w:t>)</w:t>
            </w:r>
            <w:r w:rsidRPr="00B37090">
              <w:rPr>
                <w:rStyle w:val="InstructionsTabelleberschrift"/>
                <w:b w:val="0"/>
                <w:u w:val="none"/>
              </w:rPr>
              <w:t xml:space="preserve"> of </w:t>
            </w:r>
            <w:r w:rsidR="00A73395">
              <w:rPr>
                <w:rStyle w:val="InstructionsTabelleberschrift"/>
                <w:b w:val="0"/>
                <w:u w:val="none"/>
              </w:rPr>
              <w:t>REGULATION (EU) NO 575/2013</w:t>
            </w:r>
            <w:r w:rsidRPr="00B37090" w:rsidDel="004025C0">
              <w:rPr>
                <w:rStyle w:val="InstructionsTabelleberschrift"/>
                <w:b w:val="0"/>
                <w:u w:val="none"/>
              </w:rPr>
              <w:t xml:space="preserve"> </w:t>
            </w:r>
          </w:p>
        </w:tc>
      </w:tr>
      <w:tr w:rsidR="00087F26" w:rsidRPr="0017440D" w:rsidTr="00B82DE8">
        <w:tc>
          <w:tcPr>
            <w:tcW w:w="1189" w:type="dxa"/>
            <w:vAlign w:val="center"/>
          </w:tcPr>
          <w:p w:rsidR="00087F26" w:rsidRPr="009855A7" w:rsidRDefault="00A23F23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040</w:t>
            </w:r>
          </w:p>
        </w:tc>
        <w:tc>
          <w:tcPr>
            <w:tcW w:w="7560" w:type="dxa"/>
            <w:vAlign w:val="center"/>
          </w:tcPr>
          <w:p w:rsidR="00087F26" w:rsidRPr="00F11C9C" w:rsidRDefault="00E9157C" w:rsidP="00E9157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1.1.3.1 representing claims </w:t>
            </w:r>
          </w:p>
        </w:tc>
      </w:tr>
      <w:tr w:rsidR="00087F26" w:rsidRPr="0017440D" w:rsidTr="00B82DE8">
        <w:tc>
          <w:tcPr>
            <w:tcW w:w="1189" w:type="dxa"/>
            <w:vAlign w:val="center"/>
          </w:tcPr>
          <w:p w:rsidR="00087F26" w:rsidRPr="009855A7" w:rsidRDefault="00A23F23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050</w:t>
            </w:r>
          </w:p>
        </w:tc>
        <w:tc>
          <w:tcPr>
            <w:tcW w:w="7560" w:type="dxa"/>
            <w:vAlign w:val="center"/>
          </w:tcPr>
          <w:p w:rsidR="00087F26" w:rsidRPr="00F11C9C" w:rsidRDefault="00E9157C" w:rsidP="00E9157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1.1.3.2 guaranteed by </w:t>
            </w:r>
          </w:p>
        </w:tc>
      </w:tr>
      <w:tr w:rsidR="00087F26" w:rsidRPr="0017440D" w:rsidTr="00B82DE8">
        <w:tc>
          <w:tcPr>
            <w:tcW w:w="1189" w:type="dxa"/>
            <w:vAlign w:val="center"/>
          </w:tcPr>
          <w:p w:rsidR="00087F26" w:rsidRPr="009855A7" w:rsidRDefault="00A23F23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060-070</w:t>
            </w:r>
          </w:p>
        </w:tc>
        <w:tc>
          <w:tcPr>
            <w:tcW w:w="7560" w:type="dxa"/>
            <w:vAlign w:val="center"/>
          </w:tcPr>
          <w:p w:rsidR="00087F26" w:rsidRDefault="00A23F23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1.1.4 </w:t>
            </w:r>
            <w:r w:rsidRPr="00A23F23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transferable assets representing claims on or guaranteed by central banks and non-central government public sector entities in the domestic currency of the central bank and public sector entity</w:t>
            </w:r>
          </w:p>
          <w:p w:rsidR="00662CE2" w:rsidRPr="00F11C9C" w:rsidRDefault="00662CE2" w:rsidP="00662C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 w:rsidRPr="00662CE2">
              <w:rPr>
                <w:rStyle w:val="InstructionsTabelleberschrift"/>
                <w:b w:val="0"/>
                <w:u w:val="none"/>
              </w:rPr>
              <w:t xml:space="preserve">Article 416(1)(c)(ii) </w:t>
            </w:r>
            <w:r w:rsidRPr="00B37090">
              <w:rPr>
                <w:rStyle w:val="InstructionsTabelleberschrift"/>
                <w:b w:val="0"/>
                <w:u w:val="none"/>
              </w:rPr>
              <w:t xml:space="preserve">of </w:t>
            </w:r>
            <w:r>
              <w:rPr>
                <w:rStyle w:val="InstructionsTabelleberschrift"/>
                <w:b w:val="0"/>
                <w:u w:val="none"/>
              </w:rPr>
              <w:t>REGULATION (EU) NO 575/2013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</w:t>
            </w:r>
          </w:p>
        </w:tc>
      </w:tr>
      <w:tr w:rsidR="00087F26" w:rsidRPr="0017440D" w:rsidTr="00B82DE8">
        <w:tc>
          <w:tcPr>
            <w:tcW w:w="1189" w:type="dxa"/>
            <w:vAlign w:val="center"/>
          </w:tcPr>
          <w:p w:rsidR="00087F26" w:rsidRPr="009855A7" w:rsidRDefault="00961A6D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060</w:t>
            </w:r>
          </w:p>
        </w:tc>
        <w:tc>
          <w:tcPr>
            <w:tcW w:w="7560" w:type="dxa"/>
            <w:vAlign w:val="center"/>
          </w:tcPr>
          <w:p w:rsidR="00087F26" w:rsidRPr="00F11C9C" w:rsidRDefault="00961A6D" w:rsidP="00961A6D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1.1.4.1 representing claims </w:t>
            </w:r>
          </w:p>
        </w:tc>
      </w:tr>
      <w:tr w:rsidR="00087F26" w:rsidRPr="0017440D" w:rsidTr="00B82DE8">
        <w:tc>
          <w:tcPr>
            <w:tcW w:w="1189" w:type="dxa"/>
            <w:vAlign w:val="center"/>
          </w:tcPr>
          <w:p w:rsidR="00087F26" w:rsidRPr="009855A7" w:rsidRDefault="00961A6D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070</w:t>
            </w:r>
          </w:p>
        </w:tc>
        <w:tc>
          <w:tcPr>
            <w:tcW w:w="7560" w:type="dxa"/>
            <w:vAlign w:val="center"/>
          </w:tcPr>
          <w:p w:rsidR="00087F26" w:rsidRPr="00F11C9C" w:rsidRDefault="00961A6D" w:rsidP="00961A6D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1.1.4.2 guaranteed by </w:t>
            </w:r>
          </w:p>
        </w:tc>
      </w:tr>
      <w:tr w:rsidR="00087F26" w:rsidRPr="0017440D" w:rsidTr="00B82DE8">
        <w:tc>
          <w:tcPr>
            <w:tcW w:w="1189" w:type="dxa"/>
            <w:vAlign w:val="center"/>
          </w:tcPr>
          <w:p w:rsidR="00087F26" w:rsidRPr="009855A7" w:rsidRDefault="00EF432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lastRenderedPageBreak/>
              <w:t>080-150</w:t>
            </w:r>
          </w:p>
        </w:tc>
        <w:tc>
          <w:tcPr>
            <w:tcW w:w="7560" w:type="dxa"/>
            <w:vAlign w:val="center"/>
          </w:tcPr>
          <w:p w:rsidR="00087F26" w:rsidRDefault="00961A6D" w:rsidP="00EF432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1.1.5 </w:t>
            </w:r>
            <w:r w:rsidR="00EF432F" w:rsidRPr="00EF432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transferable assets representing claims on or guaranteed by the Bank for International Settlements, the International Monetary Fund, the European Commission and multilateral development banks</w:t>
            </w:r>
          </w:p>
          <w:p w:rsidR="00662CE2" w:rsidRPr="00F11C9C" w:rsidRDefault="00662CE2" w:rsidP="00EF432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 w:rsidRPr="00662CE2">
              <w:rPr>
                <w:rStyle w:val="InstructionsTabelleberschrift"/>
                <w:b w:val="0"/>
                <w:u w:val="none"/>
              </w:rPr>
              <w:t>Article 416(1)(c)(ii</w:t>
            </w:r>
            <w:r>
              <w:rPr>
                <w:rStyle w:val="InstructionsTabelleberschrift"/>
                <w:b w:val="0"/>
                <w:u w:val="none"/>
              </w:rPr>
              <w:t>i</w:t>
            </w:r>
            <w:r w:rsidRPr="00662CE2">
              <w:rPr>
                <w:rStyle w:val="InstructionsTabelleberschrift"/>
                <w:b w:val="0"/>
                <w:u w:val="none"/>
              </w:rPr>
              <w:t xml:space="preserve">) </w:t>
            </w:r>
            <w:r w:rsidRPr="00B37090">
              <w:rPr>
                <w:rStyle w:val="InstructionsTabelleberschrift"/>
                <w:b w:val="0"/>
                <w:u w:val="none"/>
              </w:rPr>
              <w:t xml:space="preserve">of </w:t>
            </w:r>
            <w:r>
              <w:rPr>
                <w:rStyle w:val="InstructionsTabelleberschrift"/>
                <w:b w:val="0"/>
                <w:u w:val="none"/>
              </w:rPr>
              <w:t>REGULATION (EU) NO 575/2013</w:t>
            </w:r>
          </w:p>
        </w:tc>
      </w:tr>
      <w:tr w:rsidR="00BC4574" w:rsidRPr="0017440D" w:rsidTr="00B82DE8">
        <w:tc>
          <w:tcPr>
            <w:tcW w:w="1189" w:type="dxa"/>
            <w:vAlign w:val="center"/>
          </w:tcPr>
          <w:p w:rsidR="00BC4574" w:rsidRPr="009855A7" w:rsidDel="00EF432F" w:rsidRDefault="00BC4574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080</w:t>
            </w:r>
          </w:p>
        </w:tc>
        <w:tc>
          <w:tcPr>
            <w:tcW w:w="7560" w:type="dxa"/>
            <w:vAlign w:val="center"/>
          </w:tcPr>
          <w:p w:rsidR="00BC4574" w:rsidRDefault="00BC4574" w:rsidP="00EF432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1.1.5.1 (a) representing claims</w:t>
            </w:r>
          </w:p>
        </w:tc>
      </w:tr>
      <w:tr w:rsidR="00BC4574" w:rsidRPr="0017440D" w:rsidTr="00B82DE8">
        <w:tc>
          <w:tcPr>
            <w:tcW w:w="1189" w:type="dxa"/>
            <w:vAlign w:val="center"/>
          </w:tcPr>
          <w:p w:rsidR="00BC4574" w:rsidRPr="009855A7" w:rsidDel="00EF432F" w:rsidRDefault="00BC4574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090</w:t>
            </w:r>
          </w:p>
        </w:tc>
        <w:tc>
          <w:tcPr>
            <w:tcW w:w="7560" w:type="dxa"/>
            <w:vAlign w:val="center"/>
          </w:tcPr>
          <w:p w:rsidR="00BC4574" w:rsidRDefault="000220AD" w:rsidP="00BC4574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1.1.5.2 (a</w:t>
            </w:r>
            <w:r w:rsidR="00BC4574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) guaranteed by</w:t>
            </w:r>
          </w:p>
        </w:tc>
      </w:tr>
      <w:tr w:rsidR="006C54E5" w:rsidRPr="0017440D" w:rsidTr="00B82DE8">
        <w:tc>
          <w:tcPr>
            <w:tcW w:w="1189" w:type="dxa"/>
            <w:vAlign w:val="center"/>
          </w:tcPr>
          <w:p w:rsidR="006C54E5" w:rsidRDefault="00400469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</w:t>
            </w:r>
          </w:p>
        </w:tc>
        <w:tc>
          <w:tcPr>
            <w:tcW w:w="7560" w:type="dxa"/>
            <w:vAlign w:val="center"/>
          </w:tcPr>
          <w:p w:rsidR="006C54E5" w:rsidRDefault="006C54E5" w:rsidP="006C54E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1.1.5.1 (b) amount unencumbered </w:t>
            </w:r>
          </w:p>
        </w:tc>
      </w:tr>
      <w:tr w:rsidR="00BC4574" w:rsidRPr="0017440D" w:rsidTr="00B82DE8">
        <w:tc>
          <w:tcPr>
            <w:tcW w:w="1189" w:type="dxa"/>
            <w:vAlign w:val="center"/>
          </w:tcPr>
          <w:p w:rsidR="00BC4574" w:rsidRPr="009855A7" w:rsidDel="00EF432F" w:rsidRDefault="000220AD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00469">
              <w:rPr>
                <w:rFonts w:cs="Arial"/>
                <w:szCs w:val="20"/>
              </w:rPr>
              <w:t>10</w:t>
            </w:r>
          </w:p>
        </w:tc>
        <w:tc>
          <w:tcPr>
            <w:tcW w:w="7560" w:type="dxa"/>
            <w:vAlign w:val="center"/>
          </w:tcPr>
          <w:p w:rsidR="00BC4574" w:rsidRDefault="000220AD" w:rsidP="006C54E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1.1.5.</w:t>
            </w:r>
            <w:r w:rsidR="006C54E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2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(b) encumbered for a period within three months</w:t>
            </w:r>
          </w:p>
        </w:tc>
      </w:tr>
      <w:tr w:rsidR="00BC4574" w:rsidRPr="0017440D" w:rsidTr="00B82DE8">
        <w:tc>
          <w:tcPr>
            <w:tcW w:w="1189" w:type="dxa"/>
            <w:vAlign w:val="center"/>
          </w:tcPr>
          <w:p w:rsidR="00BC4574" w:rsidRPr="009855A7" w:rsidDel="00EF432F" w:rsidRDefault="000220AD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00469">
              <w:rPr>
                <w:rFonts w:cs="Arial"/>
                <w:szCs w:val="20"/>
              </w:rPr>
              <w:t>20</w:t>
            </w:r>
          </w:p>
        </w:tc>
        <w:tc>
          <w:tcPr>
            <w:tcW w:w="7560" w:type="dxa"/>
            <w:vAlign w:val="center"/>
          </w:tcPr>
          <w:p w:rsidR="00BC4574" w:rsidRDefault="000220AD" w:rsidP="006C54E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1.1.5.</w:t>
            </w:r>
            <w:r w:rsidR="006C54E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(b) encumbered for a period between three months and six months</w:t>
            </w:r>
          </w:p>
        </w:tc>
      </w:tr>
      <w:tr w:rsidR="00BC4574" w:rsidRPr="0017440D" w:rsidTr="00B82DE8">
        <w:tc>
          <w:tcPr>
            <w:tcW w:w="1189" w:type="dxa"/>
            <w:vAlign w:val="center"/>
          </w:tcPr>
          <w:p w:rsidR="00BC4574" w:rsidRPr="009855A7" w:rsidDel="00EF432F" w:rsidRDefault="000220AD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00469">
              <w:rPr>
                <w:rFonts w:cs="Arial"/>
                <w:szCs w:val="20"/>
              </w:rPr>
              <w:t>30</w:t>
            </w:r>
          </w:p>
        </w:tc>
        <w:tc>
          <w:tcPr>
            <w:tcW w:w="7560" w:type="dxa"/>
            <w:vAlign w:val="center"/>
          </w:tcPr>
          <w:p w:rsidR="00BC4574" w:rsidRDefault="000220AD" w:rsidP="006C54E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1.1.5.</w:t>
            </w:r>
            <w:r w:rsidR="006C54E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4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(b) encumbered for a period </w:t>
            </w:r>
            <w:r w:rsidR="00C83552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between six and nine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months</w:t>
            </w:r>
          </w:p>
        </w:tc>
      </w:tr>
      <w:tr w:rsidR="00BC4574" w:rsidRPr="0017440D" w:rsidTr="00B82DE8">
        <w:tc>
          <w:tcPr>
            <w:tcW w:w="1189" w:type="dxa"/>
            <w:vAlign w:val="center"/>
          </w:tcPr>
          <w:p w:rsidR="00BC4574" w:rsidRPr="009855A7" w:rsidDel="00EF432F" w:rsidRDefault="000220AD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00469">
              <w:rPr>
                <w:rFonts w:cs="Arial"/>
                <w:szCs w:val="20"/>
              </w:rPr>
              <w:t>40</w:t>
            </w:r>
          </w:p>
        </w:tc>
        <w:tc>
          <w:tcPr>
            <w:tcW w:w="7560" w:type="dxa"/>
            <w:vAlign w:val="center"/>
          </w:tcPr>
          <w:p w:rsidR="00BC4574" w:rsidRDefault="000220AD" w:rsidP="006C54E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1.1.5.</w:t>
            </w:r>
            <w:r w:rsidR="006C54E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5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(b) encumbered for a period </w:t>
            </w:r>
            <w:r w:rsidR="00E6590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between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</w:t>
            </w:r>
            <w:r w:rsidR="00385636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nine and </w:t>
            </w:r>
            <w:r w:rsidR="00E6590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twelve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months</w:t>
            </w:r>
          </w:p>
        </w:tc>
      </w:tr>
      <w:tr w:rsidR="00BC4574" w:rsidRPr="0017440D" w:rsidTr="00B82DE8">
        <w:tc>
          <w:tcPr>
            <w:tcW w:w="1189" w:type="dxa"/>
            <w:vAlign w:val="center"/>
          </w:tcPr>
          <w:p w:rsidR="00BC4574" w:rsidRPr="009855A7" w:rsidDel="00EF432F" w:rsidRDefault="00400469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150</w:t>
            </w:r>
          </w:p>
        </w:tc>
        <w:tc>
          <w:tcPr>
            <w:tcW w:w="7560" w:type="dxa"/>
            <w:vAlign w:val="center"/>
          </w:tcPr>
          <w:p w:rsidR="00BC4574" w:rsidRDefault="00270F25" w:rsidP="000971E4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1.1.5.6 (b) encumbered for a period greater than twelve months </w:t>
            </w:r>
          </w:p>
        </w:tc>
      </w:tr>
      <w:tr w:rsidR="00BC4574" w:rsidRPr="0017440D" w:rsidTr="00B82DE8">
        <w:tc>
          <w:tcPr>
            <w:tcW w:w="1189" w:type="dxa"/>
            <w:vAlign w:val="center"/>
          </w:tcPr>
          <w:p w:rsidR="00BC4574" w:rsidRPr="009855A7" w:rsidDel="00EF432F" w:rsidRDefault="00934317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0971E4">
              <w:rPr>
                <w:rFonts w:cs="Arial"/>
                <w:szCs w:val="20"/>
              </w:rPr>
              <w:t>52-153</w:t>
            </w:r>
          </w:p>
        </w:tc>
        <w:tc>
          <w:tcPr>
            <w:tcW w:w="7560" w:type="dxa"/>
            <w:vAlign w:val="center"/>
          </w:tcPr>
          <w:p w:rsidR="00BC4574" w:rsidRDefault="000971E4" w:rsidP="00D6238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1.1.6 </w:t>
            </w:r>
            <w:r w:rsidR="00D62381" w:rsidRPr="00D6238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transferable assets representing claims on or guaranteed by the European Financial Stability Facility and the European Stability Mechanism</w:t>
            </w:r>
          </w:p>
          <w:p w:rsidR="00662CE2" w:rsidRDefault="00662CE2" w:rsidP="00D6238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 w:rsidRPr="00662CE2">
              <w:rPr>
                <w:rStyle w:val="InstructionsTabelleberschrift"/>
                <w:b w:val="0"/>
                <w:u w:val="none"/>
              </w:rPr>
              <w:t>Article 416(1)(c)(ii</w:t>
            </w:r>
            <w:r>
              <w:rPr>
                <w:rStyle w:val="InstructionsTabelleberschrift"/>
                <w:b w:val="0"/>
                <w:u w:val="none"/>
              </w:rPr>
              <w:t>i</w:t>
            </w:r>
            <w:r w:rsidRPr="00662CE2">
              <w:rPr>
                <w:rStyle w:val="InstructionsTabelleberschrift"/>
                <w:b w:val="0"/>
                <w:u w:val="none"/>
              </w:rPr>
              <w:t xml:space="preserve">) </w:t>
            </w:r>
            <w:r w:rsidRPr="00B37090">
              <w:rPr>
                <w:rStyle w:val="InstructionsTabelleberschrift"/>
                <w:b w:val="0"/>
                <w:u w:val="none"/>
              </w:rPr>
              <w:t xml:space="preserve">of </w:t>
            </w:r>
            <w:r>
              <w:rPr>
                <w:rStyle w:val="InstructionsTabelleberschrift"/>
                <w:b w:val="0"/>
                <w:u w:val="none"/>
              </w:rPr>
              <w:t>REGULATION (EU) NO 575/2013</w:t>
            </w:r>
          </w:p>
        </w:tc>
      </w:tr>
      <w:tr w:rsidR="00D62381" w:rsidRPr="0017440D" w:rsidTr="00B82DE8">
        <w:tc>
          <w:tcPr>
            <w:tcW w:w="1189" w:type="dxa"/>
            <w:vAlign w:val="center"/>
          </w:tcPr>
          <w:p w:rsidR="00D62381" w:rsidRPr="009855A7" w:rsidDel="00EF432F" w:rsidRDefault="00D62381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152</w:t>
            </w:r>
          </w:p>
        </w:tc>
        <w:tc>
          <w:tcPr>
            <w:tcW w:w="7560" w:type="dxa"/>
            <w:vAlign w:val="center"/>
          </w:tcPr>
          <w:p w:rsidR="00D62381" w:rsidRDefault="00D62381" w:rsidP="00D6238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1.1.6.1 representing claims</w:t>
            </w:r>
          </w:p>
        </w:tc>
      </w:tr>
      <w:tr w:rsidR="00D62381" w:rsidRPr="0017440D" w:rsidTr="00B82DE8">
        <w:tc>
          <w:tcPr>
            <w:tcW w:w="1189" w:type="dxa"/>
            <w:vAlign w:val="center"/>
          </w:tcPr>
          <w:p w:rsidR="00D62381" w:rsidRPr="009855A7" w:rsidDel="00EF432F" w:rsidRDefault="00437072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153</w:t>
            </w:r>
          </w:p>
        </w:tc>
        <w:tc>
          <w:tcPr>
            <w:tcW w:w="7560" w:type="dxa"/>
            <w:vAlign w:val="center"/>
          </w:tcPr>
          <w:p w:rsidR="00D62381" w:rsidRDefault="00D62381" w:rsidP="00D6238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1.1.6.2 guaranteed by</w:t>
            </w:r>
          </w:p>
        </w:tc>
      </w:tr>
      <w:tr w:rsidR="00D62381" w:rsidRPr="0017440D" w:rsidTr="005418AE">
        <w:tc>
          <w:tcPr>
            <w:tcW w:w="1189" w:type="dxa"/>
            <w:shd w:val="clear" w:color="auto" w:fill="E6E6E6"/>
          </w:tcPr>
          <w:p w:rsidR="00D62381" w:rsidRPr="009855A7" w:rsidRDefault="00437072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160-230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D62381" w:rsidRDefault="00437072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1.1.7 </w:t>
            </w:r>
            <w:r w:rsidR="00D62381" w:rsidRPr="006751B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total shares or units in CIUs with underlying assets specified in Article </w:t>
            </w:r>
            <w:r w:rsidR="00D6238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416(1)</w:t>
            </w:r>
          </w:p>
          <w:p w:rsidR="00D62381" w:rsidRPr="00B37090" w:rsidRDefault="00D62381" w:rsidP="00925542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  <w:r w:rsidRPr="00B37090">
              <w:rPr>
                <w:rStyle w:val="InstructionsTabelleberschrift"/>
                <w:b w:val="0"/>
                <w:u w:val="none"/>
              </w:rPr>
              <w:t>Article 4</w:t>
            </w:r>
            <w:r>
              <w:rPr>
                <w:rStyle w:val="InstructionsTabelleberschrift"/>
                <w:b w:val="0"/>
                <w:u w:val="none"/>
              </w:rPr>
              <w:t>1</w:t>
            </w:r>
            <w:r w:rsidRPr="00B37090">
              <w:rPr>
                <w:rStyle w:val="InstructionsTabelleberschrift"/>
                <w:b w:val="0"/>
                <w:u w:val="none"/>
              </w:rPr>
              <w:t>6</w:t>
            </w:r>
            <w:r>
              <w:rPr>
                <w:rStyle w:val="InstructionsTabelleberschrift"/>
                <w:b w:val="0"/>
                <w:u w:val="none"/>
              </w:rPr>
              <w:t>(6)</w:t>
            </w:r>
            <w:r w:rsidRPr="00B37090">
              <w:rPr>
                <w:rStyle w:val="InstructionsTabelleberschrift"/>
                <w:b w:val="0"/>
                <w:u w:val="none"/>
              </w:rPr>
              <w:t xml:space="preserve"> of </w:t>
            </w:r>
            <w:r w:rsidR="00A73395">
              <w:rPr>
                <w:rStyle w:val="InstructionsTabelleberschrift"/>
                <w:b w:val="0"/>
                <w:u w:val="none"/>
              </w:rPr>
              <w:t>REGULATION (EU) NO 575/2013</w:t>
            </w:r>
            <w:r w:rsidRPr="00B37090">
              <w:rPr>
                <w:rStyle w:val="InstructionsTabelleberschrift"/>
                <w:b w:val="0"/>
                <w:u w:val="none"/>
              </w:rPr>
              <w:t xml:space="preserve"> </w:t>
            </w:r>
          </w:p>
          <w:p w:rsidR="00D62381" w:rsidRPr="00B37090" w:rsidRDefault="00D62381" w:rsidP="00925542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</w:p>
          <w:p w:rsidR="00D62381" w:rsidRDefault="00D62381" w:rsidP="005418AE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  <w:r w:rsidRPr="00B37090">
              <w:rPr>
                <w:rStyle w:val="InstructionsTabelleberschrift"/>
                <w:b w:val="0"/>
                <w:u w:val="none"/>
              </w:rPr>
              <w:t xml:space="preserve">Total market value of shares or units in CIU’s </w:t>
            </w:r>
            <w:r>
              <w:rPr>
                <w:rStyle w:val="InstructionsTabelleberschrift"/>
                <w:b w:val="0"/>
                <w:u w:val="none"/>
              </w:rPr>
              <w:t xml:space="preserve">as referred to in Article </w:t>
            </w:r>
            <w:r w:rsidRPr="00B37090">
              <w:rPr>
                <w:rStyle w:val="InstructionsTabelleberschrift"/>
                <w:b w:val="0"/>
                <w:u w:val="none"/>
              </w:rPr>
              <w:t>4</w:t>
            </w:r>
            <w:r>
              <w:rPr>
                <w:rStyle w:val="InstructionsTabelleberschrift"/>
                <w:b w:val="0"/>
                <w:u w:val="none"/>
              </w:rPr>
              <w:t>1</w:t>
            </w:r>
            <w:r w:rsidRPr="00B37090">
              <w:rPr>
                <w:rStyle w:val="InstructionsTabelleberschrift"/>
                <w:b w:val="0"/>
                <w:u w:val="none"/>
              </w:rPr>
              <w:t>6</w:t>
            </w:r>
            <w:r>
              <w:rPr>
                <w:rStyle w:val="InstructionsTabelleberschrift"/>
                <w:b w:val="0"/>
                <w:u w:val="none"/>
              </w:rPr>
              <w:t>(6)</w:t>
            </w:r>
            <w:r w:rsidRPr="00B37090">
              <w:rPr>
                <w:rStyle w:val="InstructionsTabelleberschrift"/>
                <w:b w:val="0"/>
                <w:u w:val="none"/>
              </w:rPr>
              <w:t xml:space="preserve"> of </w:t>
            </w:r>
            <w:r w:rsidR="00A73395">
              <w:rPr>
                <w:rStyle w:val="InstructionsTabelleberschrift"/>
                <w:b w:val="0"/>
                <w:u w:val="none"/>
              </w:rPr>
              <w:t>REGULATION (EU) NO 575/2013</w:t>
            </w:r>
          </w:p>
          <w:p w:rsidR="00D62381" w:rsidRPr="00925542" w:rsidRDefault="00D62381" w:rsidP="00925542">
            <w:pPr>
              <w:pStyle w:val="InstructionsText"/>
              <w:rPr>
                <w:rStyle w:val="FormatvorlageInstructionsTabelleText"/>
              </w:rPr>
            </w:pPr>
          </w:p>
        </w:tc>
      </w:tr>
      <w:tr w:rsidR="00F92644" w:rsidRPr="0017440D" w:rsidTr="005418AE">
        <w:tc>
          <w:tcPr>
            <w:tcW w:w="1189" w:type="dxa"/>
            <w:shd w:val="clear" w:color="auto" w:fill="E6E6E6"/>
          </w:tcPr>
          <w:p w:rsidR="00F92644" w:rsidRDefault="00F92644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F92644" w:rsidRDefault="00F25924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1.1.7.1 (a) </w:t>
            </w:r>
            <w:r w:rsidRPr="00F25924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underlying assets in point (a) of Article 416(1)</w:t>
            </w:r>
          </w:p>
        </w:tc>
      </w:tr>
      <w:tr w:rsidR="00F92644" w:rsidRPr="0017440D" w:rsidTr="005418AE">
        <w:tc>
          <w:tcPr>
            <w:tcW w:w="1189" w:type="dxa"/>
            <w:shd w:val="clear" w:color="auto" w:fill="E6E6E6"/>
          </w:tcPr>
          <w:p w:rsidR="00F92644" w:rsidRDefault="00F92644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F92644" w:rsidRDefault="00F25924" w:rsidP="00F25924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1.1.7.2 (a)</w:t>
            </w:r>
            <w:r>
              <w:t xml:space="preserve"> </w:t>
            </w:r>
            <w:r w:rsidRPr="00F25924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underlying assets in point (b) and (c) of Article 416(1)</w:t>
            </w:r>
          </w:p>
        </w:tc>
      </w:tr>
      <w:tr w:rsidR="00F92644" w:rsidRPr="0017440D" w:rsidTr="005418AE">
        <w:tc>
          <w:tcPr>
            <w:tcW w:w="1189" w:type="dxa"/>
            <w:shd w:val="clear" w:color="auto" w:fill="E6E6E6"/>
          </w:tcPr>
          <w:p w:rsidR="00F92644" w:rsidRDefault="00F92644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175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F92644" w:rsidRDefault="00F25924" w:rsidP="00F25924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1.1.7.3 (a)</w:t>
            </w:r>
            <w:r w:rsidRPr="00F25924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underlying assets in point (d) of Article 416(1)</w:t>
            </w:r>
          </w:p>
        </w:tc>
      </w:tr>
      <w:tr w:rsidR="00D62381" w:rsidRPr="0017440D" w:rsidTr="00B82DE8">
        <w:tc>
          <w:tcPr>
            <w:tcW w:w="1189" w:type="dxa"/>
            <w:vAlign w:val="center"/>
          </w:tcPr>
          <w:p w:rsidR="00D62381" w:rsidRPr="009855A7" w:rsidRDefault="000D3D09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18</w:t>
            </w:r>
            <w:r w:rsidR="00F92644">
              <w:rPr>
                <w:rFonts w:cs="Arial"/>
                <w:szCs w:val="20"/>
              </w:rPr>
              <w:t>0</w:t>
            </w:r>
          </w:p>
        </w:tc>
        <w:tc>
          <w:tcPr>
            <w:tcW w:w="7560" w:type="dxa"/>
            <w:vAlign w:val="center"/>
          </w:tcPr>
          <w:p w:rsidR="00D62381" w:rsidRPr="00F11C9C" w:rsidRDefault="000D3D09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1.1.7.1 (b) </w:t>
            </w:r>
            <w:r w:rsidR="00D6238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D62381" w:rsidRPr="0017440D" w:rsidTr="00B82DE8">
        <w:tc>
          <w:tcPr>
            <w:tcW w:w="1189" w:type="dxa"/>
            <w:vAlign w:val="center"/>
          </w:tcPr>
          <w:p w:rsidR="00D62381" w:rsidRPr="009855A7" w:rsidRDefault="000D3D09" w:rsidP="000D3D09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190</w:t>
            </w:r>
          </w:p>
        </w:tc>
        <w:tc>
          <w:tcPr>
            <w:tcW w:w="7560" w:type="dxa"/>
            <w:vAlign w:val="center"/>
          </w:tcPr>
          <w:p w:rsidR="00D62381" w:rsidRPr="00F11C9C" w:rsidRDefault="000D3D09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1.1.7.2 (b) </w:t>
            </w:r>
            <w:r w:rsidR="00D6238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D62381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D62381" w:rsidRPr="0017440D" w:rsidTr="00B82DE8">
        <w:tc>
          <w:tcPr>
            <w:tcW w:w="1189" w:type="dxa"/>
            <w:vAlign w:val="center"/>
          </w:tcPr>
          <w:p w:rsidR="00D62381" w:rsidRPr="009855A7" w:rsidRDefault="00F92644" w:rsidP="000D3D09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2</w:t>
            </w:r>
            <w:r w:rsidR="000D3D09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7560" w:type="dxa"/>
            <w:vAlign w:val="center"/>
          </w:tcPr>
          <w:p w:rsidR="00D62381" w:rsidRPr="00F11C9C" w:rsidRDefault="000D3D09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1.1.7.3 (b) </w:t>
            </w:r>
            <w:r w:rsidR="00D6238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D62381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</w:t>
            </w:r>
            <w:r w:rsidR="00D62381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lastRenderedPageBreak/>
              <w:t>6 months</w:t>
            </w:r>
          </w:p>
        </w:tc>
      </w:tr>
      <w:tr w:rsidR="00D62381" w:rsidRPr="0017440D" w:rsidTr="00B82DE8">
        <w:tc>
          <w:tcPr>
            <w:tcW w:w="1189" w:type="dxa"/>
            <w:vAlign w:val="center"/>
          </w:tcPr>
          <w:p w:rsidR="00D62381" w:rsidRPr="009855A7" w:rsidRDefault="00F92644" w:rsidP="000D3D09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lastRenderedPageBreak/>
              <w:t>2</w:t>
            </w:r>
            <w:r w:rsidR="000D3D09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7560" w:type="dxa"/>
            <w:vAlign w:val="center"/>
          </w:tcPr>
          <w:p w:rsidR="00D62381" w:rsidRPr="00F11C9C" w:rsidRDefault="000D3D09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1.1.7.4 (b) </w:t>
            </w:r>
            <w:r w:rsidR="00D6238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D62381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D62381" w:rsidRPr="0017440D" w:rsidTr="00B82DE8">
        <w:tc>
          <w:tcPr>
            <w:tcW w:w="1189" w:type="dxa"/>
            <w:vAlign w:val="center"/>
          </w:tcPr>
          <w:p w:rsidR="00D62381" w:rsidRPr="009855A7" w:rsidRDefault="000D3D09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22</w:t>
            </w:r>
            <w:r w:rsidR="00F92644">
              <w:rPr>
                <w:rFonts w:cs="Arial"/>
                <w:szCs w:val="20"/>
              </w:rPr>
              <w:t>0</w:t>
            </w:r>
          </w:p>
        </w:tc>
        <w:tc>
          <w:tcPr>
            <w:tcW w:w="7560" w:type="dxa"/>
            <w:vAlign w:val="center"/>
          </w:tcPr>
          <w:p w:rsidR="00D62381" w:rsidRPr="00F11C9C" w:rsidRDefault="000D3D09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1.1.7.5 (b) </w:t>
            </w:r>
            <w:r w:rsidR="00D6238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D62381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D62381" w:rsidRPr="0017440D" w:rsidTr="00B82DE8">
        <w:tc>
          <w:tcPr>
            <w:tcW w:w="1189" w:type="dxa"/>
            <w:vAlign w:val="center"/>
          </w:tcPr>
          <w:p w:rsidR="00D62381" w:rsidRPr="009855A7" w:rsidRDefault="000D3D09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230</w:t>
            </w:r>
          </w:p>
        </w:tc>
        <w:tc>
          <w:tcPr>
            <w:tcW w:w="7560" w:type="dxa"/>
            <w:vAlign w:val="center"/>
          </w:tcPr>
          <w:p w:rsidR="00D62381" w:rsidRPr="00F11C9C" w:rsidRDefault="000D3D09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1.1.7.6 (b) </w:t>
            </w:r>
            <w:r w:rsidR="00D6238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D62381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B19C1" w:rsidRPr="0017440D" w:rsidTr="00B82DE8">
        <w:tc>
          <w:tcPr>
            <w:tcW w:w="1189" w:type="dxa"/>
            <w:vAlign w:val="center"/>
          </w:tcPr>
          <w:p w:rsidR="00BB19C1" w:rsidRPr="009855A7" w:rsidDel="000D3D09" w:rsidRDefault="00BB19C1" w:rsidP="00B82DE8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232-233</w:t>
            </w:r>
          </w:p>
        </w:tc>
        <w:tc>
          <w:tcPr>
            <w:tcW w:w="7560" w:type="dxa"/>
            <w:vAlign w:val="center"/>
          </w:tcPr>
          <w:p w:rsidR="00BB19C1" w:rsidRDefault="00BB19C1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1.1.8 </w:t>
            </w:r>
            <w:r w:rsidRPr="00BB19C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deposits with the central credit institution and other statutory or contractually available liquid funding from a central credit institution or institutions that are members of a network referred to in Article 113(7) or eligible for the waiver provided in Article 10 </w:t>
            </w:r>
            <w:r w:rsidR="00A7339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REGULATION (EU) NO 575/2013</w:t>
            </w:r>
            <w:r w:rsidRPr="00BB19C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, to the extent that this funding is not collateralized by liquid assets  </w:t>
            </w:r>
          </w:p>
        </w:tc>
      </w:tr>
      <w:tr w:rsidR="00BB19C1" w:rsidRPr="0017440D" w:rsidTr="00B82DE8">
        <w:tc>
          <w:tcPr>
            <w:tcW w:w="1189" w:type="dxa"/>
            <w:shd w:val="clear" w:color="auto" w:fill="E6E6E6"/>
            <w:vAlign w:val="center"/>
          </w:tcPr>
          <w:p w:rsidR="00BB19C1" w:rsidRPr="009855A7" w:rsidDel="00BB19C1" w:rsidRDefault="00BB19C1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232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B19C1" w:rsidRPr="00F11C9C" w:rsidRDefault="00BB19C1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1.1.8.1 deposits</w:t>
            </w:r>
          </w:p>
        </w:tc>
      </w:tr>
      <w:tr w:rsidR="00BB19C1" w:rsidRPr="0017440D" w:rsidTr="00B82DE8">
        <w:tc>
          <w:tcPr>
            <w:tcW w:w="1189" w:type="dxa"/>
            <w:shd w:val="clear" w:color="auto" w:fill="E6E6E6"/>
            <w:vAlign w:val="center"/>
          </w:tcPr>
          <w:p w:rsidR="00BB19C1" w:rsidRPr="009855A7" w:rsidDel="00BB19C1" w:rsidRDefault="00BB19C1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233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B19C1" w:rsidRPr="00F11C9C" w:rsidRDefault="00603E69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1.1.8.2 contractually available funding</w:t>
            </w:r>
          </w:p>
        </w:tc>
      </w:tr>
      <w:tr w:rsidR="00603E69" w:rsidRPr="0017440D" w:rsidTr="00B82DE8">
        <w:tc>
          <w:tcPr>
            <w:tcW w:w="1189" w:type="dxa"/>
            <w:shd w:val="clear" w:color="auto" w:fill="E6E6E6"/>
            <w:vAlign w:val="center"/>
          </w:tcPr>
          <w:p w:rsidR="00603E69" w:rsidRPr="009855A7" w:rsidDel="00BB19C1" w:rsidRDefault="00603E69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234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603E69" w:rsidRPr="00F11C9C" w:rsidRDefault="00603E69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1.1.9 </w:t>
            </w:r>
            <w:r w:rsidRPr="00603E69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Assets issued by a credit institution which has been set up by a Member State central or regional government where at least one of the conditions in Article 416(2)(a)(iii) is met</w:t>
            </w:r>
          </w:p>
        </w:tc>
      </w:tr>
      <w:tr w:rsidR="00603E69" w:rsidRPr="0017440D" w:rsidTr="00B82DE8">
        <w:tc>
          <w:tcPr>
            <w:tcW w:w="1189" w:type="dxa"/>
            <w:shd w:val="clear" w:color="auto" w:fill="E6E6E6"/>
            <w:vAlign w:val="center"/>
          </w:tcPr>
          <w:p w:rsidR="00603E69" w:rsidRPr="009855A7" w:rsidDel="00BB19C1" w:rsidRDefault="00603E69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240-290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603E69" w:rsidRDefault="00603E69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1.1.10 Other transferable assets not specified elsewhere</w:t>
            </w:r>
          </w:p>
          <w:p w:rsidR="00B90981" w:rsidRPr="00F11C9C" w:rsidRDefault="00B90981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07595C" w:rsidRPr="0017440D" w:rsidTr="00B82DE8">
        <w:tc>
          <w:tcPr>
            <w:tcW w:w="1189" w:type="dxa"/>
            <w:shd w:val="clear" w:color="auto" w:fill="E6E6E6"/>
            <w:vAlign w:val="center"/>
          </w:tcPr>
          <w:p w:rsidR="0007595C" w:rsidRPr="009855A7" w:rsidDel="00BB19C1" w:rsidRDefault="0007595C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7595C" w:rsidRPr="00F11C9C" w:rsidRDefault="0007595C" w:rsidP="0007595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1.1.10.1 amount unencumbered</w:t>
            </w:r>
          </w:p>
        </w:tc>
      </w:tr>
      <w:tr w:rsidR="0007595C" w:rsidRPr="0017440D" w:rsidTr="00B82DE8">
        <w:tc>
          <w:tcPr>
            <w:tcW w:w="1189" w:type="dxa"/>
            <w:shd w:val="clear" w:color="auto" w:fill="E6E6E6"/>
            <w:vAlign w:val="center"/>
          </w:tcPr>
          <w:p w:rsidR="0007595C" w:rsidRPr="009855A7" w:rsidDel="00BB19C1" w:rsidRDefault="0007595C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7595C" w:rsidRPr="00F11C9C" w:rsidRDefault="0007595C" w:rsidP="0007595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1.1.10.2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07595C" w:rsidRPr="0017440D" w:rsidTr="00B82DE8">
        <w:tc>
          <w:tcPr>
            <w:tcW w:w="1189" w:type="dxa"/>
            <w:shd w:val="clear" w:color="auto" w:fill="E6E6E6"/>
            <w:vAlign w:val="center"/>
          </w:tcPr>
          <w:p w:rsidR="0007595C" w:rsidRPr="009855A7" w:rsidDel="00BB19C1" w:rsidRDefault="0007595C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7595C" w:rsidRPr="00F11C9C" w:rsidRDefault="0007595C" w:rsidP="0007595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1.1.10.3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07595C" w:rsidRPr="0017440D" w:rsidTr="00B82DE8">
        <w:tc>
          <w:tcPr>
            <w:tcW w:w="1189" w:type="dxa"/>
            <w:shd w:val="clear" w:color="auto" w:fill="E6E6E6"/>
            <w:vAlign w:val="center"/>
          </w:tcPr>
          <w:p w:rsidR="0007595C" w:rsidRPr="009855A7" w:rsidDel="00BB19C1" w:rsidRDefault="0007595C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7595C" w:rsidRPr="00F11C9C" w:rsidRDefault="0007595C" w:rsidP="0060140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</w:t>
            </w:r>
            <w:r w:rsidR="00601402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10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.4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07595C" w:rsidRPr="0017440D" w:rsidTr="00B82DE8">
        <w:tc>
          <w:tcPr>
            <w:tcW w:w="1189" w:type="dxa"/>
            <w:shd w:val="clear" w:color="auto" w:fill="E6E6E6"/>
            <w:vAlign w:val="center"/>
          </w:tcPr>
          <w:p w:rsidR="0007595C" w:rsidRPr="009855A7" w:rsidDel="00BB19C1" w:rsidRDefault="0007595C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7595C" w:rsidRPr="00F11C9C" w:rsidRDefault="0007595C" w:rsidP="0060140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</w:t>
            </w:r>
            <w:r w:rsidR="00601402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10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.5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07595C" w:rsidRPr="0017440D" w:rsidTr="00B82DE8">
        <w:tc>
          <w:tcPr>
            <w:tcW w:w="1189" w:type="dxa"/>
            <w:shd w:val="clear" w:color="auto" w:fill="E6E6E6"/>
            <w:vAlign w:val="center"/>
          </w:tcPr>
          <w:p w:rsidR="0007595C" w:rsidRPr="009855A7" w:rsidDel="00BB19C1" w:rsidRDefault="0007595C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7595C" w:rsidRPr="00F11C9C" w:rsidRDefault="0007595C" w:rsidP="0060140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</w:t>
            </w:r>
            <w:r w:rsidR="00601402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10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.6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601402" w:rsidRPr="0017440D" w:rsidTr="00B82DE8">
        <w:tc>
          <w:tcPr>
            <w:tcW w:w="1189" w:type="dxa"/>
            <w:shd w:val="clear" w:color="auto" w:fill="E6E6E6"/>
            <w:vAlign w:val="center"/>
          </w:tcPr>
          <w:p w:rsidR="00601402" w:rsidRPr="009855A7" w:rsidDel="00BB19C1" w:rsidRDefault="00601402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300-350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601402" w:rsidRDefault="00840A63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1.1.11 Non financial corporate bonds</w:t>
            </w:r>
          </w:p>
          <w:p w:rsidR="00840A63" w:rsidRPr="00F11C9C" w:rsidRDefault="00840A63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Article 416(1)(b) or (d) of </w:t>
            </w:r>
            <w:r w:rsidR="00A7339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REGULATION (EU) NO 575/2013</w:t>
            </w:r>
          </w:p>
        </w:tc>
      </w:tr>
      <w:tr w:rsidR="00840A63" w:rsidRPr="0017440D" w:rsidTr="00B82DE8">
        <w:tc>
          <w:tcPr>
            <w:tcW w:w="1189" w:type="dxa"/>
            <w:shd w:val="clear" w:color="auto" w:fill="E6E6E6"/>
            <w:vAlign w:val="center"/>
          </w:tcPr>
          <w:p w:rsidR="00840A63" w:rsidRPr="009855A7" w:rsidDel="00BB19C1" w:rsidRDefault="00840A63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840A63" w:rsidRPr="00F11C9C" w:rsidRDefault="00840A63" w:rsidP="00840A63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1.1.11.1 amount unencumbered</w:t>
            </w:r>
          </w:p>
        </w:tc>
      </w:tr>
      <w:tr w:rsidR="00840A63" w:rsidRPr="0017440D" w:rsidTr="00B82DE8">
        <w:tc>
          <w:tcPr>
            <w:tcW w:w="1189" w:type="dxa"/>
            <w:shd w:val="clear" w:color="auto" w:fill="E6E6E6"/>
            <w:vAlign w:val="center"/>
          </w:tcPr>
          <w:p w:rsidR="00840A63" w:rsidRPr="009855A7" w:rsidDel="00BB19C1" w:rsidRDefault="00840A63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840A63" w:rsidRPr="00F11C9C" w:rsidRDefault="00840A63" w:rsidP="00840A63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1.1.11.2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840A63" w:rsidRPr="0017440D" w:rsidTr="00B82DE8">
        <w:tc>
          <w:tcPr>
            <w:tcW w:w="1189" w:type="dxa"/>
            <w:shd w:val="clear" w:color="auto" w:fill="E6E6E6"/>
            <w:vAlign w:val="center"/>
          </w:tcPr>
          <w:p w:rsidR="00840A63" w:rsidRPr="009855A7" w:rsidDel="00BB19C1" w:rsidRDefault="00840A63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840A63" w:rsidRPr="00F11C9C" w:rsidRDefault="00840A63" w:rsidP="00840A63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1.1.11.3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840A63" w:rsidRPr="0017440D" w:rsidTr="00B82DE8">
        <w:tc>
          <w:tcPr>
            <w:tcW w:w="1189" w:type="dxa"/>
            <w:shd w:val="clear" w:color="auto" w:fill="E6E6E6"/>
            <w:vAlign w:val="center"/>
          </w:tcPr>
          <w:p w:rsidR="00840A63" w:rsidRPr="009855A7" w:rsidDel="00BB19C1" w:rsidRDefault="00840A63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330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840A63" w:rsidRPr="00F11C9C" w:rsidRDefault="00840A63" w:rsidP="00840A63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1.1.11.4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840A63" w:rsidRPr="0017440D" w:rsidTr="00B82DE8">
        <w:tc>
          <w:tcPr>
            <w:tcW w:w="1189" w:type="dxa"/>
            <w:shd w:val="clear" w:color="auto" w:fill="E6E6E6"/>
            <w:vAlign w:val="center"/>
          </w:tcPr>
          <w:p w:rsidR="00840A63" w:rsidRPr="009855A7" w:rsidDel="00BB19C1" w:rsidRDefault="00840A63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840A63" w:rsidRPr="00F11C9C" w:rsidRDefault="00840A63" w:rsidP="00840A63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1.1.11.5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840A63" w:rsidRPr="0017440D" w:rsidTr="00B82DE8">
        <w:tc>
          <w:tcPr>
            <w:tcW w:w="1189" w:type="dxa"/>
            <w:shd w:val="clear" w:color="auto" w:fill="E6E6E6"/>
            <w:vAlign w:val="center"/>
          </w:tcPr>
          <w:p w:rsidR="00840A63" w:rsidRPr="009855A7" w:rsidDel="00BB19C1" w:rsidRDefault="00840A63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840A63" w:rsidRPr="00F11C9C" w:rsidRDefault="00840A63" w:rsidP="00840A63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1.1.11.6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F65696" w:rsidRPr="0017440D" w:rsidTr="00B82DE8">
        <w:tc>
          <w:tcPr>
            <w:tcW w:w="1189" w:type="dxa"/>
            <w:shd w:val="clear" w:color="auto" w:fill="E6E6E6"/>
            <w:vAlign w:val="center"/>
          </w:tcPr>
          <w:p w:rsidR="00F65696" w:rsidRPr="009855A7" w:rsidDel="00BB19C1" w:rsidRDefault="00F65696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351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F65696" w:rsidRPr="00F11C9C" w:rsidRDefault="000B766F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1.1.12 </w:t>
            </w:r>
            <w:r w:rsidRPr="000B766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non residential mortgage backed instruments issued by a credit institution if </w:t>
            </w:r>
            <w:proofErr w:type="spellStart"/>
            <w:r w:rsidRPr="000B766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demostrated</w:t>
            </w:r>
            <w:proofErr w:type="spellEnd"/>
            <w:r w:rsidRPr="000B766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to be of the </w:t>
            </w:r>
            <w:proofErr w:type="spellStart"/>
            <w:r w:rsidRPr="000B766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hihgest</w:t>
            </w:r>
            <w:proofErr w:type="spellEnd"/>
            <w:r w:rsidRPr="000B766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credit quality as established by EBA pursuant to the criteria in Art. 509 (3),(4) and (5) </w:t>
            </w:r>
            <w:r w:rsidR="00A7339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REGULATION (EU) NO 575/2013</w:t>
            </w:r>
          </w:p>
        </w:tc>
      </w:tr>
      <w:tr w:rsidR="000B766F" w:rsidRPr="0017440D" w:rsidTr="00B82DE8">
        <w:tc>
          <w:tcPr>
            <w:tcW w:w="1189" w:type="dxa"/>
            <w:shd w:val="clear" w:color="auto" w:fill="E6E6E6"/>
            <w:vAlign w:val="center"/>
          </w:tcPr>
          <w:p w:rsidR="000B766F" w:rsidRPr="009855A7" w:rsidDel="00BB19C1" w:rsidRDefault="000B766F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352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B766F" w:rsidRPr="00F11C9C" w:rsidRDefault="000B766F" w:rsidP="000B766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1.1.12.1 amount unencumbered</w:t>
            </w:r>
          </w:p>
        </w:tc>
      </w:tr>
      <w:tr w:rsidR="000B766F" w:rsidRPr="0017440D" w:rsidTr="00B82DE8">
        <w:tc>
          <w:tcPr>
            <w:tcW w:w="1189" w:type="dxa"/>
            <w:shd w:val="clear" w:color="auto" w:fill="E6E6E6"/>
            <w:vAlign w:val="center"/>
          </w:tcPr>
          <w:p w:rsidR="000B766F" w:rsidRPr="009855A7" w:rsidDel="00BB19C1" w:rsidRDefault="000B766F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353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B766F" w:rsidRPr="00F11C9C" w:rsidRDefault="000B766F" w:rsidP="000B766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1.1.12.2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0B766F" w:rsidRPr="0017440D" w:rsidTr="00B82DE8">
        <w:tc>
          <w:tcPr>
            <w:tcW w:w="1189" w:type="dxa"/>
            <w:shd w:val="clear" w:color="auto" w:fill="E6E6E6"/>
            <w:vAlign w:val="center"/>
          </w:tcPr>
          <w:p w:rsidR="000B766F" w:rsidRPr="009855A7" w:rsidDel="00BB19C1" w:rsidRDefault="000B766F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354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B766F" w:rsidRPr="00F11C9C" w:rsidRDefault="000B766F" w:rsidP="000B766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1.1.12.3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0B766F" w:rsidRPr="0017440D" w:rsidTr="00B82DE8">
        <w:tc>
          <w:tcPr>
            <w:tcW w:w="1189" w:type="dxa"/>
            <w:shd w:val="clear" w:color="auto" w:fill="E6E6E6"/>
            <w:vAlign w:val="center"/>
          </w:tcPr>
          <w:p w:rsidR="000B766F" w:rsidRPr="009855A7" w:rsidDel="00BB19C1" w:rsidRDefault="000B766F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355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B766F" w:rsidRPr="00F11C9C" w:rsidRDefault="000B766F" w:rsidP="000B766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1.1.12.4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0B766F" w:rsidRPr="0017440D" w:rsidTr="00B82DE8">
        <w:tc>
          <w:tcPr>
            <w:tcW w:w="1189" w:type="dxa"/>
            <w:shd w:val="clear" w:color="auto" w:fill="E6E6E6"/>
            <w:vAlign w:val="center"/>
          </w:tcPr>
          <w:p w:rsidR="000B766F" w:rsidRPr="009855A7" w:rsidDel="00BB19C1" w:rsidRDefault="000B766F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356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B766F" w:rsidRPr="00F11C9C" w:rsidRDefault="000B766F" w:rsidP="000B766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1.1.12.5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0B766F" w:rsidRPr="0017440D" w:rsidTr="00B82DE8">
        <w:tc>
          <w:tcPr>
            <w:tcW w:w="1189" w:type="dxa"/>
            <w:shd w:val="clear" w:color="auto" w:fill="E6E6E6"/>
            <w:vAlign w:val="center"/>
          </w:tcPr>
          <w:p w:rsidR="000B766F" w:rsidRPr="009855A7" w:rsidDel="00BB19C1" w:rsidRDefault="000B766F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357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0B766F" w:rsidRPr="00F11C9C" w:rsidRDefault="000B766F" w:rsidP="000B766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1.1.12.6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2070F1" w:rsidRPr="0017440D" w:rsidTr="00B82DE8">
        <w:tc>
          <w:tcPr>
            <w:tcW w:w="1189" w:type="dxa"/>
            <w:shd w:val="clear" w:color="auto" w:fill="E6E6E6"/>
            <w:vAlign w:val="center"/>
          </w:tcPr>
          <w:p w:rsidR="002070F1" w:rsidRPr="009855A7" w:rsidDel="00BB19C1" w:rsidRDefault="002070F1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358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2070F1" w:rsidRPr="00F11C9C" w:rsidRDefault="00B718F2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1.1.13 </w:t>
            </w:r>
            <w:r w:rsidRPr="00B718F2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residential mortgage backed instruments issued by a credit institution if demo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n</w:t>
            </w:r>
            <w:r w:rsidRPr="00B718F2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strated to be of the </w:t>
            </w:r>
            <w:proofErr w:type="spellStart"/>
            <w:r w:rsidRPr="00B718F2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hihgest</w:t>
            </w:r>
            <w:proofErr w:type="spellEnd"/>
            <w:r w:rsidRPr="00B718F2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credit quality as established by EBA pursuant to the criteria in Art. 509 (3),(4) and (5) </w:t>
            </w:r>
            <w:r w:rsidR="00A7339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REGULATION (EU) NO 575/2013</w:t>
            </w:r>
          </w:p>
        </w:tc>
      </w:tr>
      <w:tr w:rsidR="00B718F2" w:rsidRPr="0017440D" w:rsidTr="00B82DE8">
        <w:tc>
          <w:tcPr>
            <w:tcW w:w="1189" w:type="dxa"/>
            <w:shd w:val="clear" w:color="auto" w:fill="E6E6E6"/>
            <w:vAlign w:val="center"/>
          </w:tcPr>
          <w:p w:rsidR="00B718F2" w:rsidRPr="009855A7" w:rsidDel="00BB19C1" w:rsidRDefault="00B718F2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359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718F2" w:rsidRPr="00F11C9C" w:rsidRDefault="00B718F2" w:rsidP="00B718F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1.1.13.1 amount unencumbered</w:t>
            </w:r>
          </w:p>
        </w:tc>
      </w:tr>
      <w:tr w:rsidR="00B718F2" w:rsidRPr="0017440D" w:rsidTr="00B82DE8">
        <w:tc>
          <w:tcPr>
            <w:tcW w:w="1189" w:type="dxa"/>
            <w:shd w:val="clear" w:color="auto" w:fill="E6E6E6"/>
            <w:vAlign w:val="center"/>
          </w:tcPr>
          <w:p w:rsidR="00B718F2" w:rsidRPr="009855A7" w:rsidDel="00BB19C1" w:rsidRDefault="00B718F2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718F2" w:rsidRPr="00F11C9C" w:rsidRDefault="00B718F2" w:rsidP="00B718F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1.1.13.2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718F2" w:rsidRPr="0017440D" w:rsidTr="00B82DE8">
        <w:tc>
          <w:tcPr>
            <w:tcW w:w="1189" w:type="dxa"/>
            <w:shd w:val="clear" w:color="auto" w:fill="E6E6E6"/>
            <w:vAlign w:val="center"/>
          </w:tcPr>
          <w:p w:rsidR="00B718F2" w:rsidRPr="009855A7" w:rsidDel="00BB19C1" w:rsidRDefault="00B718F2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361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718F2" w:rsidRPr="00F11C9C" w:rsidRDefault="00B718F2" w:rsidP="00B718F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1.1.13.3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718F2" w:rsidRPr="0017440D" w:rsidTr="00B82DE8">
        <w:tc>
          <w:tcPr>
            <w:tcW w:w="1189" w:type="dxa"/>
            <w:shd w:val="clear" w:color="auto" w:fill="E6E6E6"/>
            <w:vAlign w:val="center"/>
          </w:tcPr>
          <w:p w:rsidR="00B718F2" w:rsidRPr="009855A7" w:rsidDel="00BB19C1" w:rsidRDefault="00B718F2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362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718F2" w:rsidRPr="00F11C9C" w:rsidRDefault="00B718F2" w:rsidP="00B718F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1.1.13.4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718F2" w:rsidRPr="0017440D" w:rsidTr="00B82DE8">
        <w:tc>
          <w:tcPr>
            <w:tcW w:w="1189" w:type="dxa"/>
            <w:shd w:val="clear" w:color="auto" w:fill="E6E6E6"/>
            <w:vAlign w:val="center"/>
          </w:tcPr>
          <w:p w:rsidR="00B718F2" w:rsidRPr="009855A7" w:rsidDel="00BB19C1" w:rsidRDefault="00B718F2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363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718F2" w:rsidRPr="00F11C9C" w:rsidRDefault="00B718F2" w:rsidP="00B718F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1.1.13.5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718F2" w:rsidRPr="0017440D" w:rsidTr="00B82DE8">
        <w:tc>
          <w:tcPr>
            <w:tcW w:w="1189" w:type="dxa"/>
            <w:shd w:val="clear" w:color="auto" w:fill="E6E6E6"/>
            <w:vAlign w:val="center"/>
          </w:tcPr>
          <w:p w:rsidR="00B718F2" w:rsidRPr="009855A7" w:rsidDel="00BB19C1" w:rsidRDefault="00B718F2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364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718F2" w:rsidRPr="00F11C9C" w:rsidRDefault="00B718F2" w:rsidP="00B718F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1.1.13.6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AE1FCC" w:rsidRPr="0017440D" w:rsidTr="00B82DE8">
        <w:tc>
          <w:tcPr>
            <w:tcW w:w="1189" w:type="dxa"/>
            <w:shd w:val="clear" w:color="auto" w:fill="E6E6E6"/>
            <w:vAlign w:val="center"/>
          </w:tcPr>
          <w:p w:rsidR="00AE1FCC" w:rsidRPr="009855A7" w:rsidDel="00BB19C1" w:rsidRDefault="00AE1FCC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365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AE1FCC" w:rsidRPr="00F11C9C" w:rsidRDefault="0093307A" w:rsidP="009330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1.1.14 </w:t>
            </w:r>
            <w:r w:rsidRPr="0093307A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bonds eligible for the treatment set out in Art. 129(4) or (5), which meet the criteria in Art. 416(2)(a) </w:t>
            </w:r>
            <w:r w:rsidR="00A7339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REGULATION (EU) NO 575/2013</w:t>
            </w:r>
          </w:p>
        </w:tc>
      </w:tr>
      <w:tr w:rsidR="0093307A" w:rsidRPr="0017440D" w:rsidTr="00B82DE8">
        <w:tc>
          <w:tcPr>
            <w:tcW w:w="1189" w:type="dxa"/>
            <w:shd w:val="clear" w:color="auto" w:fill="E6E6E6"/>
            <w:vAlign w:val="center"/>
          </w:tcPr>
          <w:p w:rsidR="0093307A" w:rsidRPr="009855A7" w:rsidDel="00BB19C1" w:rsidRDefault="0093307A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366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93307A" w:rsidRPr="00F11C9C" w:rsidRDefault="0093307A" w:rsidP="009330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1.1.14.1 amount unencumbered</w:t>
            </w:r>
          </w:p>
        </w:tc>
      </w:tr>
      <w:tr w:rsidR="0093307A" w:rsidRPr="0017440D" w:rsidTr="00B82DE8">
        <w:tc>
          <w:tcPr>
            <w:tcW w:w="1189" w:type="dxa"/>
            <w:shd w:val="clear" w:color="auto" w:fill="E6E6E6"/>
            <w:vAlign w:val="center"/>
          </w:tcPr>
          <w:p w:rsidR="0093307A" w:rsidRPr="009855A7" w:rsidDel="00BB19C1" w:rsidRDefault="0093307A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93307A" w:rsidRPr="00F11C9C" w:rsidRDefault="0093307A" w:rsidP="009330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1.1.14.2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93307A" w:rsidRPr="0017440D" w:rsidTr="00B82DE8">
        <w:tc>
          <w:tcPr>
            <w:tcW w:w="1189" w:type="dxa"/>
            <w:shd w:val="clear" w:color="auto" w:fill="E6E6E6"/>
            <w:vAlign w:val="center"/>
          </w:tcPr>
          <w:p w:rsidR="0093307A" w:rsidRPr="009855A7" w:rsidDel="00BB19C1" w:rsidRDefault="0093307A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93307A" w:rsidRPr="00F11C9C" w:rsidRDefault="0093307A" w:rsidP="009330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1.1.14.3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93307A" w:rsidRPr="0017440D" w:rsidTr="00B82DE8">
        <w:tc>
          <w:tcPr>
            <w:tcW w:w="1189" w:type="dxa"/>
            <w:shd w:val="clear" w:color="auto" w:fill="E6E6E6"/>
            <w:vAlign w:val="center"/>
          </w:tcPr>
          <w:p w:rsidR="0093307A" w:rsidRPr="009855A7" w:rsidDel="00BB19C1" w:rsidRDefault="0093307A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93307A" w:rsidRPr="00F11C9C" w:rsidRDefault="0093307A" w:rsidP="009330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1.1.14.4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93307A" w:rsidRPr="0017440D" w:rsidTr="00B82DE8">
        <w:tc>
          <w:tcPr>
            <w:tcW w:w="1189" w:type="dxa"/>
            <w:shd w:val="clear" w:color="auto" w:fill="E6E6E6"/>
            <w:vAlign w:val="center"/>
          </w:tcPr>
          <w:p w:rsidR="0093307A" w:rsidRPr="009855A7" w:rsidDel="00BB19C1" w:rsidRDefault="0093307A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93307A" w:rsidRPr="00F11C9C" w:rsidRDefault="0093307A" w:rsidP="009330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1.1.14.5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93307A" w:rsidRPr="0017440D" w:rsidTr="00B82DE8">
        <w:tc>
          <w:tcPr>
            <w:tcW w:w="1189" w:type="dxa"/>
            <w:shd w:val="clear" w:color="auto" w:fill="E6E6E6"/>
            <w:vAlign w:val="center"/>
          </w:tcPr>
          <w:p w:rsidR="0093307A" w:rsidRPr="009855A7" w:rsidDel="00BB19C1" w:rsidRDefault="0093307A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410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93307A" w:rsidRPr="00F11C9C" w:rsidRDefault="0093307A" w:rsidP="0093307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1.1.14.6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Del="00BB19C1" w:rsidRDefault="00B37E6B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420-470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B37E6B" w:rsidP="00F11C9C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1.1.15 </w:t>
            </w:r>
            <w:r w:rsidRP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bonds as defined in Article 52(4) of Directive 2009/65/EC other than those referred to in 1.1.9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Del="00BB19C1" w:rsidRDefault="00B37E6B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B37E6B" w:rsidP="00B37E6B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1.1.15.1 amount unencumbered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Del="00BB19C1" w:rsidRDefault="00B37E6B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B37E6B" w:rsidP="00B37E6B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1.1.15.2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Del="00BB19C1" w:rsidRDefault="00B37E6B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B37E6B" w:rsidP="00B37E6B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1.1.15.3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Del="00BB19C1" w:rsidRDefault="00B37E6B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B37E6B" w:rsidP="00B37E6B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1.1.15.4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Del="00BB19C1" w:rsidRDefault="00B37E6B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B37E6B" w:rsidP="00B37E6B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1.1.15.5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Del="00BB19C1" w:rsidRDefault="00B37E6B" w:rsidP="00BB19C1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B37E6B" w:rsidP="00B37E6B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1.1.15.6 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1E4D18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480-530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671D0E" w:rsidRDefault="008E4DE5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1.2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securities and money market instruments not reported in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item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</w:t>
            </w:r>
            <w:r w:rsidR="006F2ED4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, qualifying for credit step 1 under Article 122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4E4414" w:rsidRDefault="00B37E6B" w:rsidP="00C55533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(b) </w:t>
            </w:r>
            <w:r w:rsidR="007546E1">
              <w:rPr>
                <w:rStyle w:val="FormatvorlageInstructionsTabelleText"/>
                <w:szCs w:val="17"/>
                <w:lang w:eastAsia="de-DE"/>
              </w:rPr>
              <w:t>(</w:t>
            </w:r>
            <w:proofErr w:type="spellStart"/>
            <w:r w:rsidR="007546E1">
              <w:rPr>
                <w:rStyle w:val="FormatvorlageInstructionsTabelleText"/>
                <w:szCs w:val="17"/>
                <w:lang w:eastAsia="de-DE"/>
              </w:rPr>
              <w:t>i</w:t>
            </w:r>
            <w:proofErr w:type="spellEnd"/>
            <w:r w:rsidR="007546E1">
              <w:rPr>
                <w:rStyle w:val="FormatvorlageInstructionsTabelleText"/>
                <w:szCs w:val="17"/>
                <w:lang w:eastAsia="de-DE"/>
              </w:rPr>
              <w:t>)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Pr="004E4414" w:rsidRDefault="00B37E6B" w:rsidP="00C55533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Default="00B37E6B" w:rsidP="005418AE">
            <w:pPr>
              <w:pStyle w:val="InstructionsText"/>
              <w:rPr>
                <w:rStyle w:val="FormatvorlageInstructionsTabelleText"/>
              </w:rPr>
            </w:pPr>
            <w:r w:rsidRPr="004E4414">
              <w:rPr>
                <w:rStyle w:val="FormatvorlageInstructionsTabelleText"/>
              </w:rPr>
              <w:t xml:space="preserve">Total securities and money market instruments not already reported in </w:t>
            </w:r>
            <w:r>
              <w:rPr>
                <w:rStyle w:val="FormatvorlageInstructionsTabelleText"/>
              </w:rPr>
              <w:t xml:space="preserve">item </w:t>
            </w:r>
            <w:r w:rsidRPr="004E4414">
              <w:rPr>
                <w:rStyle w:val="FormatvorlageInstructionsTabelleText"/>
              </w:rPr>
              <w:t>1.1</w:t>
            </w:r>
          </w:p>
          <w:p w:rsidR="006F2ED4" w:rsidRDefault="006F2ED4" w:rsidP="005418AE">
            <w:pPr>
              <w:pStyle w:val="InstructionsText"/>
              <w:rPr>
                <w:rStyle w:val="FormatvorlageInstructionsTabelleText"/>
              </w:rPr>
            </w:pPr>
          </w:p>
          <w:p w:rsidR="006F2ED4" w:rsidRDefault="006F2ED4" w:rsidP="005418AE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  <w:r w:rsidRPr="00DF047B">
              <w:rPr>
                <w:rStyle w:val="FormatvorlageInstructionsTabelleText"/>
              </w:rPr>
              <w:t>Total market value of bonds as defined in Article 428(1)(b)</w:t>
            </w:r>
            <w:r>
              <w:rPr>
                <w:rStyle w:val="FormatvorlageInstructionsTabelleText"/>
              </w:rPr>
              <w:t>(</w:t>
            </w:r>
            <w:proofErr w:type="spellStart"/>
            <w:r>
              <w:rPr>
                <w:rStyle w:val="FormatvorlageInstructionsTabelleText"/>
              </w:rPr>
              <w:t>i</w:t>
            </w:r>
            <w:proofErr w:type="spellEnd"/>
            <w:r>
              <w:rPr>
                <w:rStyle w:val="FormatvorlageInstructionsTabelleText"/>
              </w:rPr>
              <w:t>)</w:t>
            </w:r>
            <w:r w:rsidRPr="00DF047B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671D0E" w:rsidRDefault="00B37E6B" w:rsidP="007546E1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E4D18" w:rsidP="001E4D1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480</w:t>
            </w:r>
          </w:p>
        </w:tc>
        <w:tc>
          <w:tcPr>
            <w:tcW w:w="7560" w:type="dxa"/>
            <w:vAlign w:val="center"/>
          </w:tcPr>
          <w:p w:rsidR="00B37E6B" w:rsidRPr="00F11C9C" w:rsidRDefault="008E4DE5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1.2.1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E4D18" w:rsidP="001E4D1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490</w:t>
            </w:r>
          </w:p>
        </w:tc>
        <w:tc>
          <w:tcPr>
            <w:tcW w:w="7560" w:type="dxa"/>
            <w:vAlign w:val="center"/>
          </w:tcPr>
          <w:p w:rsidR="00B37E6B" w:rsidRPr="00F11C9C" w:rsidRDefault="008E4DE5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1.2.2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E4D18" w:rsidP="00D6248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</w:t>
            </w:r>
            <w:r w:rsidR="00D6248F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7560" w:type="dxa"/>
            <w:vAlign w:val="center"/>
          </w:tcPr>
          <w:p w:rsidR="00B37E6B" w:rsidRPr="00F11C9C" w:rsidRDefault="008E4DE5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1.2.3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0C7819" w:rsidP="00D6248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</w:t>
            </w:r>
            <w:r w:rsidR="00D6248F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7560" w:type="dxa"/>
            <w:vAlign w:val="center"/>
          </w:tcPr>
          <w:p w:rsidR="00B37E6B" w:rsidRPr="00F11C9C" w:rsidRDefault="008E4DE5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1.2.4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E4D18" w:rsidP="00D6248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lastRenderedPageBreak/>
              <w:t>5</w:t>
            </w:r>
            <w:r w:rsidR="00D6248F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7560" w:type="dxa"/>
            <w:vAlign w:val="center"/>
          </w:tcPr>
          <w:p w:rsidR="00B37E6B" w:rsidRPr="00F11C9C" w:rsidRDefault="008E4DE5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1.2.5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E4D18" w:rsidP="00D6248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</w:t>
            </w:r>
            <w:r w:rsidR="00D6248F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7560" w:type="dxa"/>
            <w:vAlign w:val="center"/>
          </w:tcPr>
          <w:p w:rsidR="00B37E6B" w:rsidRPr="00F11C9C" w:rsidRDefault="008E4DE5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1.2.6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DD1BC6" w:rsidP="00DF047B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540-590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AE739E" w:rsidRPr="00671D0E" w:rsidRDefault="00AE739E" w:rsidP="00AE739E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</w:t>
            </w:r>
            <w:r w:rsidR="0028510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</w:t>
            </w:r>
            <w:r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securities and money market instruments not reported in 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item </w:t>
            </w:r>
            <w:r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1.1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, qualifying for credit step </w:t>
            </w:r>
            <w:r w:rsidR="00285105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2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under Article 122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671D0E" w:rsidRDefault="00B37E6B" w:rsidP="00DF047B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 w:rsidRPr="00DF047B">
              <w:rPr>
                <w:rStyle w:val="FormatvorlageInstructionsTabelleText"/>
              </w:rPr>
              <w:t>Total market value of bonds as defined in Article 428(1)(b)</w:t>
            </w:r>
            <w:r>
              <w:rPr>
                <w:rStyle w:val="FormatvorlageInstructionsTabelleText"/>
              </w:rPr>
              <w:t>(ii)</w:t>
            </w:r>
            <w:r w:rsidRPr="00DF047B">
              <w:rPr>
                <w:rStyle w:val="FormatvorlageInstructionsTabelleText"/>
              </w:rPr>
              <w:t xml:space="preserve"> of </w:t>
            </w:r>
            <w:r w:rsidR="00A73395">
              <w:rPr>
                <w:rStyle w:val="FormatvorlageInstructionsTabelleText"/>
              </w:rPr>
              <w:t>REGULATION (EU) NO 575/2013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285105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540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85105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1.3.1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285105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550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85105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1.3.2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285105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560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85105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1.3.3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285105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570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85105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1.3.4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285105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580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85105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1.3.5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285105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580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85105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1.3.6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285105" w:rsidP="00A36EE2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600-650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Default="00285105" w:rsidP="00A36EE2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O</w:t>
            </w:r>
            <w:r w:rsidR="00B37E6B" w:rsidRPr="00DF047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ther securities and money market instruments not reported elsewhere</w:t>
            </w:r>
          </w:p>
          <w:p w:rsidR="00B37E6B" w:rsidRDefault="00B37E6B" w:rsidP="00A36EE2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671D0E" w:rsidRDefault="00B37E6B" w:rsidP="00DF047B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 w:rsidRPr="00DF047B">
              <w:rPr>
                <w:rStyle w:val="FormatvorlageInstructionsTabelleText"/>
              </w:rPr>
              <w:t xml:space="preserve">Total market value of </w:t>
            </w:r>
            <w:r w:rsidRPr="00DF047B">
              <w:rPr>
                <w:rStyle w:val="FormatvorlageInstructionsTabelleText"/>
                <w:szCs w:val="17"/>
                <w:lang w:eastAsia="de-DE"/>
              </w:rPr>
              <w:t>bonds as defined in Article 428(1)(b)</w:t>
            </w:r>
            <w:r>
              <w:rPr>
                <w:rStyle w:val="FormatvorlageInstructionsTabelleText"/>
                <w:szCs w:val="17"/>
                <w:lang w:eastAsia="de-DE"/>
              </w:rPr>
              <w:t>(iii)</w:t>
            </w:r>
            <w:r w:rsidRPr="00DF047B">
              <w:rPr>
                <w:rStyle w:val="FormatvorlageInstructionsTabelleText"/>
                <w:szCs w:val="17"/>
                <w:lang w:eastAsia="de-DE"/>
              </w:rPr>
              <w:t xml:space="preserve">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285105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600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B37E6B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25596B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610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B37E6B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1E73C2" w:rsidP="00A36EE2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620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B37E6B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1E73C2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630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B37E6B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1E73C2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640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B37E6B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DF047B">
        <w:tc>
          <w:tcPr>
            <w:tcW w:w="1189" w:type="dxa"/>
            <w:shd w:val="clear" w:color="auto" w:fill="auto"/>
            <w:vAlign w:val="center"/>
          </w:tcPr>
          <w:p w:rsidR="00B37E6B" w:rsidRPr="009855A7" w:rsidRDefault="001E73C2" w:rsidP="00DF047B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650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B37E6B" w:rsidP="00A36EE2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4A1DCC" w:rsidP="004A1DCC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660-710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Default="004A1DCC" w:rsidP="00A36EE2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1.5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equity securities of non-financial entities listed on a major index in a recognised exchange</w:t>
            </w:r>
          </w:p>
          <w:p w:rsidR="00B37E6B" w:rsidRDefault="00B37E6B" w:rsidP="00A36EE2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Default="00B37E6B" w:rsidP="00A36EE2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(c) 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A36EE2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Default="00B37E6B" w:rsidP="00A36EE2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  <w:r w:rsidRPr="004E4414">
              <w:rPr>
                <w:rStyle w:val="FormatvorlageInstructionsTabelleText"/>
              </w:rPr>
              <w:t xml:space="preserve">Total </w:t>
            </w:r>
            <w:r>
              <w:rPr>
                <w:rStyle w:val="FormatvorlageInstructionsTabelleText"/>
              </w:rPr>
              <w:t xml:space="preserve">equity </w:t>
            </w:r>
            <w:r w:rsidRPr="004E4414">
              <w:rPr>
                <w:rStyle w:val="FormatvorlageInstructionsTabelleText"/>
              </w:rPr>
              <w:t xml:space="preserve">securities </w:t>
            </w:r>
            <w:r w:rsidRPr="00F51F44">
              <w:rPr>
                <w:rStyle w:val="FormatvorlageInstructionsTabelleText"/>
              </w:rPr>
              <w:t>of non-financial entities listed on a major index in a recognised exchange</w:t>
            </w:r>
          </w:p>
          <w:p w:rsidR="00B37E6B" w:rsidRPr="00671D0E" w:rsidRDefault="00B37E6B" w:rsidP="00A36EE2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24D0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660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1.5.1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24D0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670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1.5.2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24D0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680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D24D0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1.5.2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24D0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690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1.5.3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24D0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lastRenderedPageBreak/>
              <w:t>700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1.5. 3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24D0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710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1.5.4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D24D0F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720-770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671D0E" w:rsidRDefault="00D24D0F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1.6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other equity securities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Default="00B37E6B" w:rsidP="00F51F44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(</w:t>
            </w:r>
            <w:r>
              <w:rPr>
                <w:rStyle w:val="FormatvorlageInstructionsTabelleText"/>
                <w:szCs w:val="17"/>
                <w:lang w:eastAsia="de-DE"/>
              </w:rPr>
              <w:t>d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) 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F51F44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Default="00B37E6B" w:rsidP="00C55533">
            <w:pPr>
              <w:spacing w:before="0" w:after="0"/>
              <w:jc w:val="left"/>
              <w:rPr>
                <w:rStyle w:val="InstructionsTabelleberschrift"/>
                <w:b w:val="0"/>
                <w:u w:val="none"/>
              </w:rPr>
            </w:pPr>
            <w:r w:rsidRPr="004E4414">
              <w:rPr>
                <w:rStyle w:val="FormatvorlageInstructionsTabelleText"/>
              </w:rPr>
              <w:t xml:space="preserve">Total </w:t>
            </w:r>
            <w:r>
              <w:rPr>
                <w:rStyle w:val="FormatvorlageInstructionsTabelleText"/>
              </w:rPr>
              <w:t xml:space="preserve">equity </w:t>
            </w:r>
            <w:r w:rsidRPr="004E4414">
              <w:rPr>
                <w:rStyle w:val="FormatvorlageInstructionsTabelleText"/>
              </w:rPr>
              <w:t xml:space="preserve">securities </w:t>
            </w:r>
            <w:r>
              <w:rPr>
                <w:rStyle w:val="FormatvorlageInstructionsTabelleText"/>
              </w:rPr>
              <w:t>not reported in 1.3</w:t>
            </w:r>
            <w:r w:rsidRPr="004E4414">
              <w:rPr>
                <w:rStyle w:val="FormatvorlageInstructionsTabelleText"/>
              </w:rPr>
              <w:t xml:space="preserve"> </w:t>
            </w:r>
          </w:p>
          <w:p w:rsidR="00B37E6B" w:rsidRPr="00671D0E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7558A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720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7546E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</w:t>
            </w:r>
            <w:r w:rsidR="007546E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6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7558A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730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7546E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</w:t>
            </w:r>
            <w:r w:rsidR="007546E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6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7558A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740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7546E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</w:t>
            </w:r>
            <w:r w:rsidR="007546E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6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7558A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750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7546E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</w:t>
            </w:r>
            <w:r w:rsidR="007546E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6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</w:t>
            </w:r>
            <w:r w:rsidR="007546E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4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7558A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760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7546E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</w:t>
            </w:r>
            <w:r w:rsidR="007546E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6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</w:t>
            </w:r>
            <w:r w:rsidR="007546E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5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7558A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770</w:t>
            </w:r>
          </w:p>
        </w:tc>
        <w:tc>
          <w:tcPr>
            <w:tcW w:w="7560" w:type="dxa"/>
            <w:vAlign w:val="center"/>
          </w:tcPr>
          <w:p w:rsidR="00B37E6B" w:rsidRPr="00F11C9C" w:rsidRDefault="00D24D0F" w:rsidP="007546E1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</w:t>
            </w:r>
            <w:r w:rsidR="007546E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6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</w:t>
            </w:r>
            <w:r w:rsidR="007546E1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6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D7558A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780-830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671D0E" w:rsidRDefault="00D7558A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1.7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gold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Default="00B37E6B" w:rsidP="00F51F44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(</w:t>
            </w:r>
            <w:r>
              <w:rPr>
                <w:rStyle w:val="FormatvorlageInstructionsTabelleText"/>
                <w:szCs w:val="17"/>
                <w:lang w:eastAsia="de-DE"/>
              </w:rPr>
              <w:t>e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) 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Pr="00671D0E" w:rsidRDefault="00B37E6B" w:rsidP="00A66A60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D7558A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780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D7558A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1.7.1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D7558A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790</w:t>
            </w:r>
          </w:p>
        </w:tc>
        <w:tc>
          <w:tcPr>
            <w:tcW w:w="7560" w:type="dxa"/>
            <w:vAlign w:val="center"/>
          </w:tcPr>
          <w:p w:rsidR="00B37E6B" w:rsidRPr="00F11C9C" w:rsidRDefault="00D7558A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1.7.2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4669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800</w:t>
            </w:r>
          </w:p>
        </w:tc>
        <w:tc>
          <w:tcPr>
            <w:tcW w:w="7560" w:type="dxa"/>
            <w:vAlign w:val="center"/>
          </w:tcPr>
          <w:p w:rsidR="00B37E6B" w:rsidRPr="00F11C9C" w:rsidRDefault="00D7558A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1.7.3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4669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810</w:t>
            </w:r>
          </w:p>
        </w:tc>
        <w:tc>
          <w:tcPr>
            <w:tcW w:w="7560" w:type="dxa"/>
            <w:vAlign w:val="center"/>
          </w:tcPr>
          <w:p w:rsidR="00B37E6B" w:rsidRPr="00F11C9C" w:rsidRDefault="00D7558A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1.7.4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4669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820</w:t>
            </w:r>
          </w:p>
        </w:tc>
        <w:tc>
          <w:tcPr>
            <w:tcW w:w="7560" w:type="dxa"/>
            <w:vAlign w:val="center"/>
          </w:tcPr>
          <w:p w:rsidR="00B37E6B" w:rsidRPr="00F11C9C" w:rsidRDefault="00D7558A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1.7.5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4669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830</w:t>
            </w:r>
          </w:p>
        </w:tc>
        <w:tc>
          <w:tcPr>
            <w:tcW w:w="7560" w:type="dxa"/>
            <w:vAlign w:val="center"/>
          </w:tcPr>
          <w:p w:rsidR="00B37E6B" w:rsidRPr="00F11C9C" w:rsidRDefault="00D7558A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1.7.6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555FF8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840-890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671D0E" w:rsidRDefault="0034669F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1.8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other precious metals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Default="00B37E6B" w:rsidP="00F51F44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(</w:t>
            </w:r>
            <w:r>
              <w:rPr>
                <w:rStyle w:val="FormatvorlageInstructionsTabelleText"/>
                <w:szCs w:val="17"/>
                <w:lang w:eastAsia="de-DE"/>
              </w:rPr>
              <w:t>f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) 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Default="00B37E6B" w:rsidP="00671294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  <w:r w:rsidRPr="004E4414">
              <w:rPr>
                <w:rStyle w:val="FormatvorlageInstructionsTabelleText"/>
              </w:rPr>
              <w:t xml:space="preserve">Total </w:t>
            </w:r>
            <w:r>
              <w:rPr>
                <w:rStyle w:val="FormatvorlageInstructionsTabelleText"/>
              </w:rPr>
              <w:t>holdings of precious metals other than gold</w:t>
            </w:r>
          </w:p>
          <w:p w:rsidR="00B37E6B" w:rsidRDefault="00B37E6B" w:rsidP="00671294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>
              <w:rPr>
                <w:rStyle w:val="FormatvorlageInstructionsTabelleText"/>
                <w:szCs w:val="17"/>
                <w:lang w:eastAsia="de-DE"/>
              </w:rPr>
              <w:t xml:space="preserve">[Note: examples include silver or platinum. </w:t>
            </w:r>
            <w:r w:rsidR="00555FF8">
              <w:rPr>
                <w:rStyle w:val="FormatvorlageInstructionsTabelleText"/>
                <w:szCs w:val="17"/>
                <w:lang w:eastAsia="de-DE"/>
              </w:rPr>
              <w:t>G</w:t>
            </w:r>
            <w:r>
              <w:rPr>
                <w:rStyle w:val="FormatvorlageInstructionsTabelleText"/>
                <w:szCs w:val="17"/>
                <w:lang w:eastAsia="de-DE"/>
              </w:rPr>
              <w:t xml:space="preserve">old </w:t>
            </w:r>
            <w:r w:rsidR="00E15312">
              <w:rPr>
                <w:rStyle w:val="FormatvorlageInstructionsTabelleText"/>
                <w:szCs w:val="17"/>
                <w:lang w:eastAsia="de-DE"/>
              </w:rPr>
              <w:t>shall</w:t>
            </w:r>
            <w:r>
              <w:rPr>
                <w:rStyle w:val="FormatvorlageInstructionsTabelleText"/>
                <w:szCs w:val="17"/>
                <w:lang w:eastAsia="de-DE"/>
              </w:rPr>
              <w:t xml:space="preserve"> be reported in item 1.5 instead.]</w:t>
            </w:r>
          </w:p>
          <w:p w:rsidR="00B37E6B" w:rsidRPr="00C46BDB" w:rsidRDefault="00B37E6B" w:rsidP="00C55533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555FF8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840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555FF8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1.8.1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555FF8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850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555FF8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1.8.2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555FF8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860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555FF8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1.8.3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lastRenderedPageBreak/>
              <w:t>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555FF8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lastRenderedPageBreak/>
              <w:t>870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555FF8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1.8.4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555FF8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880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555FF8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1.8.5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555FF8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890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555FF8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1.8.6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2A005B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900-1250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671D0E" w:rsidRDefault="00FD0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non-renewable loans and receivables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Default="00B37E6B" w:rsidP="00F51F44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(</w:t>
            </w:r>
            <w:r>
              <w:rPr>
                <w:rStyle w:val="FormatvorlageInstructionsTabelleText"/>
                <w:szCs w:val="17"/>
                <w:lang w:eastAsia="de-DE"/>
              </w:rPr>
              <w:t>g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)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F51F44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Default="00B37E6B" w:rsidP="00D913EA">
            <w:pPr>
              <w:spacing w:before="0" w:after="0"/>
              <w:jc w:val="lef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non-renewable loans and receivables as referred to in 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>(</w:t>
            </w:r>
            <w:r>
              <w:rPr>
                <w:rStyle w:val="FormatvorlageInstructionsTabelleText"/>
                <w:szCs w:val="17"/>
                <w:lang w:eastAsia="de-DE"/>
              </w:rPr>
              <w:t>g</w:t>
            </w:r>
            <w:r w:rsidRPr="004E4414">
              <w:rPr>
                <w:rStyle w:val="FormatvorlageInstructionsTabelleText"/>
                <w:szCs w:val="17"/>
                <w:lang w:eastAsia="de-DE"/>
              </w:rPr>
              <w:t xml:space="preserve">)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  <w:r>
              <w:rPr>
                <w:rStyle w:val="FormatvorlageInstructionsTabelleText"/>
                <w:szCs w:val="17"/>
                <w:lang w:eastAsia="de-DE"/>
              </w:rPr>
              <w:t xml:space="preserve"> </w:t>
            </w:r>
            <w:r w:rsidR="00E15312">
              <w:rPr>
                <w:rStyle w:val="FormatvorlageInstructionsTabelleText"/>
              </w:rPr>
              <w:t>shall</w:t>
            </w:r>
            <w:r w:rsidRPr="008F13C5">
              <w:rPr>
                <w:rStyle w:val="FormatvorlageInstructionsTabelleText"/>
              </w:rPr>
              <w:t xml:space="preserve"> be reported</w:t>
            </w:r>
            <w:r>
              <w:rPr>
                <w:rStyle w:val="FormatvorlageInstructionsTabelleText"/>
              </w:rPr>
              <w:t xml:space="preserve"> within </w:t>
            </w:r>
            <w:r w:rsidRPr="008F13C5">
              <w:rPr>
                <w:rStyle w:val="FormatvorlageInstructionsTabelleText"/>
              </w:rPr>
              <w:t>the relevan</w:t>
            </w:r>
            <w:r>
              <w:rPr>
                <w:rStyle w:val="FormatvorlageInstructionsTabelleText"/>
              </w:rPr>
              <w:t xml:space="preserve">t sub-line(s) and column(s) </w:t>
            </w:r>
          </w:p>
          <w:p w:rsidR="00B37E6B" w:rsidRDefault="00B37E6B">
            <w:pPr>
              <w:spacing w:before="0" w:after="0"/>
              <w:jc w:val="left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</w:p>
          <w:p w:rsidR="00B37E6B" w:rsidRDefault="00B37E6B" w:rsidP="00F51F44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671D0E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2A005B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900-950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671D0E" w:rsidRDefault="002A005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1.9.1 </w:t>
            </w:r>
            <w:r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he borrowers of which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are natural persons other than commercial sole proprietors and partnerships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C55533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(g)(</w:t>
            </w:r>
            <w:proofErr w:type="spellStart"/>
            <w:r w:rsidRPr="00C46BDB">
              <w:rPr>
                <w:rStyle w:val="FormatvorlageInstructionsTabelleText"/>
                <w:szCs w:val="17"/>
                <w:lang w:eastAsia="de-DE"/>
              </w:rPr>
              <w:t>i</w:t>
            </w:r>
            <w:proofErr w:type="spellEnd"/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) 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C55533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>
              <w:rPr>
                <w:rStyle w:val="FormatvorlageInstructionsTabelleText"/>
              </w:rPr>
              <w:t xml:space="preserve">Total non-renewable loans and receivables where </w:t>
            </w:r>
            <w:r w:rsidRPr="00C46BDB">
              <w:rPr>
                <w:rStyle w:val="FormatvorlageInstructionsTabelleText"/>
              </w:rPr>
              <w:t xml:space="preserve">the borrowers of which are natural persons </w:t>
            </w:r>
            <w:r w:rsidRPr="00D913EA">
              <w:rPr>
                <w:rStyle w:val="FormatvorlageInstructionsTabelleText"/>
              </w:rPr>
              <w:t>and where the aggregate deposit placed by that client or group of connected clients is less than EUR 1 million.</w:t>
            </w:r>
          </w:p>
          <w:p w:rsidR="00B37E6B" w:rsidRPr="00671D0E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2A005B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900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A005B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1.9.1.1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2A005B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910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A005B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1.9.1.2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2A005B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920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A005B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1.9.1.3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2A005B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930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A005B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1.9.1.4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2A005B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940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A005B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1.9.1.5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2A005B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960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2A005B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1.9.1.6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D913EA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B37E6B" w:rsidRPr="009855A7" w:rsidRDefault="001236B4" w:rsidP="00D913EA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960-1010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B37E6B" w:rsidRPr="00671D0E" w:rsidRDefault="00F11E2E" w:rsidP="00D913EA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1.9.2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the borrowers of which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are small and medium-sized enterprises that qualify for the retail exposure class under the Standardised or IRB approaches for credit risk or to a company which is eligible for the treatment mentioned in Article 153(4) and where the aggregate deposit placed by that client or group of connected clients is less than EUR 1 million.</w:t>
            </w:r>
          </w:p>
          <w:p w:rsidR="00B37E6B" w:rsidRDefault="00B37E6B" w:rsidP="00D913EA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D913EA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(g)(i</w:t>
            </w:r>
            <w:r>
              <w:rPr>
                <w:rStyle w:val="FormatvorlageInstructionsTabelleText"/>
                <w:szCs w:val="17"/>
                <w:lang w:eastAsia="de-DE"/>
              </w:rPr>
              <w:t>i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) 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D913EA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Default="00B37E6B" w:rsidP="00D913EA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Total non-renewable loans and receivables where </w:t>
            </w:r>
            <w:r w:rsidRPr="00D913EA">
              <w:rPr>
                <w:rStyle w:val="FormatvorlageInstructionsTabelleText"/>
              </w:rPr>
              <w:t xml:space="preserve">the borrowers of which are small and medium-sized enterprises that qualify for the retail exposure class under the Standardised or IRB approaches for credit risk or to a company which is eligible for the treatment mentioned in Article 153(4) and where the aggregate deposit placed by that client or group </w:t>
            </w:r>
            <w:r w:rsidRPr="00D913EA">
              <w:rPr>
                <w:rStyle w:val="FormatvorlageInstructionsTabelleText"/>
              </w:rPr>
              <w:lastRenderedPageBreak/>
              <w:t>of connected clients is less than EUR 1 million.</w:t>
            </w:r>
          </w:p>
          <w:p w:rsidR="00B37E6B" w:rsidRDefault="00B37E6B" w:rsidP="00D913EA">
            <w:pPr>
              <w:pStyle w:val="InstructionsText"/>
              <w:rPr>
                <w:rStyle w:val="FormatvorlageInstructionsTabelleText"/>
              </w:rPr>
            </w:pPr>
          </w:p>
          <w:p w:rsidR="00B37E6B" w:rsidRPr="00671D0E" w:rsidRDefault="00B37E6B" w:rsidP="00D913EA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D913EA">
        <w:tc>
          <w:tcPr>
            <w:tcW w:w="1189" w:type="dxa"/>
            <w:shd w:val="clear" w:color="auto" w:fill="FFFFFF" w:themeFill="background1"/>
            <w:vAlign w:val="center"/>
          </w:tcPr>
          <w:p w:rsidR="00B37E6B" w:rsidRPr="009855A7" w:rsidRDefault="001236B4" w:rsidP="00D913EA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lastRenderedPageBreak/>
              <w:t>960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37E6B" w:rsidRPr="00F11C9C" w:rsidRDefault="00F11E2E" w:rsidP="00D913E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1.9.2.1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236B4" w:rsidP="00D913EA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970</w:t>
            </w:r>
          </w:p>
        </w:tc>
        <w:tc>
          <w:tcPr>
            <w:tcW w:w="7560" w:type="dxa"/>
            <w:vAlign w:val="center"/>
          </w:tcPr>
          <w:p w:rsidR="00B37E6B" w:rsidRPr="00F11C9C" w:rsidRDefault="00F11E2E" w:rsidP="00D913E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1.9.2.2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236B4" w:rsidP="00D913EA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980</w:t>
            </w:r>
          </w:p>
        </w:tc>
        <w:tc>
          <w:tcPr>
            <w:tcW w:w="7560" w:type="dxa"/>
            <w:vAlign w:val="center"/>
          </w:tcPr>
          <w:p w:rsidR="00B37E6B" w:rsidRPr="00F11C9C" w:rsidRDefault="00F11E2E" w:rsidP="00D913E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1.9.2.3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236B4" w:rsidP="00D913EA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990</w:t>
            </w:r>
          </w:p>
        </w:tc>
        <w:tc>
          <w:tcPr>
            <w:tcW w:w="7560" w:type="dxa"/>
            <w:vAlign w:val="center"/>
          </w:tcPr>
          <w:p w:rsidR="00B37E6B" w:rsidRPr="00F11C9C" w:rsidRDefault="00F11E2E" w:rsidP="00F11E2E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1.9.2.4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236B4" w:rsidP="00D913EA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1000</w:t>
            </w:r>
          </w:p>
        </w:tc>
        <w:tc>
          <w:tcPr>
            <w:tcW w:w="7560" w:type="dxa"/>
            <w:vAlign w:val="center"/>
          </w:tcPr>
          <w:p w:rsidR="00B37E6B" w:rsidRPr="00F11C9C" w:rsidRDefault="00F11E2E" w:rsidP="00D913E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1.9.2.5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1236B4" w:rsidP="00D913EA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1010</w:t>
            </w:r>
          </w:p>
        </w:tc>
        <w:tc>
          <w:tcPr>
            <w:tcW w:w="7560" w:type="dxa"/>
            <w:vAlign w:val="center"/>
          </w:tcPr>
          <w:p w:rsidR="00B37E6B" w:rsidRPr="00F11C9C" w:rsidRDefault="00F11E2E" w:rsidP="00D913EA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1.9.2.6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BC1562" w:rsidP="00AC051F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</w:t>
            </w:r>
            <w:r w:rsidR="00AC051F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0-1</w:t>
            </w:r>
            <w:r w:rsidR="00AC051F">
              <w:rPr>
                <w:rFonts w:cs="Arial"/>
                <w:szCs w:val="20"/>
              </w:rPr>
              <w:t>07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671D0E" w:rsidRDefault="00BC1562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1.9.</w:t>
            </w:r>
            <w:r w:rsidR="00AC051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the </w:t>
            </w:r>
            <w:r w:rsidR="00B37E6B" w:rsidRPr="005E479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borrowers of which are sovereigns, central banks and public sector entities </w:t>
            </w:r>
            <w:r w:rsidR="00103B36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(</w:t>
            </w:r>
            <w:r w:rsidR="00B37E6B" w:rsidRPr="005E479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PSEs</w:t>
            </w:r>
            <w:r w:rsidR="00103B36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)</w:t>
            </w:r>
          </w:p>
          <w:p w:rsidR="00B37E6B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C46BDB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(g)(</w:t>
            </w:r>
            <w:r>
              <w:rPr>
                <w:rStyle w:val="FormatvorlageInstructionsTabelleText"/>
                <w:szCs w:val="17"/>
                <w:lang w:eastAsia="de-DE"/>
              </w:rPr>
              <w:t xml:space="preserve">iii) 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C46BDB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810018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>
              <w:rPr>
                <w:rStyle w:val="FormatvorlageInstructionsTabelleText"/>
              </w:rPr>
              <w:t xml:space="preserve">Total non-renewable loans and receivables where the borrowers are sovereigns, central banks and public sector entities </w:t>
            </w:r>
            <w:r w:rsidR="00103B36">
              <w:rPr>
                <w:rStyle w:val="FormatvorlageInstructionsTabelleText"/>
              </w:rPr>
              <w:t>(</w:t>
            </w:r>
            <w:r>
              <w:rPr>
                <w:rStyle w:val="FormatvorlageInstructionsTabelleText"/>
              </w:rPr>
              <w:t>PSEs</w:t>
            </w:r>
            <w:r w:rsidR="00103B36">
              <w:rPr>
                <w:rStyle w:val="FormatvorlageInstructionsTabelleText"/>
              </w:rPr>
              <w:t>)</w:t>
            </w:r>
          </w:p>
          <w:p w:rsidR="00B37E6B" w:rsidRPr="00C46BDB" w:rsidRDefault="00B37E6B" w:rsidP="00C55533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671D0E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AC051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1020</w:t>
            </w:r>
          </w:p>
        </w:tc>
        <w:tc>
          <w:tcPr>
            <w:tcW w:w="7560" w:type="dxa"/>
            <w:vAlign w:val="center"/>
          </w:tcPr>
          <w:p w:rsidR="00B37E6B" w:rsidRPr="00F11C9C" w:rsidRDefault="00BC1562" w:rsidP="00AC051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1.9.</w:t>
            </w:r>
            <w:r w:rsidR="00AC051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AC051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1030</w:t>
            </w:r>
          </w:p>
        </w:tc>
        <w:tc>
          <w:tcPr>
            <w:tcW w:w="7560" w:type="dxa"/>
            <w:vAlign w:val="center"/>
          </w:tcPr>
          <w:p w:rsidR="00B37E6B" w:rsidRPr="00F11C9C" w:rsidRDefault="00BC1562" w:rsidP="00AC051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1.9.</w:t>
            </w:r>
            <w:r w:rsidR="00AC051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AC051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1040</w:t>
            </w:r>
          </w:p>
        </w:tc>
        <w:tc>
          <w:tcPr>
            <w:tcW w:w="7560" w:type="dxa"/>
            <w:vAlign w:val="center"/>
          </w:tcPr>
          <w:p w:rsidR="00B37E6B" w:rsidRPr="00F11C9C" w:rsidRDefault="00BC1562" w:rsidP="00AC051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1.9.</w:t>
            </w:r>
            <w:r w:rsidR="00AC051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AC051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1050</w:t>
            </w:r>
          </w:p>
        </w:tc>
        <w:tc>
          <w:tcPr>
            <w:tcW w:w="7560" w:type="dxa"/>
            <w:vAlign w:val="center"/>
          </w:tcPr>
          <w:p w:rsidR="00B37E6B" w:rsidRPr="00F11C9C" w:rsidRDefault="00BC1562" w:rsidP="00AC051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1.9.</w:t>
            </w:r>
            <w:r w:rsidR="00AC051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AC051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1060</w:t>
            </w:r>
          </w:p>
        </w:tc>
        <w:tc>
          <w:tcPr>
            <w:tcW w:w="7560" w:type="dxa"/>
            <w:vAlign w:val="center"/>
          </w:tcPr>
          <w:p w:rsidR="00B37E6B" w:rsidRPr="00F11C9C" w:rsidRDefault="00BC1562" w:rsidP="00AC051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1.9.</w:t>
            </w:r>
            <w:r w:rsidR="00AC051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AC051F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1070</w:t>
            </w:r>
          </w:p>
        </w:tc>
        <w:tc>
          <w:tcPr>
            <w:tcW w:w="7560" w:type="dxa"/>
            <w:vAlign w:val="center"/>
          </w:tcPr>
          <w:p w:rsidR="00B37E6B" w:rsidRPr="00F11C9C" w:rsidRDefault="00BC1562" w:rsidP="00AC051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1.9.</w:t>
            </w:r>
            <w:r w:rsidR="00AC051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3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</w:t>
            </w:r>
            <w:r w:rsidR="00AC051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6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3B2E1E" w:rsidP="00B82DE8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1080-1130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671D0E" w:rsidRDefault="00AC051F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1.9.4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the borrowers of which are not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reported in item 1.</w:t>
            </w:r>
            <w:r w:rsidR="003B2E1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9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.1, 1.</w:t>
            </w:r>
            <w:r w:rsidR="003B2E1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9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.2 or 1.</w:t>
            </w:r>
            <w:r w:rsidR="003B2E1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9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.3</w:t>
            </w:r>
            <w:r w:rsidR="00103B36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,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excluding financial customers</w:t>
            </w:r>
          </w:p>
          <w:p w:rsidR="00B37E6B" w:rsidRDefault="00B37E6B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5E479F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(g)(</w:t>
            </w:r>
            <w:r>
              <w:rPr>
                <w:rStyle w:val="FormatvorlageInstructionsTabelleText"/>
                <w:szCs w:val="17"/>
                <w:lang w:eastAsia="de-DE"/>
              </w:rPr>
              <w:t xml:space="preserve">iv) 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5E479F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>
              <w:rPr>
                <w:rStyle w:val="FormatvorlageInstructionsTabelleText"/>
              </w:rPr>
              <w:t>Total non-renewable loans and receivables where the borrowers are not referred to in item 1.7.1, 1.7.2 or 1.7.3 and excluding financial customers.</w:t>
            </w:r>
          </w:p>
          <w:p w:rsidR="00B37E6B" w:rsidRDefault="00B37E6B" w:rsidP="00671294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</w:p>
          <w:p w:rsidR="00B37E6B" w:rsidRPr="00671D0E" w:rsidRDefault="00B37E6B" w:rsidP="00C55533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B2E1E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1080</w:t>
            </w:r>
          </w:p>
        </w:tc>
        <w:tc>
          <w:tcPr>
            <w:tcW w:w="7560" w:type="dxa"/>
            <w:vAlign w:val="center"/>
          </w:tcPr>
          <w:p w:rsidR="00B37E6B" w:rsidRPr="00F11C9C" w:rsidRDefault="003B2E1E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1.9.4.1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B2E1E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1090</w:t>
            </w:r>
          </w:p>
        </w:tc>
        <w:tc>
          <w:tcPr>
            <w:tcW w:w="7560" w:type="dxa"/>
            <w:vAlign w:val="center"/>
          </w:tcPr>
          <w:p w:rsidR="00B37E6B" w:rsidRPr="00F11C9C" w:rsidRDefault="003B2E1E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1.9.4.2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B2E1E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lastRenderedPageBreak/>
              <w:t>1100</w:t>
            </w:r>
          </w:p>
        </w:tc>
        <w:tc>
          <w:tcPr>
            <w:tcW w:w="7560" w:type="dxa"/>
            <w:vAlign w:val="center"/>
          </w:tcPr>
          <w:p w:rsidR="00B37E6B" w:rsidRPr="00F11C9C" w:rsidRDefault="003B2E1E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1.9.4.3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B2E1E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1110</w:t>
            </w:r>
          </w:p>
        </w:tc>
        <w:tc>
          <w:tcPr>
            <w:tcW w:w="7560" w:type="dxa"/>
            <w:vAlign w:val="center"/>
          </w:tcPr>
          <w:p w:rsidR="00B37E6B" w:rsidRPr="00F11C9C" w:rsidRDefault="003B2E1E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1.9.4.4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B2E1E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1120</w:t>
            </w:r>
          </w:p>
        </w:tc>
        <w:tc>
          <w:tcPr>
            <w:tcW w:w="7560" w:type="dxa"/>
            <w:vAlign w:val="center"/>
          </w:tcPr>
          <w:p w:rsidR="00B37E6B" w:rsidRPr="00F11C9C" w:rsidRDefault="003B2E1E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1.9.4.5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3B2E1E" w:rsidP="00B82DE8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1130</w:t>
            </w:r>
          </w:p>
        </w:tc>
        <w:tc>
          <w:tcPr>
            <w:tcW w:w="7560" w:type="dxa"/>
            <w:vAlign w:val="center"/>
          </w:tcPr>
          <w:p w:rsidR="00B37E6B" w:rsidRPr="00F11C9C" w:rsidRDefault="003B2E1E" w:rsidP="00B82DE8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1.9.4.6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F42F15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B37E6B" w:rsidRPr="009855A7" w:rsidRDefault="006F0CA1" w:rsidP="005E479F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1140-1190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B37E6B" w:rsidRPr="00671D0E" w:rsidRDefault="006F0CA1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1.9.5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the borrowers of which are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credit institutions</w:t>
            </w:r>
          </w:p>
          <w:p w:rsidR="00B37E6B" w:rsidRDefault="00B37E6B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5E479F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(g)(</w:t>
            </w:r>
            <w:r>
              <w:rPr>
                <w:rStyle w:val="FormatvorlageInstructionsTabelleText"/>
                <w:szCs w:val="17"/>
                <w:lang w:eastAsia="de-DE"/>
              </w:rPr>
              <w:t xml:space="preserve">v) 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5E479F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>
              <w:rPr>
                <w:rStyle w:val="FormatvorlageInstructionsTabelleText"/>
              </w:rPr>
              <w:t xml:space="preserve">Total non-renewable loans and receivables where the borrowers are credit institutions.    </w:t>
            </w:r>
          </w:p>
          <w:p w:rsidR="00B37E6B" w:rsidRDefault="00B37E6B" w:rsidP="005E479F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</w:p>
          <w:p w:rsidR="00B37E6B" w:rsidRPr="00671D0E" w:rsidRDefault="00B37E6B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6F0CA1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1140</w:t>
            </w:r>
          </w:p>
        </w:tc>
        <w:tc>
          <w:tcPr>
            <w:tcW w:w="7560" w:type="dxa"/>
            <w:vAlign w:val="center"/>
          </w:tcPr>
          <w:p w:rsidR="00B37E6B" w:rsidRPr="00F11C9C" w:rsidRDefault="006F0CA1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1.9.5.1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6F0CA1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1150</w:t>
            </w:r>
          </w:p>
        </w:tc>
        <w:tc>
          <w:tcPr>
            <w:tcW w:w="7560" w:type="dxa"/>
            <w:vAlign w:val="center"/>
          </w:tcPr>
          <w:p w:rsidR="00B37E6B" w:rsidRPr="00F11C9C" w:rsidRDefault="006F0CA1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1.9.5.2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6F0CA1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1160</w:t>
            </w:r>
          </w:p>
        </w:tc>
        <w:tc>
          <w:tcPr>
            <w:tcW w:w="7560" w:type="dxa"/>
            <w:vAlign w:val="center"/>
          </w:tcPr>
          <w:p w:rsidR="00B37E6B" w:rsidRPr="00F11C9C" w:rsidRDefault="006F0CA1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1.9.5.3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6F0CA1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1170</w:t>
            </w:r>
          </w:p>
        </w:tc>
        <w:tc>
          <w:tcPr>
            <w:tcW w:w="7560" w:type="dxa"/>
            <w:vAlign w:val="center"/>
          </w:tcPr>
          <w:p w:rsidR="00B37E6B" w:rsidRPr="00F11C9C" w:rsidRDefault="006F0CA1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1.9.5.4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FF2755">
        <w:trPr>
          <w:trHeight w:val="2094"/>
        </w:trPr>
        <w:tc>
          <w:tcPr>
            <w:tcW w:w="1189" w:type="dxa"/>
            <w:vAlign w:val="center"/>
          </w:tcPr>
          <w:p w:rsidR="00B37E6B" w:rsidRPr="009855A7" w:rsidRDefault="006F0CA1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1180</w:t>
            </w:r>
          </w:p>
        </w:tc>
        <w:tc>
          <w:tcPr>
            <w:tcW w:w="7560" w:type="dxa"/>
            <w:vAlign w:val="center"/>
          </w:tcPr>
          <w:p w:rsidR="00B37E6B" w:rsidRPr="00F11C9C" w:rsidRDefault="006F0CA1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1.9.5.5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vAlign w:val="center"/>
          </w:tcPr>
          <w:p w:rsidR="00B37E6B" w:rsidRPr="009855A7" w:rsidRDefault="006F0CA1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1190</w:t>
            </w:r>
          </w:p>
        </w:tc>
        <w:tc>
          <w:tcPr>
            <w:tcW w:w="7560" w:type="dxa"/>
            <w:vAlign w:val="center"/>
          </w:tcPr>
          <w:p w:rsidR="00B37E6B" w:rsidRPr="00F11C9C" w:rsidRDefault="006F0CA1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1.9.5.6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17440D" w:rsidTr="00F42F15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B37E6B" w:rsidRPr="009855A7" w:rsidRDefault="00862168" w:rsidP="005E479F">
            <w:pPr>
              <w:spacing w:before="0" w:after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1200-1250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:rsidR="00B37E6B" w:rsidRDefault="00862168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1.9.6 </w:t>
            </w:r>
            <w:r w:rsidR="00B37E6B" w:rsidRPr="005E479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the borrowers of which are financial customers (not referred to in 1.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9</w:t>
            </w:r>
            <w:r w:rsidR="00B37E6B" w:rsidRPr="005E479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.1, 1.</w:t>
            </w: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9</w:t>
            </w:r>
            <w:r w:rsidR="00B37E6B" w:rsidRPr="005E479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.2</w:t>
            </w:r>
            <w:r w:rsidR="00103B36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or 1.9.3</w:t>
            </w:r>
            <w:r w:rsidR="00B37E6B" w:rsidRPr="005E479F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) other than credit institutions</w:t>
            </w:r>
          </w:p>
          <w:p w:rsidR="00B37E6B" w:rsidRDefault="00B37E6B" w:rsidP="005E479F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C46BDB" w:rsidRDefault="00B37E6B" w:rsidP="005E479F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Article </w:t>
            </w:r>
            <w:r>
              <w:rPr>
                <w:rStyle w:val="FormatvorlageInstructionsTabelleText"/>
                <w:szCs w:val="17"/>
                <w:lang w:eastAsia="de-DE"/>
              </w:rPr>
              <w:t>428(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1</w:t>
            </w:r>
            <w:r>
              <w:rPr>
                <w:rStyle w:val="FormatvorlageInstructionsTabelleText"/>
                <w:szCs w:val="17"/>
                <w:lang w:eastAsia="de-DE"/>
              </w:rPr>
              <w:t>)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>(g)(</w:t>
            </w:r>
            <w:r>
              <w:rPr>
                <w:rStyle w:val="FormatvorlageInstructionsTabelleText"/>
                <w:szCs w:val="17"/>
                <w:lang w:eastAsia="de-DE"/>
              </w:rPr>
              <w:t xml:space="preserve">v) </w:t>
            </w:r>
            <w:r w:rsidRPr="00C46BDB">
              <w:rPr>
                <w:rStyle w:val="FormatvorlageInstructionsTabelleText"/>
                <w:szCs w:val="17"/>
                <w:lang w:eastAsia="de-DE"/>
              </w:rPr>
              <w:t xml:space="preserve">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Default="00B37E6B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C46BDB" w:rsidRDefault="00B37E6B" w:rsidP="005E479F">
            <w:pPr>
              <w:spacing w:before="0" w:after="0"/>
              <w:jc w:val="left"/>
              <w:rPr>
                <w:rStyle w:val="FormatvorlageInstructionsTabelleText"/>
                <w:szCs w:val="17"/>
                <w:lang w:eastAsia="de-DE"/>
              </w:rPr>
            </w:pPr>
            <w:r>
              <w:rPr>
                <w:rStyle w:val="FormatvorlageInstructionsTabelleText"/>
              </w:rPr>
              <w:t xml:space="preserve">Total non-renewable loans and receivables where the borrowers are financial customers.    </w:t>
            </w:r>
          </w:p>
          <w:p w:rsidR="00B37E6B" w:rsidRDefault="00B37E6B" w:rsidP="005E479F">
            <w:pPr>
              <w:pStyle w:val="InstructionsText"/>
              <w:rPr>
                <w:rStyle w:val="InstructionsTabelleberschrift"/>
                <w:b w:val="0"/>
                <w:u w:val="none"/>
              </w:rPr>
            </w:pPr>
          </w:p>
          <w:p w:rsidR="00B37E6B" w:rsidRPr="00671D0E" w:rsidRDefault="00B37E6B" w:rsidP="005E479F">
            <w:pPr>
              <w:spacing w:before="0" w:after="0"/>
              <w:jc w:val="left"/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17440D" w:rsidTr="00B82DE8">
        <w:tc>
          <w:tcPr>
            <w:tcW w:w="1189" w:type="dxa"/>
            <w:shd w:val="clear" w:color="auto" w:fill="E6E6E6"/>
            <w:vAlign w:val="center"/>
          </w:tcPr>
          <w:p w:rsidR="00B37E6B" w:rsidRPr="009855A7" w:rsidRDefault="00862168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1200</w:t>
            </w:r>
          </w:p>
        </w:tc>
        <w:tc>
          <w:tcPr>
            <w:tcW w:w="7560" w:type="dxa"/>
            <w:shd w:val="clear" w:color="auto" w:fill="E6E6E6"/>
            <w:vAlign w:val="center"/>
          </w:tcPr>
          <w:p w:rsidR="00B37E6B" w:rsidRPr="00F11C9C" w:rsidRDefault="00862168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1.9.6.1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unencumbered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862168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1210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862168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1.9.6.2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within three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862168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1220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862168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1.9.6.3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three and 6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862168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lastRenderedPageBreak/>
              <w:t>1230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862168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1.9.6.4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6 and 9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862168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1240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862168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1.9.6.5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between 9 and 12 months</w:t>
            </w:r>
          </w:p>
        </w:tc>
      </w:tr>
      <w:tr w:rsidR="00B37E6B" w:rsidRPr="0017440D" w:rsidTr="00B82DE8">
        <w:tc>
          <w:tcPr>
            <w:tcW w:w="1189" w:type="dxa"/>
            <w:shd w:val="clear" w:color="auto" w:fill="auto"/>
            <w:vAlign w:val="center"/>
          </w:tcPr>
          <w:p w:rsidR="00B37E6B" w:rsidRPr="009855A7" w:rsidRDefault="00862168" w:rsidP="005E479F">
            <w:pPr>
              <w:spacing w:before="0" w:after="0"/>
              <w:jc w:val="lef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1250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E6B" w:rsidRPr="00F11C9C" w:rsidRDefault="00862168" w:rsidP="005E479F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1.9.6.6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amount encumbered</w:t>
            </w:r>
            <w:r w:rsidR="00B37E6B" w:rsidRPr="00F11C9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for a period greater than 12 months</w:t>
            </w:r>
          </w:p>
        </w:tc>
      </w:tr>
      <w:tr w:rsidR="00B37E6B" w:rsidRPr="00A13088" w:rsidTr="00F42F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6B" w:rsidRPr="009855A7" w:rsidRDefault="00490364" w:rsidP="00F42F15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1260-1280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6B" w:rsidRDefault="00490364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1.10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Non-renewable loans and receivables reported in 1.7 that are considered real estate 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 xml:space="preserve">Article 428(1) (h)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</w:tc>
      </w:tr>
      <w:tr w:rsidR="00B37E6B" w:rsidRPr="00502D8B" w:rsidTr="00F42F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E6B" w:rsidRPr="009855A7" w:rsidRDefault="00490364" w:rsidP="00F42F15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E6B" w:rsidRDefault="00490364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1.10.1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Collateralised by commercial real estate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>Article 428(1)(h)(</w:t>
            </w:r>
            <w:proofErr w:type="spellStart"/>
            <w:r w:rsidRPr="00F42F15">
              <w:rPr>
                <w:rStyle w:val="FormatvorlageInstructionsTabelleText"/>
                <w:szCs w:val="17"/>
                <w:lang w:eastAsia="de-DE"/>
              </w:rPr>
              <w:t>i</w:t>
            </w:r>
            <w:proofErr w:type="spellEnd"/>
            <w:r w:rsidRPr="00F42F15">
              <w:rPr>
                <w:rStyle w:val="FormatvorlageInstructionsTabelleText"/>
                <w:szCs w:val="17"/>
                <w:lang w:eastAsia="de-DE"/>
              </w:rPr>
              <w:t xml:space="preserve">)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</w:tc>
      </w:tr>
      <w:tr w:rsidR="00B37E6B" w:rsidRPr="00502D8B" w:rsidTr="00F42F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E6B" w:rsidRPr="009855A7" w:rsidRDefault="00490364" w:rsidP="00F42F15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E6B" w:rsidRDefault="00490364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1.10.2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Collateralised by residential real estate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>Article 428(1)(h)(ii)</w:t>
            </w:r>
            <w:r w:rsidR="00490364">
              <w:rPr>
                <w:rStyle w:val="FormatvorlageInstructionsTabelleText"/>
                <w:szCs w:val="17"/>
                <w:lang w:eastAsia="de-DE"/>
              </w:rPr>
              <w:t xml:space="preserve">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</w:tc>
      </w:tr>
      <w:tr w:rsidR="00B37E6B" w:rsidRPr="00671D0E" w:rsidTr="00F42F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Pr="009855A7" w:rsidRDefault="00490364" w:rsidP="00F42F15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Default="00490364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1.10.3 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Match funded (pass-through) via bond eligible for treatment set out in Article 129(4) or (5), or as defined in Article 52(4) of Directive 2009/65/EC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>Article 428(1)(h)(iii)</w:t>
            </w:r>
            <w:r w:rsidR="00490364">
              <w:rPr>
                <w:rStyle w:val="FormatvorlageInstructionsTabelleText"/>
                <w:szCs w:val="17"/>
                <w:lang w:eastAsia="de-DE"/>
              </w:rPr>
              <w:t xml:space="preserve">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</w:tc>
      </w:tr>
      <w:tr w:rsidR="00B37E6B" w:rsidRPr="00671D0E" w:rsidTr="00F42F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Pr="00F42F15" w:rsidRDefault="00CA6224" w:rsidP="00F42F15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1290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Default="00CA6224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1.11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derivatives receivables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>Article 428(1)(</w:t>
            </w:r>
            <w:proofErr w:type="spellStart"/>
            <w:r w:rsidRPr="00F42F15">
              <w:rPr>
                <w:rStyle w:val="FormatvorlageInstructionsTabelleText"/>
                <w:szCs w:val="17"/>
                <w:lang w:eastAsia="de-DE"/>
              </w:rPr>
              <w:t>i</w:t>
            </w:r>
            <w:proofErr w:type="spellEnd"/>
            <w:r w:rsidRPr="00F42F15">
              <w:rPr>
                <w:rStyle w:val="FormatvorlageInstructionsTabelleText"/>
                <w:szCs w:val="17"/>
                <w:lang w:eastAsia="de-DE"/>
              </w:rPr>
              <w:t xml:space="preserve">)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InstructionsTabelleberschrift"/>
                <w:szCs w:val="17"/>
                <w:u w:val="none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 xml:space="preserve">Total net derivatives receivables </w:t>
            </w:r>
          </w:p>
          <w:p w:rsidR="00B37E6B" w:rsidRPr="00671D0E" w:rsidRDefault="00B37E6B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671D0E" w:rsidTr="00F42F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Pr="00F42F15" w:rsidRDefault="00CA6224" w:rsidP="00F42F15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Pr="00671D0E" w:rsidRDefault="00CA6224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1.12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any other assets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 xml:space="preserve">Article 428(1)(j)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>Any other assets, not already reported in 1.1.1-1.8 above</w:t>
            </w:r>
          </w:p>
          <w:p w:rsidR="00B37E6B" w:rsidRPr="00F42F15" w:rsidRDefault="00B37E6B" w:rsidP="00F42F15">
            <w:pPr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  <w:r w:rsidRPr="00F42F15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 xml:space="preserve">Note: assets deducted from own funds </w:t>
            </w:r>
            <w:r w:rsidR="00E15312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shall</w:t>
            </w:r>
            <w:r w:rsidRPr="00F42F15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 xml:space="preserve"> be reported in item 1.10.</w:t>
            </w:r>
          </w:p>
          <w:p w:rsidR="00B37E6B" w:rsidRPr="00671D0E" w:rsidRDefault="00B37E6B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671D0E" w:rsidTr="00F42F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Pr="00F42F15" w:rsidRDefault="00740E00" w:rsidP="00F42F15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Pr="00671D0E" w:rsidRDefault="00740E00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1.13 </w:t>
            </w:r>
            <w:r w:rsidR="00B37E6B" w:rsidRPr="00671D0E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>assets</w:t>
            </w:r>
            <w:r w:rsidR="00B37E6B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 deducted from own funds not requiring stable funding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 xml:space="preserve">Article 428(1)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InstructionsTabelleberschrift"/>
                <w:szCs w:val="17"/>
                <w:u w:val="none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lastRenderedPageBreak/>
              <w:t xml:space="preserve">All assets, deducted from own funds for the purpose of complying with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  <w:r w:rsidRPr="00F42F15">
              <w:rPr>
                <w:rStyle w:val="FormatvorlageInstructionsTabelleText"/>
                <w:szCs w:val="17"/>
                <w:lang w:eastAsia="de-DE"/>
              </w:rPr>
              <w:t xml:space="preserve"> capital rules </w:t>
            </w:r>
          </w:p>
          <w:p w:rsidR="00B37E6B" w:rsidRPr="00671D0E" w:rsidRDefault="00B37E6B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  <w:tr w:rsidR="00B37E6B" w:rsidRPr="00671D0E" w:rsidTr="00F42F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Pr="009855A7" w:rsidRDefault="00740E00" w:rsidP="00F42F15">
            <w:pPr>
              <w:spacing w:before="0"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1320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6B" w:rsidRPr="00432ADC" w:rsidRDefault="00740E00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  <w:r w:rsidRPr="00432AD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1.14 </w:t>
            </w:r>
            <w:r w:rsidR="00B37E6B" w:rsidRPr="00432ADC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Undrawn committed </w:t>
            </w:r>
            <w:r w:rsidR="00C01F4A">
              <w:rPr>
                <w:rStyle w:val="FormatvorlageInstructionsTabelleText"/>
                <w:b/>
                <w:szCs w:val="17"/>
                <w:u w:val="single"/>
                <w:lang w:eastAsia="de-DE"/>
              </w:rPr>
              <w:t xml:space="preserve">Credit facilities </w:t>
            </w:r>
          </w:p>
          <w:p w:rsidR="00B37E6B" w:rsidRDefault="00B37E6B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 xml:space="preserve">Article 428(1)(k)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Pr="00F42F15" w:rsidRDefault="00B37E6B" w:rsidP="00F42F15">
            <w:pPr>
              <w:rPr>
                <w:rStyle w:val="FormatvorlageInstructionsTabelleText"/>
                <w:szCs w:val="17"/>
                <w:lang w:eastAsia="de-DE"/>
              </w:rPr>
            </w:pPr>
          </w:p>
          <w:p w:rsidR="00B37E6B" w:rsidRPr="00F42F15" w:rsidRDefault="00B37E6B" w:rsidP="00F42F15">
            <w:pPr>
              <w:rPr>
                <w:rStyle w:val="InstructionsTabelleberschrift"/>
                <w:szCs w:val="17"/>
                <w:u w:val="none"/>
                <w:lang w:eastAsia="de-DE"/>
              </w:rPr>
            </w:pPr>
            <w:r w:rsidRPr="00F42F15">
              <w:rPr>
                <w:rStyle w:val="FormatvorlageInstructionsTabelleText"/>
                <w:szCs w:val="17"/>
                <w:lang w:eastAsia="de-DE"/>
              </w:rPr>
              <w:t xml:space="preserve">Credit facilities as referred to in Article 428(1)(k) of </w:t>
            </w:r>
            <w:r w:rsidR="00A73395">
              <w:rPr>
                <w:rStyle w:val="FormatvorlageInstructionsTabelleText"/>
                <w:szCs w:val="17"/>
                <w:lang w:eastAsia="de-DE"/>
              </w:rPr>
              <w:t>REGULATION (EU) NO 575/2013</w:t>
            </w:r>
          </w:p>
          <w:p w:rsidR="00B37E6B" w:rsidRPr="00671D0E" w:rsidRDefault="00B37E6B" w:rsidP="00F42F15">
            <w:pPr>
              <w:rPr>
                <w:rStyle w:val="FormatvorlageInstructionsTabelleText"/>
                <w:b/>
                <w:szCs w:val="17"/>
                <w:u w:val="single"/>
                <w:lang w:eastAsia="de-DE"/>
              </w:rPr>
            </w:pPr>
          </w:p>
        </w:tc>
      </w:tr>
    </w:tbl>
    <w:p w:rsidR="00D02FE4" w:rsidRPr="000A50DF" w:rsidRDefault="00D02FE4" w:rsidP="004B315D">
      <w:pPr>
        <w:ind w:firstLineChars="300" w:firstLine="602"/>
        <w:rPr>
          <w:rStyle w:val="InstructionsTabelleberschrift"/>
          <w:szCs w:val="17"/>
          <w:lang w:eastAsia="de-DE"/>
        </w:rPr>
      </w:pPr>
    </w:p>
    <w:sectPr w:rsidR="00D02FE4" w:rsidRPr="000A50DF" w:rsidSect="002F664A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48" w:rsidRDefault="00706548">
      <w:r>
        <w:separator/>
      </w:r>
    </w:p>
  </w:endnote>
  <w:endnote w:type="continuationSeparator" w:id="0">
    <w:p w:rsidR="00706548" w:rsidRDefault="0070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199"/>
      <w:docPartObj>
        <w:docPartGallery w:val="Page Numbers (Bottom of Page)"/>
        <w:docPartUnique/>
      </w:docPartObj>
    </w:sdtPr>
    <w:sdtContent>
      <w:p w:rsidR="007F6304" w:rsidRDefault="000B6F0C">
        <w:pPr>
          <w:pStyle w:val="Footer"/>
          <w:jc w:val="right"/>
        </w:pPr>
        <w:r>
          <w:fldChar w:fldCharType="begin"/>
        </w:r>
        <w:r w:rsidR="007F6304">
          <w:instrText xml:space="preserve"> PAGE   \* MERGEFORMAT </w:instrText>
        </w:r>
        <w:r>
          <w:fldChar w:fldCharType="separate"/>
        </w:r>
        <w:r w:rsidR="0028109B">
          <w:rPr>
            <w:noProof/>
          </w:rPr>
          <w:t>21</w:t>
        </w:r>
        <w:r>
          <w:fldChar w:fldCharType="end"/>
        </w:r>
      </w:p>
    </w:sdtContent>
  </w:sdt>
  <w:p w:rsidR="00706548" w:rsidRDefault="007065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48" w:rsidRDefault="00706548">
      <w:r>
        <w:separator/>
      </w:r>
    </w:p>
  </w:footnote>
  <w:footnote w:type="continuationSeparator" w:id="0">
    <w:p w:rsidR="00706548" w:rsidRDefault="00706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ED0"/>
    <w:multiLevelType w:val="hybridMultilevel"/>
    <w:tmpl w:val="EEF48F4E"/>
    <w:lvl w:ilvl="0" w:tplc="3672F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E77EF"/>
    <w:multiLevelType w:val="multilevel"/>
    <w:tmpl w:val="C6D44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EFD"/>
    <w:multiLevelType w:val="hybridMultilevel"/>
    <w:tmpl w:val="117E6722"/>
    <w:lvl w:ilvl="0" w:tplc="DABE38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B4013"/>
    <w:multiLevelType w:val="hybridMultilevel"/>
    <w:tmpl w:val="9BBE6608"/>
    <w:lvl w:ilvl="0" w:tplc="438E2E3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FF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57CB8"/>
    <w:multiLevelType w:val="hybridMultilevel"/>
    <w:tmpl w:val="B7B42C3A"/>
    <w:lvl w:ilvl="0" w:tplc="236EA62C">
      <w:start w:val="1"/>
      <w:numFmt w:val="decimal"/>
      <w:pStyle w:val="InstructionsText2"/>
      <w:lvlText w:val="%1."/>
      <w:lvlJc w:val="left"/>
      <w:pPr>
        <w:ind w:left="720" w:hanging="360"/>
      </w:pPr>
    </w:lvl>
    <w:lvl w:ilvl="1" w:tplc="DABE38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05">
      <w:start w:val="1"/>
      <w:numFmt w:val="lowerRoman"/>
      <w:lvlText w:val="%3."/>
      <w:lvlJc w:val="right"/>
      <w:pPr>
        <w:ind w:left="2160" w:hanging="180"/>
      </w:pPr>
    </w:lvl>
    <w:lvl w:ilvl="3" w:tplc="A64C3A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35475"/>
    <w:multiLevelType w:val="hybridMultilevel"/>
    <w:tmpl w:val="BA46AD84"/>
    <w:lvl w:ilvl="0" w:tplc="F9F26B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9D42BC"/>
    <w:multiLevelType w:val="hybridMultilevel"/>
    <w:tmpl w:val="C1CC563E"/>
    <w:lvl w:ilvl="0" w:tplc="F9F26B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4B66D8"/>
    <w:multiLevelType w:val="singleLevel"/>
    <w:tmpl w:val="E8B6510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8">
    <w:nsid w:val="64BE1E33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>
    <w:nsid w:val="66CA2C8C"/>
    <w:multiLevelType w:val="hybridMultilevel"/>
    <w:tmpl w:val="5BF2CFE0"/>
    <w:lvl w:ilvl="0" w:tplc="4BB6D85C">
      <w:start w:val="1"/>
      <w:numFmt w:val="decimal"/>
      <w:pStyle w:val="Instructionsberschrift2"/>
      <w:lvlText w:val="%1.1"/>
      <w:lvlJc w:val="left"/>
      <w:pPr>
        <w:ind w:left="720" w:hanging="360"/>
      </w:pPr>
      <w:rPr>
        <w:rFonts w:hint="default"/>
      </w:rPr>
    </w:lvl>
    <w:lvl w:ilvl="1" w:tplc="E7565B6A">
      <w:start w:val="1"/>
      <w:numFmt w:val="lowerLetter"/>
      <w:lvlText w:val="%2."/>
      <w:lvlJc w:val="left"/>
      <w:pPr>
        <w:ind w:left="1440" w:hanging="360"/>
      </w:pPr>
    </w:lvl>
    <w:lvl w:ilvl="2" w:tplc="67A6A44A" w:tentative="1">
      <w:start w:val="1"/>
      <w:numFmt w:val="lowerRoman"/>
      <w:lvlText w:val="%3."/>
      <w:lvlJc w:val="right"/>
      <w:pPr>
        <w:ind w:left="2160" w:hanging="180"/>
      </w:pPr>
    </w:lvl>
    <w:lvl w:ilvl="3" w:tplc="21C6EF3C" w:tentative="1">
      <w:start w:val="1"/>
      <w:numFmt w:val="decimal"/>
      <w:lvlText w:val="%4."/>
      <w:lvlJc w:val="left"/>
      <w:pPr>
        <w:ind w:left="2880" w:hanging="360"/>
      </w:pPr>
    </w:lvl>
    <w:lvl w:ilvl="4" w:tplc="6C185750" w:tentative="1">
      <w:start w:val="1"/>
      <w:numFmt w:val="lowerLetter"/>
      <w:lvlText w:val="%5."/>
      <w:lvlJc w:val="left"/>
      <w:pPr>
        <w:ind w:left="3600" w:hanging="360"/>
      </w:pPr>
    </w:lvl>
    <w:lvl w:ilvl="5" w:tplc="FA46F0F4" w:tentative="1">
      <w:start w:val="1"/>
      <w:numFmt w:val="lowerRoman"/>
      <w:lvlText w:val="%6."/>
      <w:lvlJc w:val="right"/>
      <w:pPr>
        <w:ind w:left="4320" w:hanging="180"/>
      </w:pPr>
    </w:lvl>
    <w:lvl w:ilvl="6" w:tplc="84CCF45A" w:tentative="1">
      <w:start w:val="1"/>
      <w:numFmt w:val="decimal"/>
      <w:lvlText w:val="%7."/>
      <w:lvlJc w:val="left"/>
      <w:pPr>
        <w:ind w:left="5040" w:hanging="360"/>
      </w:pPr>
    </w:lvl>
    <w:lvl w:ilvl="7" w:tplc="E2FA2386" w:tentative="1">
      <w:start w:val="1"/>
      <w:numFmt w:val="lowerLetter"/>
      <w:lvlText w:val="%8."/>
      <w:lvlJc w:val="left"/>
      <w:pPr>
        <w:ind w:left="5760" w:hanging="360"/>
      </w:pPr>
    </w:lvl>
    <w:lvl w:ilvl="8" w:tplc="1E3AE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F783C"/>
    <w:multiLevelType w:val="hybridMultilevel"/>
    <w:tmpl w:val="D09460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7DD812DD"/>
    <w:multiLevelType w:val="hybridMultilevel"/>
    <w:tmpl w:val="EEF48F4E"/>
    <w:lvl w:ilvl="0" w:tplc="3672F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C319A"/>
    <w:multiLevelType w:val="hybridMultilevel"/>
    <w:tmpl w:val="3FAADF4E"/>
    <w:lvl w:ilvl="0" w:tplc="DABE38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4"/>
  </w:num>
  <w:num w:numId="5">
    <w:abstractNumId w:val="4"/>
  </w:num>
  <w:num w:numId="6">
    <w:abstractNumId w:val="7"/>
  </w:num>
  <w:num w:numId="7">
    <w:abstractNumId w:val="4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 w:numId="13">
    <w:abstractNumId w:val="4"/>
    <w:lvlOverride w:ilvl="0">
      <w:startOverride w:val="1"/>
    </w:lvlOverride>
  </w:num>
  <w:num w:numId="14">
    <w:abstractNumId w:val="0"/>
  </w:num>
  <w:num w:numId="15">
    <w:abstractNumId w:val="3"/>
  </w:num>
  <w:num w:numId="16">
    <w:abstractNumId w:val="12"/>
  </w:num>
  <w:num w:numId="17">
    <w:abstractNumId w:val="2"/>
  </w:num>
  <w:num w:numId="18">
    <w:abstractNumId w:val="4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D02FE4"/>
    <w:rsid w:val="00002578"/>
    <w:rsid w:val="00017710"/>
    <w:rsid w:val="000220AD"/>
    <w:rsid w:val="00023432"/>
    <w:rsid w:val="00032338"/>
    <w:rsid w:val="00040CE5"/>
    <w:rsid w:val="00044642"/>
    <w:rsid w:val="00046D31"/>
    <w:rsid w:val="00050530"/>
    <w:rsid w:val="0005261B"/>
    <w:rsid w:val="00055B58"/>
    <w:rsid w:val="00055CF1"/>
    <w:rsid w:val="00056B11"/>
    <w:rsid w:val="00060F59"/>
    <w:rsid w:val="00061136"/>
    <w:rsid w:val="000637DD"/>
    <w:rsid w:val="00073AA2"/>
    <w:rsid w:val="0007595C"/>
    <w:rsid w:val="00087F26"/>
    <w:rsid w:val="00094159"/>
    <w:rsid w:val="00097190"/>
    <w:rsid w:val="000971E4"/>
    <w:rsid w:val="00097D5A"/>
    <w:rsid w:val="000A467A"/>
    <w:rsid w:val="000A50DF"/>
    <w:rsid w:val="000B092B"/>
    <w:rsid w:val="000B2A90"/>
    <w:rsid w:val="000B6F0C"/>
    <w:rsid w:val="000B766F"/>
    <w:rsid w:val="000C218C"/>
    <w:rsid w:val="000C7819"/>
    <w:rsid w:val="000D3D09"/>
    <w:rsid w:val="000E7EC4"/>
    <w:rsid w:val="000F3B6F"/>
    <w:rsid w:val="00103B36"/>
    <w:rsid w:val="00104EB6"/>
    <w:rsid w:val="00106C24"/>
    <w:rsid w:val="00106C90"/>
    <w:rsid w:val="00110E84"/>
    <w:rsid w:val="00114F47"/>
    <w:rsid w:val="001236B4"/>
    <w:rsid w:val="00124596"/>
    <w:rsid w:val="00130926"/>
    <w:rsid w:val="0013737E"/>
    <w:rsid w:val="00142D0C"/>
    <w:rsid w:val="00162407"/>
    <w:rsid w:val="0016272C"/>
    <w:rsid w:val="00165F8A"/>
    <w:rsid w:val="00166C12"/>
    <w:rsid w:val="00183A90"/>
    <w:rsid w:val="00187B0E"/>
    <w:rsid w:val="00191DFF"/>
    <w:rsid w:val="00194963"/>
    <w:rsid w:val="00195019"/>
    <w:rsid w:val="001A0747"/>
    <w:rsid w:val="001A08C2"/>
    <w:rsid w:val="001B5F92"/>
    <w:rsid w:val="001C030A"/>
    <w:rsid w:val="001D3840"/>
    <w:rsid w:val="001E0706"/>
    <w:rsid w:val="001E4D18"/>
    <w:rsid w:val="001E73C2"/>
    <w:rsid w:val="002024DD"/>
    <w:rsid w:val="00204FA9"/>
    <w:rsid w:val="002070F1"/>
    <w:rsid w:val="00217A59"/>
    <w:rsid w:val="00221EBF"/>
    <w:rsid w:val="00226577"/>
    <w:rsid w:val="0023184D"/>
    <w:rsid w:val="002554EC"/>
    <w:rsid w:val="0025596B"/>
    <w:rsid w:val="002636DB"/>
    <w:rsid w:val="00270F25"/>
    <w:rsid w:val="00275C2B"/>
    <w:rsid w:val="0028109B"/>
    <w:rsid w:val="00285105"/>
    <w:rsid w:val="0028599D"/>
    <w:rsid w:val="002A005B"/>
    <w:rsid w:val="002B3543"/>
    <w:rsid w:val="002C21B8"/>
    <w:rsid w:val="002C432B"/>
    <w:rsid w:val="002E4C71"/>
    <w:rsid w:val="002F31A2"/>
    <w:rsid w:val="002F664A"/>
    <w:rsid w:val="00302C9A"/>
    <w:rsid w:val="00310C08"/>
    <w:rsid w:val="00313023"/>
    <w:rsid w:val="0031645A"/>
    <w:rsid w:val="00320117"/>
    <w:rsid w:val="00320798"/>
    <w:rsid w:val="0032431C"/>
    <w:rsid w:val="00325455"/>
    <w:rsid w:val="00327209"/>
    <w:rsid w:val="00342047"/>
    <w:rsid w:val="003452CC"/>
    <w:rsid w:val="0034669F"/>
    <w:rsid w:val="003523C3"/>
    <w:rsid w:val="0036058C"/>
    <w:rsid w:val="00372EB9"/>
    <w:rsid w:val="00380300"/>
    <w:rsid w:val="0038383D"/>
    <w:rsid w:val="00384235"/>
    <w:rsid w:val="0038458D"/>
    <w:rsid w:val="00385636"/>
    <w:rsid w:val="003A2580"/>
    <w:rsid w:val="003B2E1E"/>
    <w:rsid w:val="003B5A27"/>
    <w:rsid w:val="003B709B"/>
    <w:rsid w:val="003B7F4E"/>
    <w:rsid w:val="003D017B"/>
    <w:rsid w:val="003D16C3"/>
    <w:rsid w:val="003D4128"/>
    <w:rsid w:val="003D5DA8"/>
    <w:rsid w:val="003D726B"/>
    <w:rsid w:val="003E079F"/>
    <w:rsid w:val="003E25A9"/>
    <w:rsid w:val="003E5F62"/>
    <w:rsid w:val="003E7B02"/>
    <w:rsid w:val="003F126F"/>
    <w:rsid w:val="003F146A"/>
    <w:rsid w:val="003F3B07"/>
    <w:rsid w:val="00400469"/>
    <w:rsid w:val="004025C0"/>
    <w:rsid w:val="0040684B"/>
    <w:rsid w:val="0041003D"/>
    <w:rsid w:val="004131C6"/>
    <w:rsid w:val="0042082B"/>
    <w:rsid w:val="00424153"/>
    <w:rsid w:val="00424C1C"/>
    <w:rsid w:val="00432ADC"/>
    <w:rsid w:val="00435044"/>
    <w:rsid w:val="00437072"/>
    <w:rsid w:val="00450DC5"/>
    <w:rsid w:val="0045593E"/>
    <w:rsid w:val="00463F35"/>
    <w:rsid w:val="004723AD"/>
    <w:rsid w:val="00474B79"/>
    <w:rsid w:val="0048650D"/>
    <w:rsid w:val="00490364"/>
    <w:rsid w:val="00491358"/>
    <w:rsid w:val="004922BE"/>
    <w:rsid w:val="00492852"/>
    <w:rsid w:val="00494047"/>
    <w:rsid w:val="00497D10"/>
    <w:rsid w:val="004A1DCC"/>
    <w:rsid w:val="004B315D"/>
    <w:rsid w:val="004B60D1"/>
    <w:rsid w:val="004C1D62"/>
    <w:rsid w:val="004D3CB4"/>
    <w:rsid w:val="004E10DC"/>
    <w:rsid w:val="004E1989"/>
    <w:rsid w:val="004E4414"/>
    <w:rsid w:val="004E6D34"/>
    <w:rsid w:val="004F233B"/>
    <w:rsid w:val="004F2467"/>
    <w:rsid w:val="00502D8B"/>
    <w:rsid w:val="00505B1C"/>
    <w:rsid w:val="005063FB"/>
    <w:rsid w:val="00510D2C"/>
    <w:rsid w:val="00520701"/>
    <w:rsid w:val="00534D41"/>
    <w:rsid w:val="005418AE"/>
    <w:rsid w:val="00544FC3"/>
    <w:rsid w:val="00555FF8"/>
    <w:rsid w:val="00561161"/>
    <w:rsid w:val="005713B0"/>
    <w:rsid w:val="00577132"/>
    <w:rsid w:val="00595571"/>
    <w:rsid w:val="005A44F2"/>
    <w:rsid w:val="005C17A4"/>
    <w:rsid w:val="005C4268"/>
    <w:rsid w:val="005C4834"/>
    <w:rsid w:val="005D6033"/>
    <w:rsid w:val="005E09EC"/>
    <w:rsid w:val="005E0BFB"/>
    <w:rsid w:val="005E242D"/>
    <w:rsid w:val="005E479F"/>
    <w:rsid w:val="005F0EC8"/>
    <w:rsid w:val="005F5AB2"/>
    <w:rsid w:val="00600313"/>
    <w:rsid w:val="00601402"/>
    <w:rsid w:val="00603A06"/>
    <w:rsid w:val="00603E69"/>
    <w:rsid w:val="00606130"/>
    <w:rsid w:val="00606847"/>
    <w:rsid w:val="00607D71"/>
    <w:rsid w:val="006153B4"/>
    <w:rsid w:val="0061742F"/>
    <w:rsid w:val="006177B2"/>
    <w:rsid w:val="00621F59"/>
    <w:rsid w:val="00636E81"/>
    <w:rsid w:val="00655A7B"/>
    <w:rsid w:val="00656128"/>
    <w:rsid w:val="00661DB6"/>
    <w:rsid w:val="00662CE2"/>
    <w:rsid w:val="00671294"/>
    <w:rsid w:val="00671D0E"/>
    <w:rsid w:val="006751BC"/>
    <w:rsid w:val="00675808"/>
    <w:rsid w:val="00677F5A"/>
    <w:rsid w:val="00681A46"/>
    <w:rsid w:val="00681BF5"/>
    <w:rsid w:val="0068530D"/>
    <w:rsid w:val="0069385F"/>
    <w:rsid w:val="00697E77"/>
    <w:rsid w:val="006A130B"/>
    <w:rsid w:val="006A4D1B"/>
    <w:rsid w:val="006A65A8"/>
    <w:rsid w:val="006A6A26"/>
    <w:rsid w:val="006A7BD5"/>
    <w:rsid w:val="006B554B"/>
    <w:rsid w:val="006B5CD7"/>
    <w:rsid w:val="006B6538"/>
    <w:rsid w:val="006C16FD"/>
    <w:rsid w:val="006C4621"/>
    <w:rsid w:val="006C54E5"/>
    <w:rsid w:val="006D7D42"/>
    <w:rsid w:val="006F0CA1"/>
    <w:rsid w:val="006F268C"/>
    <w:rsid w:val="006F2ED4"/>
    <w:rsid w:val="006F593A"/>
    <w:rsid w:val="006F7609"/>
    <w:rsid w:val="007002B5"/>
    <w:rsid w:val="007020EE"/>
    <w:rsid w:val="007034EA"/>
    <w:rsid w:val="00705E1C"/>
    <w:rsid w:val="00706548"/>
    <w:rsid w:val="007074DB"/>
    <w:rsid w:val="00714FFC"/>
    <w:rsid w:val="00727266"/>
    <w:rsid w:val="0073142E"/>
    <w:rsid w:val="00733700"/>
    <w:rsid w:val="00737DCC"/>
    <w:rsid w:val="00740E00"/>
    <w:rsid w:val="00743DBF"/>
    <w:rsid w:val="007462EB"/>
    <w:rsid w:val="00753173"/>
    <w:rsid w:val="007546E1"/>
    <w:rsid w:val="00755FB4"/>
    <w:rsid w:val="007576B9"/>
    <w:rsid w:val="00762BC4"/>
    <w:rsid w:val="0077637B"/>
    <w:rsid w:val="0078018A"/>
    <w:rsid w:val="007A3EA8"/>
    <w:rsid w:val="007A4A97"/>
    <w:rsid w:val="007B0606"/>
    <w:rsid w:val="007B622B"/>
    <w:rsid w:val="007C5DF2"/>
    <w:rsid w:val="007C63AF"/>
    <w:rsid w:val="007C6CDB"/>
    <w:rsid w:val="007C75B0"/>
    <w:rsid w:val="007D5E21"/>
    <w:rsid w:val="007E0A9A"/>
    <w:rsid w:val="007E4CB5"/>
    <w:rsid w:val="007F6304"/>
    <w:rsid w:val="00801D3F"/>
    <w:rsid w:val="008075CA"/>
    <w:rsid w:val="00810018"/>
    <w:rsid w:val="00811D67"/>
    <w:rsid w:val="0081514D"/>
    <w:rsid w:val="0082345F"/>
    <w:rsid w:val="008278D8"/>
    <w:rsid w:val="00836EDE"/>
    <w:rsid w:val="0084065D"/>
    <w:rsid w:val="00840A63"/>
    <w:rsid w:val="00843108"/>
    <w:rsid w:val="00844F5C"/>
    <w:rsid w:val="00854045"/>
    <w:rsid w:val="00854B46"/>
    <w:rsid w:val="00862168"/>
    <w:rsid w:val="00865E6D"/>
    <w:rsid w:val="0087416F"/>
    <w:rsid w:val="0088448B"/>
    <w:rsid w:val="008940A7"/>
    <w:rsid w:val="008A3242"/>
    <w:rsid w:val="008C3B25"/>
    <w:rsid w:val="008C5F7F"/>
    <w:rsid w:val="008C6E3F"/>
    <w:rsid w:val="008D5BBD"/>
    <w:rsid w:val="008E1BA0"/>
    <w:rsid w:val="008E213C"/>
    <w:rsid w:val="008E249A"/>
    <w:rsid w:val="008E32BC"/>
    <w:rsid w:val="008E4DE5"/>
    <w:rsid w:val="008E5BDD"/>
    <w:rsid w:val="008E65C3"/>
    <w:rsid w:val="008E6B44"/>
    <w:rsid w:val="008F13C5"/>
    <w:rsid w:val="008F4743"/>
    <w:rsid w:val="008F4CEE"/>
    <w:rsid w:val="00902705"/>
    <w:rsid w:val="00911628"/>
    <w:rsid w:val="00916BE4"/>
    <w:rsid w:val="0092000D"/>
    <w:rsid w:val="00922F7C"/>
    <w:rsid w:val="00925542"/>
    <w:rsid w:val="0093307A"/>
    <w:rsid w:val="00933C29"/>
    <w:rsid w:val="00934317"/>
    <w:rsid w:val="009538E4"/>
    <w:rsid w:val="00961A6D"/>
    <w:rsid w:val="00961CB3"/>
    <w:rsid w:val="009646F3"/>
    <w:rsid w:val="00965F65"/>
    <w:rsid w:val="00966CCF"/>
    <w:rsid w:val="00967115"/>
    <w:rsid w:val="009838EC"/>
    <w:rsid w:val="009855A7"/>
    <w:rsid w:val="009942F5"/>
    <w:rsid w:val="009A0316"/>
    <w:rsid w:val="009A49BF"/>
    <w:rsid w:val="009B1D4B"/>
    <w:rsid w:val="009B33AB"/>
    <w:rsid w:val="009B369E"/>
    <w:rsid w:val="009B7ABF"/>
    <w:rsid w:val="009B7D55"/>
    <w:rsid w:val="009C014B"/>
    <w:rsid w:val="009C4F03"/>
    <w:rsid w:val="009C681F"/>
    <w:rsid w:val="009D253B"/>
    <w:rsid w:val="009D2880"/>
    <w:rsid w:val="009E7C54"/>
    <w:rsid w:val="009F16F5"/>
    <w:rsid w:val="009F487C"/>
    <w:rsid w:val="009F718A"/>
    <w:rsid w:val="00A02095"/>
    <w:rsid w:val="00A13088"/>
    <w:rsid w:val="00A21632"/>
    <w:rsid w:val="00A23F23"/>
    <w:rsid w:val="00A24077"/>
    <w:rsid w:val="00A307DC"/>
    <w:rsid w:val="00A34709"/>
    <w:rsid w:val="00A36EE2"/>
    <w:rsid w:val="00A61E60"/>
    <w:rsid w:val="00A6262C"/>
    <w:rsid w:val="00A66A60"/>
    <w:rsid w:val="00A67004"/>
    <w:rsid w:val="00A72BB5"/>
    <w:rsid w:val="00A73395"/>
    <w:rsid w:val="00A81D86"/>
    <w:rsid w:val="00A8201A"/>
    <w:rsid w:val="00A87E6D"/>
    <w:rsid w:val="00A91B4B"/>
    <w:rsid w:val="00A92D01"/>
    <w:rsid w:val="00AB32B1"/>
    <w:rsid w:val="00AC051F"/>
    <w:rsid w:val="00AC448D"/>
    <w:rsid w:val="00AC6E65"/>
    <w:rsid w:val="00AD1507"/>
    <w:rsid w:val="00AD437A"/>
    <w:rsid w:val="00AE1FCC"/>
    <w:rsid w:val="00AE20E4"/>
    <w:rsid w:val="00AE3E4B"/>
    <w:rsid w:val="00AE739E"/>
    <w:rsid w:val="00AF73DC"/>
    <w:rsid w:val="00B04072"/>
    <w:rsid w:val="00B04858"/>
    <w:rsid w:val="00B05FF3"/>
    <w:rsid w:val="00B07DED"/>
    <w:rsid w:val="00B109D6"/>
    <w:rsid w:val="00B24125"/>
    <w:rsid w:val="00B37E6B"/>
    <w:rsid w:val="00B466EF"/>
    <w:rsid w:val="00B54995"/>
    <w:rsid w:val="00B718F2"/>
    <w:rsid w:val="00B80604"/>
    <w:rsid w:val="00B80B28"/>
    <w:rsid w:val="00B82DE8"/>
    <w:rsid w:val="00B82F22"/>
    <w:rsid w:val="00B8359D"/>
    <w:rsid w:val="00B83EA6"/>
    <w:rsid w:val="00B87E6D"/>
    <w:rsid w:val="00B90981"/>
    <w:rsid w:val="00B95C8F"/>
    <w:rsid w:val="00B9631F"/>
    <w:rsid w:val="00B9705E"/>
    <w:rsid w:val="00BA1D7F"/>
    <w:rsid w:val="00BA2894"/>
    <w:rsid w:val="00BA3EB9"/>
    <w:rsid w:val="00BA483B"/>
    <w:rsid w:val="00BB19C1"/>
    <w:rsid w:val="00BB75A7"/>
    <w:rsid w:val="00BC1562"/>
    <w:rsid w:val="00BC4574"/>
    <w:rsid w:val="00BD3E9D"/>
    <w:rsid w:val="00BE34F1"/>
    <w:rsid w:val="00BE68DA"/>
    <w:rsid w:val="00C01F4A"/>
    <w:rsid w:val="00C02FBA"/>
    <w:rsid w:val="00C05B50"/>
    <w:rsid w:val="00C119B1"/>
    <w:rsid w:val="00C14146"/>
    <w:rsid w:val="00C17DBB"/>
    <w:rsid w:val="00C20541"/>
    <w:rsid w:val="00C264FE"/>
    <w:rsid w:val="00C26501"/>
    <w:rsid w:val="00C308AB"/>
    <w:rsid w:val="00C4549B"/>
    <w:rsid w:val="00C46BDB"/>
    <w:rsid w:val="00C500F1"/>
    <w:rsid w:val="00C503F7"/>
    <w:rsid w:val="00C52080"/>
    <w:rsid w:val="00C52276"/>
    <w:rsid w:val="00C54304"/>
    <w:rsid w:val="00C5529E"/>
    <w:rsid w:val="00C55533"/>
    <w:rsid w:val="00C55C79"/>
    <w:rsid w:val="00C55E8E"/>
    <w:rsid w:val="00C67262"/>
    <w:rsid w:val="00C764D2"/>
    <w:rsid w:val="00C77404"/>
    <w:rsid w:val="00C83275"/>
    <w:rsid w:val="00C83552"/>
    <w:rsid w:val="00C84947"/>
    <w:rsid w:val="00C86DF1"/>
    <w:rsid w:val="00C931E2"/>
    <w:rsid w:val="00CA552E"/>
    <w:rsid w:val="00CA6224"/>
    <w:rsid w:val="00CD36A5"/>
    <w:rsid w:val="00CE7104"/>
    <w:rsid w:val="00CF4544"/>
    <w:rsid w:val="00D027CC"/>
    <w:rsid w:val="00D02FE4"/>
    <w:rsid w:val="00D111B5"/>
    <w:rsid w:val="00D21225"/>
    <w:rsid w:val="00D219BE"/>
    <w:rsid w:val="00D227DB"/>
    <w:rsid w:val="00D24D0F"/>
    <w:rsid w:val="00D52C9C"/>
    <w:rsid w:val="00D531FE"/>
    <w:rsid w:val="00D54BFF"/>
    <w:rsid w:val="00D62381"/>
    <w:rsid w:val="00D6248F"/>
    <w:rsid w:val="00D65EC8"/>
    <w:rsid w:val="00D72DD7"/>
    <w:rsid w:val="00D7558A"/>
    <w:rsid w:val="00D763C3"/>
    <w:rsid w:val="00D826AA"/>
    <w:rsid w:val="00D90510"/>
    <w:rsid w:val="00D913EA"/>
    <w:rsid w:val="00D91704"/>
    <w:rsid w:val="00DB05C3"/>
    <w:rsid w:val="00DB3EFC"/>
    <w:rsid w:val="00DB5326"/>
    <w:rsid w:val="00DC7D6C"/>
    <w:rsid w:val="00DD1BB6"/>
    <w:rsid w:val="00DD1BC6"/>
    <w:rsid w:val="00DD5A48"/>
    <w:rsid w:val="00DE7300"/>
    <w:rsid w:val="00DF047B"/>
    <w:rsid w:val="00DF144D"/>
    <w:rsid w:val="00DF2093"/>
    <w:rsid w:val="00DF5510"/>
    <w:rsid w:val="00DF7FA8"/>
    <w:rsid w:val="00E00A1B"/>
    <w:rsid w:val="00E0421E"/>
    <w:rsid w:val="00E0709C"/>
    <w:rsid w:val="00E125EA"/>
    <w:rsid w:val="00E15312"/>
    <w:rsid w:val="00E23EE9"/>
    <w:rsid w:val="00E34D2D"/>
    <w:rsid w:val="00E4145B"/>
    <w:rsid w:val="00E575AA"/>
    <w:rsid w:val="00E65901"/>
    <w:rsid w:val="00E70BDC"/>
    <w:rsid w:val="00E71FFD"/>
    <w:rsid w:val="00E7364C"/>
    <w:rsid w:val="00E73E66"/>
    <w:rsid w:val="00E83557"/>
    <w:rsid w:val="00E9157C"/>
    <w:rsid w:val="00E924B9"/>
    <w:rsid w:val="00E94067"/>
    <w:rsid w:val="00EB70DC"/>
    <w:rsid w:val="00EC0ACC"/>
    <w:rsid w:val="00ED16D5"/>
    <w:rsid w:val="00EF432F"/>
    <w:rsid w:val="00F01736"/>
    <w:rsid w:val="00F11C9C"/>
    <w:rsid w:val="00F11E2E"/>
    <w:rsid w:val="00F16318"/>
    <w:rsid w:val="00F25924"/>
    <w:rsid w:val="00F3139A"/>
    <w:rsid w:val="00F317A6"/>
    <w:rsid w:val="00F42F15"/>
    <w:rsid w:val="00F438B0"/>
    <w:rsid w:val="00F51F44"/>
    <w:rsid w:val="00F54C69"/>
    <w:rsid w:val="00F57E7A"/>
    <w:rsid w:val="00F61C00"/>
    <w:rsid w:val="00F65696"/>
    <w:rsid w:val="00F76893"/>
    <w:rsid w:val="00F92644"/>
    <w:rsid w:val="00F93CA8"/>
    <w:rsid w:val="00F97C74"/>
    <w:rsid w:val="00FA1979"/>
    <w:rsid w:val="00FA54AB"/>
    <w:rsid w:val="00FA7A58"/>
    <w:rsid w:val="00FB155E"/>
    <w:rsid w:val="00FB5A12"/>
    <w:rsid w:val="00FC1E5A"/>
    <w:rsid w:val="00FC6692"/>
    <w:rsid w:val="00FD0E6B"/>
    <w:rsid w:val="00FD7C9D"/>
    <w:rsid w:val="00FD7F99"/>
    <w:rsid w:val="00FF1760"/>
    <w:rsid w:val="00FF2755"/>
    <w:rsid w:val="00FF2B9B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FE4"/>
    <w:pPr>
      <w:spacing w:before="120" w:after="120"/>
      <w:jc w:val="both"/>
    </w:pPr>
    <w:rPr>
      <w:rFonts w:ascii="Verdana" w:hAnsi="Verdana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02FE4"/>
    <w:pPr>
      <w:keepNext/>
      <w:spacing w:before="2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 Char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"/>
    <w:basedOn w:val="DefaultParagraphFont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basedOn w:val="DefaultParagraphFont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character" w:customStyle="1" w:styleId="Heading2Char">
    <w:name w:val="Heading 2 Char"/>
    <w:basedOn w:val="DefaultParagraphFont"/>
    <w:link w:val="Heading2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tabs>
        <w:tab w:val="num" w:pos="360"/>
      </w:tabs>
      <w:spacing w:after="240"/>
      <w:ind w:left="0" w:firstLine="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B07DED"/>
    <w:pPr>
      <w:spacing w:before="0" w:after="0"/>
      <w:ind w:left="33"/>
    </w:pPr>
    <w:rPr>
      <w:rFonts w:ascii="Times New Roman" w:hAnsi="Times New Roman"/>
      <w:szCs w:val="17"/>
      <w:u w:val="single"/>
      <w:lang w:eastAsia="de-DE"/>
    </w:rPr>
  </w:style>
  <w:style w:type="character" w:customStyle="1" w:styleId="InstructionsTabelleberschrift">
    <w:name w:val="Instructions Tabelle Überschrift"/>
    <w:basedOn w:val="DefaultParagraphFon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basedOn w:val="DefaultParagraphFon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basedOn w:val="DefaultParagraphFont"/>
    <w:qFormat/>
    <w:rsid w:val="00D02FE4"/>
    <w:rPr>
      <w:rFonts w:ascii="Verdana" w:hAnsi="Verdana" w:cs="Times New Roman"/>
      <w:bCs/>
      <w:sz w:val="20"/>
      <w:u w:val="none"/>
    </w:rPr>
  </w:style>
  <w:style w:type="character" w:customStyle="1" w:styleId="InstructionsTextChar">
    <w:name w:val="Instructions Text Char"/>
    <w:basedOn w:val="DefaultParagraphFont"/>
    <w:link w:val="InstructionsText"/>
    <w:locked/>
    <w:rsid w:val="00B07DED"/>
    <w:rPr>
      <w:szCs w:val="17"/>
      <w:u w:val="single"/>
      <w:lang w:val="en-GB" w:eastAsia="de-DE" w:bidi="ar-SA"/>
    </w:rPr>
  </w:style>
  <w:style w:type="paragraph" w:customStyle="1" w:styleId="InstructionsText2">
    <w:name w:val="Instructions Text 2"/>
    <w:basedOn w:val="InstructionsText"/>
    <w:qFormat/>
    <w:rsid w:val="00D02FE4"/>
    <w:pPr>
      <w:numPr>
        <w:numId w:val="2"/>
      </w:numPr>
      <w:spacing w:after="24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character" w:styleId="Hyperlink">
    <w:name w:val="Hyperlink"/>
    <w:basedOn w:val="DefaultParagraphFont"/>
    <w:rsid w:val="005A44F2"/>
    <w:rPr>
      <w:color w:val="0000FF"/>
      <w:u w:val="single"/>
    </w:rPr>
  </w:style>
  <w:style w:type="paragraph" w:styleId="TOC2">
    <w:name w:val="toc 2"/>
    <w:basedOn w:val="Normal"/>
    <w:next w:val="Normal"/>
    <w:autoRedefine/>
    <w:qFormat/>
    <w:rsid w:val="005A44F2"/>
    <w:pPr>
      <w:tabs>
        <w:tab w:val="left" w:pos="794"/>
        <w:tab w:val="right" w:leader="dot" w:pos="9071"/>
      </w:tabs>
      <w:spacing w:after="60"/>
      <w:ind w:left="794" w:hanging="794"/>
    </w:pPr>
    <w:rPr>
      <w:b/>
      <w:smallCaps/>
      <w:noProof/>
      <w:szCs w:val="22"/>
    </w:rPr>
  </w:style>
  <w:style w:type="paragraph" w:customStyle="1" w:styleId="PageNumbereven">
    <w:name w:val="Page Numbereven"/>
    <w:basedOn w:val="Normal"/>
    <w:rsid w:val="005A44F2"/>
    <w:pPr>
      <w:spacing w:before="0" w:after="0"/>
      <w:jc w:val="left"/>
    </w:pPr>
    <w:rPr>
      <w:rFonts w:ascii="Times New Roman" w:hAnsi="Times New Roman"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372EB9"/>
    <w:rPr>
      <w:sz w:val="16"/>
      <w:szCs w:val="16"/>
    </w:rPr>
  </w:style>
  <w:style w:type="paragraph" w:styleId="CommentText">
    <w:name w:val="annotation text"/>
    <w:basedOn w:val="Normal"/>
    <w:semiHidden/>
    <w:rsid w:val="00372EB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72EB9"/>
    <w:rPr>
      <w:b/>
      <w:bCs/>
    </w:rPr>
  </w:style>
  <w:style w:type="paragraph" w:styleId="BalloonText">
    <w:name w:val="Balloon Text"/>
    <w:basedOn w:val="Normal"/>
    <w:semiHidden/>
    <w:rsid w:val="00372E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60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AD1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1507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1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07"/>
    <w:rPr>
      <w:rFonts w:ascii="Verdana" w:hAnsi="Verdana"/>
      <w:szCs w:val="24"/>
      <w:lang w:eastAsia="en-US"/>
    </w:rPr>
  </w:style>
  <w:style w:type="paragraph" w:customStyle="1" w:styleId="ReferenceText">
    <w:name w:val="Reference Text"/>
    <w:basedOn w:val="Normal"/>
    <w:next w:val="InstructionsText"/>
    <w:qFormat/>
    <w:rsid w:val="00B95C8F"/>
    <w:pPr>
      <w:framePr w:w="3976" w:h="1381" w:wrap="notBeside" w:vAnchor="page" w:hAnchor="page" w:x="6526" w:y="946" w:anchorLock="1"/>
      <w:tabs>
        <w:tab w:val="center" w:pos="4153"/>
        <w:tab w:val="right" w:pos="9072"/>
      </w:tabs>
      <w:spacing w:before="0" w:after="0" w:line="300" w:lineRule="exact"/>
      <w:jc w:val="right"/>
    </w:pPr>
    <w:rPr>
      <w:rFonts w:ascii="Calibri" w:hAnsi="Calibri"/>
      <w:color w:val="C0504D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FE4"/>
    <w:pPr>
      <w:spacing w:before="120" w:after="120"/>
      <w:jc w:val="both"/>
    </w:pPr>
    <w:rPr>
      <w:rFonts w:ascii="Verdana" w:hAnsi="Verdana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02FE4"/>
    <w:pPr>
      <w:keepNext/>
      <w:spacing w:before="2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 Char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"/>
    <w:basedOn w:val="DefaultParagraphFont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basedOn w:val="DefaultParagraphFont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character" w:customStyle="1" w:styleId="Heading2Char">
    <w:name w:val="Heading 2 Char"/>
    <w:basedOn w:val="DefaultParagraphFont"/>
    <w:link w:val="Heading2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tabs>
        <w:tab w:val="num" w:pos="360"/>
      </w:tabs>
      <w:spacing w:after="240"/>
      <w:ind w:left="0" w:firstLine="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B07DED"/>
    <w:pPr>
      <w:spacing w:before="0" w:after="0"/>
      <w:ind w:left="33"/>
    </w:pPr>
    <w:rPr>
      <w:rFonts w:ascii="Times New Roman" w:hAnsi="Times New Roman"/>
      <w:szCs w:val="17"/>
      <w:u w:val="single"/>
      <w:lang w:eastAsia="de-DE"/>
    </w:rPr>
  </w:style>
  <w:style w:type="character" w:customStyle="1" w:styleId="InstructionsTabelleberschrift">
    <w:name w:val="Instructions Tabelle Überschrift"/>
    <w:basedOn w:val="DefaultParagraphFon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basedOn w:val="DefaultParagraphFon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basedOn w:val="DefaultParagraphFont"/>
    <w:qFormat/>
    <w:rsid w:val="00D02FE4"/>
    <w:rPr>
      <w:rFonts w:ascii="Verdana" w:hAnsi="Verdana" w:cs="Times New Roman"/>
      <w:bCs/>
      <w:sz w:val="20"/>
      <w:u w:val="none"/>
    </w:rPr>
  </w:style>
  <w:style w:type="character" w:customStyle="1" w:styleId="InstructionsTextChar">
    <w:name w:val="Instructions Text Char"/>
    <w:basedOn w:val="DefaultParagraphFont"/>
    <w:link w:val="InstructionsText"/>
    <w:locked/>
    <w:rsid w:val="00B07DED"/>
    <w:rPr>
      <w:szCs w:val="17"/>
      <w:u w:val="single"/>
      <w:lang w:val="en-GB" w:eastAsia="de-DE" w:bidi="ar-SA"/>
    </w:rPr>
  </w:style>
  <w:style w:type="paragraph" w:customStyle="1" w:styleId="InstructionsText2">
    <w:name w:val="Instructions Text 2"/>
    <w:basedOn w:val="InstructionsText"/>
    <w:qFormat/>
    <w:rsid w:val="00D02FE4"/>
    <w:pPr>
      <w:numPr>
        <w:numId w:val="2"/>
      </w:numPr>
      <w:spacing w:after="24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character" w:styleId="Hyperlink">
    <w:name w:val="Hyperlink"/>
    <w:basedOn w:val="DefaultParagraphFont"/>
    <w:rsid w:val="005A44F2"/>
    <w:rPr>
      <w:color w:val="0000FF"/>
      <w:u w:val="single"/>
    </w:rPr>
  </w:style>
  <w:style w:type="paragraph" w:styleId="TOC2">
    <w:name w:val="toc 2"/>
    <w:basedOn w:val="Normal"/>
    <w:next w:val="Normal"/>
    <w:autoRedefine/>
    <w:qFormat/>
    <w:rsid w:val="005A44F2"/>
    <w:pPr>
      <w:tabs>
        <w:tab w:val="left" w:pos="794"/>
        <w:tab w:val="right" w:leader="dot" w:pos="9071"/>
      </w:tabs>
      <w:spacing w:after="60"/>
      <w:ind w:left="794" w:hanging="794"/>
    </w:pPr>
    <w:rPr>
      <w:b/>
      <w:smallCaps/>
      <w:noProof/>
      <w:szCs w:val="22"/>
    </w:rPr>
  </w:style>
  <w:style w:type="paragraph" w:customStyle="1" w:styleId="PageNumbereven">
    <w:name w:val="Page Numbereven"/>
    <w:basedOn w:val="Normal"/>
    <w:rsid w:val="005A44F2"/>
    <w:pPr>
      <w:spacing w:before="0" w:after="0"/>
      <w:jc w:val="left"/>
    </w:pPr>
    <w:rPr>
      <w:rFonts w:ascii="Times New Roman" w:hAnsi="Times New Roman"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372EB9"/>
    <w:rPr>
      <w:sz w:val="16"/>
      <w:szCs w:val="16"/>
    </w:rPr>
  </w:style>
  <w:style w:type="paragraph" w:styleId="CommentText">
    <w:name w:val="annotation text"/>
    <w:basedOn w:val="Normal"/>
    <w:semiHidden/>
    <w:rsid w:val="00372EB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72EB9"/>
    <w:rPr>
      <w:b/>
      <w:bCs/>
    </w:rPr>
  </w:style>
  <w:style w:type="paragraph" w:styleId="BalloonText">
    <w:name w:val="Balloon Text"/>
    <w:basedOn w:val="Normal"/>
    <w:semiHidden/>
    <w:rsid w:val="00372E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60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AD1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1507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rsid w:val="00AD1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1507"/>
    <w:rPr>
      <w:rFonts w:ascii="Verdana" w:hAnsi="Verdana"/>
      <w:szCs w:val="24"/>
      <w:lang w:eastAsia="en-US"/>
    </w:rPr>
  </w:style>
  <w:style w:type="paragraph" w:customStyle="1" w:styleId="ReferenceText">
    <w:name w:val="Reference Text"/>
    <w:basedOn w:val="Normal"/>
    <w:next w:val="InstructionsText"/>
    <w:qFormat/>
    <w:rsid w:val="00B95C8F"/>
    <w:pPr>
      <w:framePr w:w="3976" w:h="1381" w:wrap="notBeside" w:vAnchor="page" w:hAnchor="page" w:x="6526" w:y="946" w:anchorLock="1"/>
      <w:tabs>
        <w:tab w:val="center" w:pos="4153"/>
        <w:tab w:val="right" w:pos="9072"/>
      </w:tabs>
      <w:spacing w:before="0" w:after="0" w:line="300" w:lineRule="exact"/>
      <w:jc w:val="right"/>
    </w:pPr>
    <w:rPr>
      <w:rFonts w:ascii="Calibri" w:hAnsi="Calibri"/>
      <w:color w:val="C0504D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ED7F-1ACE-4E24-98E7-ED2AF3075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DCC17-5873-4BA7-8C48-B4BB9E72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5353</Words>
  <Characters>29239</Characters>
  <Application>Microsoft Office Word</Application>
  <DocSecurity>0</DocSecurity>
  <Lines>243</Lines>
  <Paragraphs>69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II: TEMPLATE RELATED INSTRUCTIONS</vt:lpstr>
      <vt:lpstr>PART II: TEMPLATE RELATED INSTRUCTIONS</vt:lpstr>
    </vt:vector>
  </TitlesOfParts>
  <Company>Financial Services Authority</Company>
  <LinksUpToDate>false</LinksUpToDate>
  <CharactersWithSpaces>34523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II: TEMPLATE RELATED INSTRUCTIONS</dc:title>
  <dc:creator>mabdelli</dc:creator>
  <cp:lastModifiedBy>wstrohbach</cp:lastModifiedBy>
  <cp:revision>15</cp:revision>
  <cp:lastPrinted>2012-10-03T15:00:00Z</cp:lastPrinted>
  <dcterms:created xsi:type="dcterms:W3CDTF">2013-07-24T10:45:00Z</dcterms:created>
  <dcterms:modified xsi:type="dcterms:W3CDTF">2013-09-17T16:19:00Z</dcterms:modified>
</cp:coreProperties>
</file>